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Supplementary Material</w:t>
      </w: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 </w:t>
        <w:tab/>
      </w:r>
    </w:p>
    <w:p w:rsidR="00000000" w:rsidDel="00000000" w:rsidP="00000000" w:rsidRDefault="00000000" w:rsidRPr="00000000" w14:paraId="00000002">
      <w:pPr>
        <w:spacing w:after="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Higher functional diversity improves modeling of Amazon forest carbon storage</w:t>
      </w:r>
    </w:p>
    <w:p w:rsidR="00000000" w:rsidDel="00000000" w:rsidP="00000000" w:rsidRDefault="00000000" w:rsidRPr="00000000" w14:paraId="00000003">
      <w:pPr>
        <w:spacing w:after="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Authors:</w:t>
      </w:r>
      <w:r w:rsidDel="00000000" w:rsidR="00000000" w:rsidRPr="00000000">
        <w:rPr>
          <w:rFonts w:ascii="Times New Roman" w:cs="Times New Roman" w:eastAsia="Times New Roman" w:hAnsi="Times New Roman"/>
          <w:sz w:val="24"/>
          <w:szCs w:val="24"/>
          <w:highlight w:val="white"/>
          <w:rtl w:val="0"/>
        </w:rPr>
        <w:t xml:space="preserve"> Bianca Fazio Rius, João Paulo Darela Filho, Katrin Fleischer, Florian Hofhansl, Carolina Casagrande Blanco, Anja Rammig, Tomas Domingues, David Montenegro Lapola</w:t>
      </w:r>
    </w:p>
    <w:p w:rsidR="00000000" w:rsidDel="00000000" w:rsidP="00000000" w:rsidRDefault="00000000" w:rsidRPr="00000000" w14:paraId="00000004">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Supplementary Material SM.1</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Description</w:t>
      </w:r>
      <w:r w:rsidDel="00000000" w:rsidR="00000000" w:rsidRPr="00000000">
        <w:rPr>
          <w:rFonts w:ascii="Times New Roman" w:cs="Times New Roman" w:eastAsia="Times New Roman" w:hAnsi="Times New Roman"/>
          <w:sz w:val="24"/>
          <w:szCs w:val="24"/>
          <w:highlight w:val="white"/>
          <w:rtl w:val="0"/>
        </w:rPr>
        <w:t xml:space="preserve"> of CAETÊ (</w:t>
      </w:r>
      <w:r w:rsidDel="00000000" w:rsidR="00000000" w:rsidRPr="00000000">
        <w:rPr>
          <w:rFonts w:ascii="Times New Roman" w:cs="Times New Roman" w:eastAsia="Times New Roman" w:hAnsi="Times New Roman"/>
          <w:sz w:val="24"/>
          <w:szCs w:val="24"/>
          <w:highlight w:val="white"/>
          <w:u w:val="single"/>
          <w:rtl w:val="0"/>
        </w:rPr>
        <w:t xml:space="preserve">Ca</w:t>
      </w:r>
      <w:r w:rsidDel="00000000" w:rsidR="00000000" w:rsidRPr="00000000">
        <w:rPr>
          <w:rFonts w:ascii="Times New Roman" w:cs="Times New Roman" w:eastAsia="Times New Roman" w:hAnsi="Times New Roman"/>
          <w:sz w:val="24"/>
          <w:szCs w:val="24"/>
          <w:highlight w:val="white"/>
          <w:rtl w:val="0"/>
        </w:rPr>
        <w:t xml:space="preserve">rbon and </w:t>
      </w:r>
      <w:r w:rsidDel="00000000" w:rsidR="00000000" w:rsidRPr="00000000">
        <w:rPr>
          <w:rFonts w:ascii="Times New Roman" w:cs="Times New Roman" w:eastAsia="Times New Roman" w:hAnsi="Times New Roman"/>
          <w:sz w:val="24"/>
          <w:szCs w:val="24"/>
          <w:highlight w:val="white"/>
          <w:u w:val="single"/>
          <w:rtl w:val="0"/>
        </w:rPr>
        <w:t xml:space="preserve">E</w:t>
      </w:r>
      <w:r w:rsidDel="00000000" w:rsidR="00000000" w:rsidRPr="00000000">
        <w:rPr>
          <w:rFonts w:ascii="Times New Roman" w:cs="Times New Roman" w:eastAsia="Times New Roman" w:hAnsi="Times New Roman"/>
          <w:sz w:val="24"/>
          <w:szCs w:val="24"/>
          <w:highlight w:val="white"/>
          <w:rtl w:val="0"/>
        </w:rPr>
        <w:t xml:space="preserve">cosystem functional </w:t>
      </w:r>
      <w:r w:rsidDel="00000000" w:rsidR="00000000" w:rsidRPr="00000000">
        <w:rPr>
          <w:rFonts w:ascii="Times New Roman" w:cs="Times New Roman" w:eastAsia="Times New Roman" w:hAnsi="Times New Roman"/>
          <w:sz w:val="24"/>
          <w:szCs w:val="24"/>
          <w:highlight w:val="white"/>
          <w:u w:val="single"/>
          <w:rtl w:val="0"/>
        </w:rPr>
        <w:t xml:space="preserve">T</w:t>
      </w:r>
      <w:r w:rsidDel="00000000" w:rsidR="00000000" w:rsidRPr="00000000">
        <w:rPr>
          <w:rFonts w:ascii="Times New Roman" w:cs="Times New Roman" w:eastAsia="Times New Roman" w:hAnsi="Times New Roman"/>
          <w:sz w:val="24"/>
          <w:szCs w:val="24"/>
          <w:highlight w:val="white"/>
          <w:rtl w:val="0"/>
        </w:rPr>
        <w:t xml:space="preserve">rait </w:t>
      </w:r>
      <w:r w:rsidDel="00000000" w:rsidR="00000000" w:rsidRPr="00000000">
        <w:rPr>
          <w:rFonts w:ascii="Times New Roman" w:cs="Times New Roman" w:eastAsia="Times New Roman" w:hAnsi="Times New Roman"/>
          <w:sz w:val="24"/>
          <w:szCs w:val="24"/>
          <w:highlight w:val="white"/>
          <w:u w:val="single"/>
          <w:rtl w:val="0"/>
        </w:rPr>
        <w:t xml:space="preserve">E</w:t>
      </w:r>
      <w:r w:rsidDel="00000000" w:rsidR="00000000" w:rsidRPr="00000000">
        <w:rPr>
          <w:rFonts w:ascii="Times New Roman" w:cs="Times New Roman" w:eastAsia="Times New Roman" w:hAnsi="Times New Roman"/>
          <w:sz w:val="24"/>
          <w:szCs w:val="24"/>
          <w:highlight w:val="white"/>
          <w:rtl w:val="0"/>
        </w:rPr>
        <w:t xml:space="preserve">valuation Model)</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highlight w:val="white"/>
        </w:rPr>
      </w:pPr>
      <w:bookmarkStart w:colFirst="0" w:colLast="0" w:name="_heading=h.gjdgxs" w:id="0"/>
      <w:bookmarkEnd w:id="0"/>
      <w:r w:rsidDel="00000000" w:rsidR="00000000" w:rsidRPr="00000000">
        <w:rPr>
          <w:rFonts w:ascii="Times New Roman" w:cs="Times New Roman" w:eastAsia="Times New Roman" w:hAnsi="Times New Roman"/>
          <w:sz w:val="24"/>
          <w:szCs w:val="24"/>
          <w:highlight w:val="white"/>
          <w:rtl w:val="0"/>
        </w:rPr>
        <w:t xml:space="preserve">Here we describe some additional information of the model CAETÊ, including all the ecophysiological equations. The symbols used for each variable, its description, unit and associated equations can be found in Table SM.4.  The constant parameters with its respective values are shown in Table SM.5. Hereafter, the symbols </w:t>
      </w:r>
      <m:oMath>
        <m:r>
          <w:rPr>
            <w:rFonts w:ascii="Cambria Math" w:cs="Cambria Math" w:eastAsia="Cambria Math" w:hAnsi="Cambria Math"/>
          </w:rPr>
          <m:t xml:space="preserve">i</m:t>
        </m:r>
      </m:oMath>
      <w:r w:rsidDel="00000000" w:rsidR="00000000" w:rsidRPr="00000000">
        <w:rPr>
          <w:rFonts w:ascii="Times New Roman" w:cs="Times New Roman" w:eastAsia="Times New Roman" w:hAnsi="Times New Roman"/>
          <w:sz w:val="24"/>
          <w:szCs w:val="24"/>
          <w:highlight w:val="white"/>
          <w:rtl w:val="0"/>
        </w:rPr>
        <w:t xml:space="preserve">, </w:t>
      </w:r>
      <m:oMath>
        <m:r>
          <w:rPr>
            <w:rFonts w:ascii="Cambria Math" w:cs="Cambria Math" w:eastAsia="Cambria Math" w:hAnsi="Cambria Math"/>
          </w:rPr>
          <m:t xml:space="preserve">y</m:t>
        </m:r>
      </m:oMath>
      <w:r w:rsidDel="00000000" w:rsidR="00000000" w:rsidRPr="00000000">
        <w:rPr>
          <w:rFonts w:ascii="Times New Roman" w:cs="Times New Roman" w:eastAsia="Times New Roman" w:hAnsi="Times New Roman"/>
          <w:sz w:val="24"/>
          <w:szCs w:val="24"/>
          <w:highlight w:val="white"/>
          <w:rtl w:val="0"/>
        </w:rPr>
        <w:t xml:space="preserve"> and </w:t>
      </w:r>
      <m:oMath>
        <m:r>
          <w:rPr>
            <w:rFonts w:ascii="Cambria Math" w:cs="Cambria Math" w:eastAsia="Cambria Math" w:hAnsi="Cambria Math"/>
          </w:rPr>
          <m:t xml:space="preserve">z</m:t>
        </m:r>
      </m:oMath>
      <w:r w:rsidDel="00000000" w:rsidR="00000000" w:rsidRPr="00000000">
        <w:rPr>
          <w:rFonts w:ascii="Times New Roman" w:cs="Times New Roman" w:eastAsia="Times New Roman" w:hAnsi="Times New Roman"/>
          <w:sz w:val="24"/>
          <w:szCs w:val="24"/>
          <w:highlight w:val="white"/>
          <w:rtl w:val="0"/>
        </w:rPr>
        <w:t xml:space="preserve"> correspond, respectively, to a PFT/PLS, a grid cell and a plant compartment [leaves, aboveground woody tissues (hereafter ABGW) and fine roots]. It is important to highlight that all ecosystem parameters and properties are aggregated to grid cell scale according to the method described in section 2.1 in the main text.</w:t>
      </w:r>
    </w:p>
    <w:p w:rsidR="00000000" w:rsidDel="00000000" w:rsidP="00000000" w:rsidRDefault="00000000" w:rsidRPr="00000000" w14:paraId="00000006">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SM.1.1. Model structure</w:t>
      </w:r>
    </w:p>
    <w:p w:rsidR="00000000" w:rsidDel="00000000" w:rsidP="00000000" w:rsidRDefault="00000000" w:rsidRPr="00000000" w14:paraId="00000007">
      <w:pPr>
        <w:spacing w:line="48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sz w:val="24"/>
          <w:szCs w:val="24"/>
          <w:highlight w:val="white"/>
          <w:rtl w:val="0"/>
        </w:rPr>
        <w:t xml:space="preserve">SM.1.1.1. Creating and sampling plant life strategies (PLSs)</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ab/>
        <w:t xml:space="preserve"> </w:t>
        <w:tab/>
      </w:r>
    </w:p>
    <w:p w:rsidR="00000000" w:rsidDel="00000000" w:rsidP="00000000" w:rsidRDefault="00000000" w:rsidRPr="00000000" w14:paraId="00000008">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create the hypervolume that contains all the possible combinations of functional traits and, hence, the PLSs, each trait owns a range of values that determines the minimum and the maximum value that will be sampled (Table SM.3). From this initial range, trait values are randomly and uniformly sampled. All the sampled traits are combined to create the potential functional space that contains all the possible combinations of values. From this potential space some combinations are excluded following a viability standard: first, the combination of values for allocation functional traits, necessarily, must sum 100%, otherwise this combination is excluded from the functional space. After that, all the combinations are submitted to a spinup simulation in order to verify if it presents carbon content on fine roots and on leaves that are higher than 0.001. Then, from the combinations that respect this premise, 3000 PLSs are sampled and seeded in each grid cell. The number of sampled PLSs was defined through a sensitivity test (see Supplementary Material SM.2.)</w:t>
      </w:r>
    </w:p>
    <w:p w:rsidR="00000000" w:rsidDel="00000000" w:rsidP="00000000" w:rsidRDefault="00000000" w:rsidRPr="00000000" w14:paraId="00000009">
      <w:pPr>
        <w:spacing w:after="0" w:before="240"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SM.1.1.2. </w:t>
      </w: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Fonts w:ascii="Times New Roman" w:cs="Times New Roman" w:eastAsia="Times New Roman" w:hAnsi="Times New Roman"/>
          <w:i w:val="1"/>
          <w:sz w:val="24"/>
          <w:szCs w:val="24"/>
          <w:highlight w:val="white"/>
          <w:rtl w:val="0"/>
        </w:rPr>
        <w:t xml:space="preserve">pinup</w:t>
      </w:r>
      <w:r w:rsidDel="00000000" w:rsidR="00000000" w:rsidRPr="00000000">
        <w:rPr>
          <w:rFonts w:ascii="Times New Roman" w:cs="Times New Roman" w:eastAsia="Times New Roman" w:hAnsi="Times New Roman"/>
          <w:sz w:val="24"/>
          <w:szCs w:val="24"/>
          <w:highlight w:val="white"/>
          <w:rtl w:val="0"/>
        </w:rPr>
        <w:t xml:space="preserve"> </w:t>
        <w:tab/>
      </w:r>
    </w:p>
    <w:p w:rsidR="00000000" w:rsidDel="00000000" w:rsidP="00000000" w:rsidRDefault="00000000" w:rsidRPr="00000000" w14:paraId="0000000A">
      <w:pPr>
        <w:spacing w:after="0" w:before="240" w:line="480" w:lineRule="auto"/>
        <w:jc w:val="both"/>
        <w:rPr/>
      </w:pPr>
      <w:r w:rsidDel="00000000" w:rsidR="00000000" w:rsidRPr="00000000">
        <w:rPr>
          <w:rFonts w:ascii="Times New Roman" w:cs="Times New Roman" w:eastAsia="Times New Roman" w:hAnsi="Times New Roman"/>
          <w:sz w:val="24"/>
          <w:szCs w:val="24"/>
          <w:highlight w:val="white"/>
          <w:rtl w:val="0"/>
        </w:rPr>
        <w:t xml:space="preserve">Before the model initialization a spinup simulation was performed to determine the initial carbon content on plant compartments. This spinup was run until the stability attainment of the total carbon stock (</w:t>
      </w:r>
      <w:r w:rsidDel="00000000" w:rsidR="00000000" w:rsidRPr="00000000">
        <w:rPr>
          <w:rFonts w:ascii="Times New Roman" w:cs="Times New Roman" w:eastAsia="Times New Roman" w:hAnsi="Times New Roman"/>
          <w:i w:val="1"/>
          <w:sz w:val="24"/>
          <w:szCs w:val="24"/>
          <w:highlight w:val="white"/>
          <w:rtl w:val="0"/>
        </w:rPr>
        <w:t xml:space="preserve">i.e., </w:t>
      </w:r>
      <w:r w:rsidDel="00000000" w:rsidR="00000000" w:rsidRPr="00000000">
        <w:rPr>
          <w:rFonts w:ascii="Times New Roman" w:cs="Times New Roman" w:eastAsia="Times New Roman" w:hAnsi="Times New Roman"/>
          <w:sz w:val="24"/>
          <w:szCs w:val="24"/>
          <w:highlight w:val="white"/>
          <w:rtl w:val="0"/>
        </w:rPr>
        <w:t xml:space="preserve">the sum of carbon in all plant compartments) in all the grid cells, with a sensibility of 10% of difference between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x</m:t>
            </m:r>
          </m:sub>
        </m:sSub>
      </m:oMath>
      <w:r w:rsidDel="00000000" w:rsidR="00000000" w:rsidRPr="00000000">
        <w:rPr>
          <w:rFonts w:ascii="Times New Roman" w:cs="Times New Roman" w:eastAsia="Times New Roman" w:hAnsi="Times New Roman"/>
          <w:sz w:val="24"/>
          <w:szCs w:val="24"/>
          <w:highlight w:val="white"/>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x−1</m:t>
            </m:r>
          </m:sub>
        </m:sSub>
      </m:oMath>
      <w:r w:rsidDel="00000000" w:rsidR="00000000" w:rsidRPr="00000000">
        <w:rPr>
          <w:rFonts w:ascii="Times New Roman" w:cs="Times New Roman" w:eastAsia="Times New Roman" w:hAnsi="Times New Roman"/>
          <w:sz w:val="24"/>
          <w:szCs w:val="24"/>
          <w:highlight w:val="white"/>
          <w:rtl w:val="0"/>
        </w:rPr>
        <w:t xml:space="preserve">. Thus, the initial amount of carbon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init</m:t>
                </m:r>
              </m:e>
              <m:sub>
                <m:r>
                  <w:rPr>
                    <w:rFonts w:ascii="Cambria Math" w:cs="Cambria Math" w:eastAsia="Cambria Math" w:hAnsi="Cambria Math"/>
                  </w:rPr>
                  <m:t xml:space="preserve">i,z,y</m:t>
                </m:r>
              </m:sub>
            </m:sSub>
          </m:sub>
        </m:sSub>
      </m:oMath>
      <w:r w:rsidDel="00000000" w:rsidR="00000000" w:rsidRPr="00000000">
        <w:rPr>
          <w:rFonts w:ascii="Times New Roman" w:cs="Times New Roman" w:eastAsia="Times New Roman" w:hAnsi="Times New Roman"/>
          <w:sz w:val="24"/>
          <w:szCs w:val="24"/>
          <w:highlight w:val="white"/>
          <w:rtl w:val="0"/>
        </w:rPr>
        <w:t xml:space="preserve">) in each plant compartment </w:t>
      </w:r>
      <m:oMath>
        <m:r>
          <w:rPr>
            <w:rFonts w:ascii="Cambria Math" w:cs="Cambria Math" w:eastAsia="Cambria Math" w:hAnsi="Cambria Math"/>
          </w:rPr>
          <m:t xml:space="preserve">z</m:t>
        </m:r>
      </m:oMath>
      <w:r w:rsidDel="00000000" w:rsidR="00000000" w:rsidRPr="00000000">
        <w:rPr>
          <w:rFonts w:ascii="Times New Roman" w:cs="Times New Roman" w:eastAsia="Times New Roman" w:hAnsi="Times New Roman"/>
          <w:sz w:val="24"/>
          <w:szCs w:val="24"/>
          <w:highlight w:val="white"/>
          <w:rtl w:val="0"/>
        </w:rPr>
        <w:t xml:space="preserve"> in a specific PFT or PLS </w:t>
      </w:r>
      <m:oMath>
        <m:r>
          <w:rPr>
            <w:rFonts w:ascii="Cambria Math" w:cs="Cambria Math" w:eastAsia="Cambria Math" w:hAnsi="Cambria Math"/>
          </w:rPr>
          <m:t xml:space="preserve">i</m:t>
        </m:r>
      </m:oMath>
      <w:r w:rsidDel="00000000" w:rsidR="00000000" w:rsidRPr="00000000">
        <w:rPr>
          <w:rFonts w:ascii="Times New Roman" w:cs="Times New Roman" w:eastAsia="Times New Roman" w:hAnsi="Times New Roman"/>
          <w:sz w:val="24"/>
          <w:szCs w:val="24"/>
          <w:highlight w:val="white"/>
          <w:rtl w:val="0"/>
        </w:rPr>
        <w:t xml:space="preserve"> in a given time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x</m:t>
            </m:r>
          </m:sub>
        </m:sSub>
      </m:oMath>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tbl>
      <w:tblPr>
        <w:tblStyle w:val="Table1"/>
        <w:tblW w:w="9015.0" w:type="dxa"/>
        <w:jc w:val="left"/>
        <w:tblInd w:w="0.0" w:type="dxa"/>
        <w:tblLayout w:type="fixed"/>
        <w:tblLook w:val="0600"/>
      </w:tblPr>
      <w:tblGrid>
        <w:gridCol w:w="1215"/>
        <w:gridCol w:w="6345"/>
        <w:gridCol w:w="1455"/>
        <w:tblGridChange w:id="0">
          <w:tblGrid>
            <w:gridCol w:w="1215"/>
            <w:gridCol w:w="6345"/>
            <w:gridCol w:w="1455"/>
          </w:tblGrid>
        </w:tblGridChange>
      </w:tblGrid>
      <w:tr>
        <w:trPr>
          <w:cantSplit w:val="0"/>
          <w:tblHeader w:val="0"/>
        </w:trPr>
        <w:tc>
          <w:tcPr>
            <w:shd w:fill="auto" w:val="clear"/>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highlight w:val="white"/>
              </w:rPr>
            </w:pPr>
            <m:oMath>
              <m:f>
                <m:num>
                  <m:sSub>
                    <m:sSubPr>
                      <m:ctrlPr>
                        <w:rPr>
                          <w:rFonts w:ascii="Cambria Math" w:cs="Cambria Math" w:eastAsia="Cambria Math" w:hAnsi="Cambria Math"/>
                        </w:rPr>
                      </m:ctrlPr>
                    </m:sSubPr>
                    <m:e>
                      <m:r>
                        <m:t>∂</m:t>
                      </m:r>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init</m:t>
                          </m:r>
                        </m:e>
                        <m:sub>
                          <m:r>
                            <w:rPr>
                              <w:rFonts w:ascii="Cambria Math" w:cs="Cambria Math" w:eastAsia="Cambria Math" w:hAnsi="Cambria Math"/>
                            </w:rPr>
                            <m:t xml:space="preserve">i,z,y</m:t>
                          </m:r>
                        </m:sub>
                      </m:sSub>
                    </m:sub>
                  </m:sSub>
                </m:num>
                <m:den>
                  <m:r>
                    <w:rPr>
                      <w:rFonts w:ascii="Cambria Math" w:cs="Cambria Math" w:eastAsia="Cambria Math" w:hAnsi="Cambria Math"/>
                    </w:rPr>
                    <m:t>∂</m:t>
                  </m:r>
                </m:den>
              </m:f>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t>
                  </m:r>
                </m:e>
                <m:sub>
                  <m:r>
                    <w:rPr>
                      <w:rFonts w:ascii="Cambria Math" w:cs="Cambria Math" w:eastAsia="Cambria Math" w:hAnsi="Cambria Math"/>
                    </w:rPr>
                    <m:t xml:space="preserve">i,z</m:t>
                  </m:r>
                </m:sub>
              </m:sSub>
              <m:r>
                <w:rPr>
                  <w:rFonts w:ascii="Cambria Math" w:cs="Cambria Math" w:eastAsia="Cambria Math" w:hAnsi="Cambria Math"/>
                </w:rPr>
                <m:t xml:space="preserve">NP</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po</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ini</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i,z,y</m:t>
                          </m:r>
                        </m:sub>
                      </m:sSub>
                    </m:sub>
                  </m:sSub>
                </m:num>
                <m:den>
                  <m:sSub>
                    <m:sSubPr>
                      <m:ctrlPr>
                        <w:rPr>
                          <w:rFonts w:ascii="Cambria Math" w:cs="Cambria Math" w:eastAsia="Cambria Math" w:hAnsi="Cambria Math"/>
                        </w:rPr>
                      </m:ctrlPr>
                    </m:sSubPr>
                    <m:e>
                      <m:r>
                        <w:rPr>
                          <w:rFonts w:ascii="Cambria Math" w:cs="Cambria Math" w:eastAsia="Cambria Math" w:hAnsi="Cambria Math"/>
                        </w:rPr>
                        <m:t>τ</m:t>
                      </m:r>
                    </m:e>
                    <m:sub>
                      <m:r>
                        <w:rPr>
                          <w:rFonts w:ascii="Cambria Math" w:cs="Cambria Math" w:eastAsia="Cambria Math" w:hAnsi="Cambria Math"/>
                        </w:rPr>
                        <m:t xml:space="preserve">i,z</m:t>
                      </m:r>
                    </m:sub>
                  </m:sSub>
                </m:den>
              </m:f>
            </m:oMath>
            <w:r w:rsidDel="00000000" w:rsidR="00000000" w:rsidRPr="00000000">
              <w:rPr>
                <w:rtl w:val="0"/>
              </w:rPr>
            </w:r>
          </w:p>
        </w:tc>
        <w:tc>
          <w:tcPr>
            <w:shd w:fill="auto" w:val="clear"/>
          </w:tcPr>
          <w:p w:rsidR="00000000" w:rsidDel="00000000" w:rsidP="00000000" w:rsidRDefault="00000000" w:rsidRPr="00000000" w14:paraId="0000000D">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w:t>
            </w:r>
          </w:p>
        </w:tc>
      </w:tr>
    </w:tbl>
    <w:p w:rsidR="00000000" w:rsidDel="00000000" w:rsidP="00000000" w:rsidRDefault="00000000" w:rsidRPr="00000000" w14:paraId="0000000E">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where </w:t>
      </w:r>
      <m:oMath>
        <m:sSub>
          <m:e>
            <m:r>
              <m:t>α</m:t>
            </m:r>
          </m:e>
          <m:sub>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z</m:t>
                </m:r>
              </m:sub>
            </m:sSub>
          </m:sub>
        </m:sSub>
      </m:oMath>
      <w:r w:rsidDel="00000000" w:rsidR="00000000" w:rsidRPr="00000000">
        <w:rPr>
          <w:rFonts w:ascii="Times New Roman" w:cs="Times New Roman" w:eastAsia="Times New Roman" w:hAnsi="Times New Roman"/>
          <w:sz w:val="24"/>
          <w:szCs w:val="24"/>
          <w:highlight w:val="white"/>
          <w:rtl w:val="0"/>
        </w:rPr>
        <w:t xml:space="preserve"> (Table SM.2 and SM.3) is the fraction of </w:t>
      </w:r>
      <m:oMath>
        <m:r>
          <w:rPr>
            <w:rFonts w:ascii="Cambria Math" w:cs="Cambria Math" w:eastAsia="Cambria Math" w:hAnsi="Cambria Math"/>
          </w:rPr>
          <m:t xml:space="preserve">NPP</m:t>
        </m:r>
      </m:oMath>
      <w:r w:rsidDel="00000000" w:rsidR="00000000" w:rsidRPr="00000000">
        <w:rPr>
          <w:rFonts w:ascii="Times New Roman" w:cs="Times New Roman" w:eastAsia="Times New Roman" w:hAnsi="Times New Roman"/>
          <w:sz w:val="24"/>
          <w:szCs w:val="24"/>
          <w:highlight w:val="white"/>
          <w:rtl w:val="0"/>
        </w:rPr>
        <w:t xml:space="preserve">allocated to a plant compartment in each PFT/PLS and </w:t>
      </w:r>
      <m:oMath>
        <m:sSub>
          <m:sSubPr>
            <m:ctrlPr>
              <w:rPr>
                <w:rFonts w:ascii="Cambria Math" w:cs="Cambria Math" w:eastAsia="Cambria Math" w:hAnsi="Cambria Math"/>
              </w:rPr>
            </m:ctrlPr>
          </m:sSubPr>
          <m:e>
            <m:r>
              <m:t>τ</m:t>
            </m:r>
          </m:e>
          <m:sub>
            <m:r>
              <w:rPr>
                <w:rFonts w:ascii="Cambria Math" w:cs="Cambria Math" w:eastAsia="Cambria Math" w:hAnsi="Cambria Math"/>
              </w:rPr>
              <m:t xml:space="preserve">i,z</m:t>
            </m:r>
          </m:sub>
        </m:sSub>
      </m:oMath>
      <w:r w:rsidDel="00000000" w:rsidR="00000000" w:rsidRPr="00000000">
        <w:rPr>
          <w:rFonts w:ascii="Times New Roman" w:cs="Times New Roman" w:eastAsia="Times New Roman" w:hAnsi="Times New Roman"/>
          <w:sz w:val="24"/>
          <w:szCs w:val="24"/>
          <w:highlight w:val="white"/>
          <w:rtl w:val="0"/>
        </w:rPr>
        <w:t xml:space="preserve"> (Table SM.2 and SM.3) represents the carbon residence time in a compartment. Here, </w:t>
      </w:r>
      <m:oMath>
        <m:r>
          <w:rPr>
            <w:rFonts w:ascii="Cambria Math" w:cs="Cambria Math" w:eastAsia="Cambria Math" w:hAnsi="Cambria Math"/>
          </w:rPr>
          <m:t xml:space="preserve">NPP</m:t>
        </m:r>
      </m:oMath>
      <w:r w:rsidDel="00000000" w:rsidR="00000000" w:rsidRPr="00000000">
        <w:rPr>
          <w:rFonts w:ascii="Times New Roman" w:cs="Times New Roman" w:eastAsia="Times New Roman" w:hAnsi="Times New Roman"/>
          <w:sz w:val="24"/>
          <w:szCs w:val="24"/>
          <w:highlight w:val="white"/>
          <w:rtl w:val="0"/>
        </w:rPr>
        <w:t xml:space="preserve"> is considered as potential (</w:t>
      </w:r>
      <m:oMath>
        <m:sSub>
          <m:sSubPr>
            <m:ctrlPr>
              <w:rPr>
                <w:rFonts w:ascii="Cambria Math" w:cs="Cambria Math" w:eastAsia="Cambria Math" w:hAnsi="Cambria Math"/>
              </w:rPr>
            </m:ctrlPr>
          </m:sSubPr>
          <m:e>
            <m:r>
              <w:rPr>
                <w:rFonts w:ascii="Cambria Math" w:cs="Cambria Math" w:eastAsia="Cambria Math" w:hAnsi="Cambria Math"/>
              </w:rPr>
              <m:t xml:space="preserve">NPP</m:t>
            </m:r>
          </m:e>
          <m:sub>
            <m:sSub>
              <m:sSubPr>
                <m:ctrlPr>
                  <w:rPr>
                    <w:rFonts w:ascii="Cambria Math" w:cs="Cambria Math" w:eastAsia="Cambria Math" w:hAnsi="Cambria Math"/>
                  </w:rPr>
                </m:ctrlPr>
              </m:sSubPr>
              <m:e>
                <m:r>
                  <w:rPr>
                    <w:rFonts w:ascii="Cambria Math" w:cs="Cambria Math" w:eastAsia="Cambria Math" w:hAnsi="Cambria Math"/>
                  </w:rPr>
                  <m:t xml:space="preserve">pot</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calculated from the model CPTEC Potential Vegetation Model 2 (CPTEC-PVM2; Lapola, Oyama, &amp; Nobre, 2009), a precursor model of CAETÊ, using the same climatology applied to CAETÊ running.</w:t>
      </w:r>
    </w:p>
    <w:p w:rsidR="00000000" w:rsidDel="00000000" w:rsidP="00000000" w:rsidRDefault="00000000" w:rsidRPr="00000000" w14:paraId="0000000F">
      <w:pPr>
        <w:spacing w:after="0" w:before="24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highlight w:val="white"/>
          <w:rtl w:val="0"/>
        </w:rPr>
        <w:br w:type="textWrapping"/>
      </w:r>
      <w:r w:rsidDel="00000000" w:rsidR="00000000" w:rsidRPr="00000000">
        <w:rPr>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SM.1.2. Input Data</w:t>
      </w:r>
    </w:p>
    <w:p w:rsidR="00000000" w:rsidDel="00000000" w:rsidP="00000000" w:rsidRDefault="00000000" w:rsidRPr="00000000" w14:paraId="00000010">
      <w:pPr>
        <w:spacing w:after="240" w:before="0" w:line="480" w:lineRule="auto"/>
        <w:jc w:val="both"/>
        <w:rPr/>
      </w:pPr>
      <w:r w:rsidDel="00000000" w:rsidR="00000000" w:rsidRPr="00000000">
        <w:rPr>
          <w:rFonts w:ascii="Times New Roman" w:cs="Times New Roman" w:eastAsia="Times New Roman" w:hAnsi="Times New Roman"/>
          <w:sz w:val="24"/>
          <w:szCs w:val="24"/>
          <w:highlight w:val="white"/>
          <w:rtl w:val="0"/>
        </w:rPr>
        <w:t xml:space="preserve">The following climatic data were used as inputs for the model: air surface temperature, precipitation, shortwave radiation, relative humidity and atmospheric CO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w:t>
        <w:tab/>
        <w:t xml:space="preserve">concentration. The first four variables were obtained from mean monthly data for the period between 1980 to 2010, which are available in the Inter-Sectoral Impact Model Intercomparison Project 2 (ISI-MIP2; Warszawski et al., 2014). Atmospheric CO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concentration was obtained from the CO2.Earth website (Mc. Gee, 2020), employing the mean value of [CO</w:t>
      </w:r>
      <w:r w:rsidDel="00000000" w:rsidR="00000000" w:rsidRPr="00000000">
        <w:rPr>
          <w:rFonts w:ascii="Times New Roman" w:cs="Times New Roman" w:eastAsia="Times New Roman" w:hAnsi="Times New Roman"/>
          <w:sz w:val="40"/>
          <w:szCs w:val="40"/>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for the same period used for the other climatic data.</w:t>
      </w:r>
      <w:r w:rsidDel="00000000" w:rsidR="00000000" w:rsidRPr="00000000">
        <w:rPr>
          <w:rtl w:val="0"/>
        </w:rPr>
      </w:r>
    </w:p>
    <w:p w:rsidR="00000000" w:rsidDel="00000000" w:rsidP="00000000" w:rsidRDefault="00000000" w:rsidRPr="00000000" w14:paraId="00000011">
      <w:pPr>
        <w:spacing w:after="240" w:before="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SM.1.3. Photosynthesis</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photosynthesis equation (</w:t>
      </w:r>
      <m:oMath>
        <m:sSub>
          <m:sSubPr>
            <m:ctrlPr>
              <w:rPr>
                <w:rFonts w:ascii="Cambria Math" w:cs="Cambria Math" w:eastAsia="Cambria Math" w:hAnsi="Cambria Math"/>
              </w:rPr>
            </m:ctrlPr>
          </m:sSubPr>
          <m:e>
            <m:r>
              <w:rPr>
                <w:rFonts w:ascii="Cambria Math" w:cs="Cambria Math" w:eastAsia="Cambria Math" w:hAnsi="Cambria Math"/>
              </w:rPr>
              <m:t xml:space="preserve">GPP</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and the ones associated with it are based on Farquhar, Caemmerer, &amp; Berry (1980) formulation, which takes into account three limiting factors: rubisco carboxylation (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r>
              <w:rPr>
                <w:rFonts w:ascii="Cambria Math" w:cs="Cambria Math" w:eastAsia="Cambria Math" w:hAnsi="Cambria Math"/>
              </w:rPr>
              <m:t xml:space="preserve">c</m:t>
            </m:r>
          </m:sub>
        </m:sSub>
      </m:oMath>
      <w:r w:rsidDel="00000000" w:rsidR="00000000" w:rsidRPr="00000000">
        <w:rPr>
          <w:rFonts w:ascii="Times New Roman" w:cs="Times New Roman" w:eastAsia="Times New Roman" w:hAnsi="Times New Roman"/>
          <w:sz w:val="24"/>
          <w:szCs w:val="24"/>
          <w:highlight w:val="white"/>
          <w:rtl w:val="0"/>
        </w:rPr>
        <w:t xml:space="preserve">), light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and electron transport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r>
              <w:rPr>
                <w:rFonts w:ascii="Cambria Math" w:cs="Cambria Math" w:eastAsia="Cambria Math" w:hAnsi="Cambria Math"/>
              </w:rPr>
              <m:t xml:space="preserve">E</m:t>
            </m:r>
          </m:sub>
        </m:sSub>
      </m:oMath>
      <w:r w:rsidDel="00000000" w:rsidR="00000000" w:rsidRPr="00000000">
        <w:rPr>
          <w:rFonts w:ascii="Times New Roman" w:cs="Times New Roman" w:eastAsia="Times New Roman" w:hAnsi="Times New Roman"/>
          <w:sz w:val="24"/>
          <w:szCs w:val="24"/>
          <w:highlight w:val="white"/>
          <w:rtl w:val="0"/>
        </w:rPr>
        <w:t xml:space="preserve">). We also included water stress limitation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5</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2"/>
        <w:tblW w:w="9015.0" w:type="dxa"/>
        <w:jc w:val="left"/>
        <w:tblInd w:w="0.0" w:type="dxa"/>
        <w:tblLayout w:type="fixed"/>
        <w:tblLook w:val="0600"/>
      </w:tblPr>
      <w:tblGrid>
        <w:gridCol w:w="1800"/>
        <w:gridCol w:w="5055"/>
        <w:gridCol w:w="2160"/>
        <w:tblGridChange w:id="0">
          <w:tblGrid>
            <w:gridCol w:w="1800"/>
            <w:gridCol w:w="5055"/>
            <w:gridCol w:w="2160"/>
          </w:tblGrid>
        </w:tblGridChange>
      </w:tblGrid>
      <w:tr>
        <w:trPr>
          <w:cantSplit w:val="0"/>
          <w:tblHeader w:val="0"/>
        </w:trPr>
        <w:tc>
          <w:tcPr>
            <w:shd w:fill="auto" w:val="cle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highlight w:val="white"/>
              </w:rPr>
            </w:pPr>
            <m:oMath>
              <m:r>
                <w:rPr>
                  <w:rFonts w:ascii="Cambria Math" w:cs="Cambria Math" w:eastAsia="Cambria Math" w:hAnsi="Cambria Math"/>
                </w:rPr>
                <m:t xml:space="preserve">GP</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r>
                <w:rPr>
                  <w:rFonts w:ascii="Cambria Math" w:cs="Cambria Math" w:eastAsia="Cambria Math" w:hAnsi="Cambria Math"/>
                </w:rPr>
                <m:t xml:space="preserve">=0.012</m:t>
              </m:r>
              <m:r>
                <w:rPr>
                  <w:rFonts w:ascii="Cambria Math" w:cs="Cambria Math" w:eastAsia="Cambria Math" w:hAnsi="Cambria Math"/>
                </w:rPr>
                <m:t>∗</m:t>
              </m:r>
              <m:r>
                <w:rPr>
                  <w:rFonts w:ascii="Cambria Math" w:cs="Cambria Math" w:eastAsia="Cambria Math" w:hAnsi="Cambria Math"/>
                </w:rPr>
                <m:t xml:space="preserve">31557600</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1</m:t>
                      </m:r>
                    </m:e>
                    <m:sub>
                      <m:r>
                        <w:rPr>
                          <w:rFonts w:ascii="Cambria Math" w:cs="Cambria Math" w:eastAsia="Cambria Math" w:hAnsi="Cambria Math"/>
                        </w:rPr>
                        <m:t xml:space="preserve">i</m:t>
                      </m:r>
                    </m:sub>
                  </m:sSub>
                </m:sub>
              </m:sSub>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4</m:t>
                      </m:r>
                    </m:e>
                    <m:sub>
                      <m:r>
                        <w:rPr>
                          <w:rFonts w:ascii="Cambria Math" w:cs="Cambria Math" w:eastAsia="Cambria Math" w:hAnsi="Cambria Math"/>
                        </w:rPr>
                        <m:t xml:space="preserve">i</m:t>
                      </m:r>
                    </m:sub>
                  </m:sSub>
                </m:sub>
              </m:sSub>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5</m:t>
                      </m:r>
                    </m:e>
                    <m:sub>
                      <m:r>
                        <w:rPr>
                          <w:rFonts w:ascii="Cambria Math" w:cs="Cambria Math" w:eastAsia="Cambria Math" w:hAnsi="Cambria Math"/>
                        </w:rPr>
                        <m:t xml:space="preserve">i</m:t>
                      </m:r>
                    </m:sub>
                  </m:sSub>
                </m:sub>
              </m:sSub>
            </m:oMath>
            <w:r w:rsidDel="00000000" w:rsidR="00000000" w:rsidRPr="00000000">
              <w:rPr>
                <w:rtl w:val="0"/>
              </w:rPr>
            </w:r>
          </w:p>
        </w:tc>
        <w:tc>
          <w:tcPr>
            <w:shd w:fill="auto" w:val="clear"/>
          </w:tcPr>
          <w:p w:rsidR="00000000" w:rsidDel="00000000" w:rsidP="00000000" w:rsidRDefault="00000000" w:rsidRPr="00000000" w14:paraId="00000015">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2)</w:t>
            </w:r>
          </w:p>
        </w:tc>
      </w:tr>
    </w:tbl>
    <w:p w:rsidR="00000000" w:rsidDel="00000000" w:rsidP="00000000" w:rsidRDefault="00000000" w:rsidRPr="00000000" w14:paraId="00000016">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1</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leaf level gross photosynthesis and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4</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a function for upscaling the leaf level photosynthesis to the canopy level.</w:t>
        <w:tab/>
        <w:t xml:space="preserve"> </w:t>
        <w:tab/>
        <w:t xml:space="preserve"> </w:t>
        <w:tab/>
      </w:r>
    </w:p>
    <w:p w:rsidR="00000000" w:rsidDel="00000000" w:rsidP="00000000" w:rsidRDefault="00000000" w:rsidRPr="00000000" w14:paraId="00000017">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following equations </w:t>
      </w:r>
      <m:oMath>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n</m:t>
            </m:r>
          </m:sub>
        </m:sSub>
      </m:oMath>
      <w:r w:rsidDel="00000000" w:rsidR="00000000" w:rsidRPr="00000000">
        <w:rPr>
          <w:rFonts w:ascii="Times New Roman" w:cs="Times New Roman" w:eastAsia="Times New Roman" w:hAnsi="Times New Roman"/>
          <w:sz w:val="24"/>
          <w:szCs w:val="24"/>
          <w:highlight w:val="white"/>
          <w:rtl w:val="0"/>
        </w:rPr>
        <w:t xml:space="preserve"> are constants summarized in Table SM.5. The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1</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calculated as the smallest root between the three limiting rates:</w:t>
      </w:r>
      <w:r w:rsidDel="00000000" w:rsidR="00000000" w:rsidRPr="00000000">
        <w:rPr>
          <w:rFonts w:ascii="Times New Roman" w:cs="Times New Roman" w:eastAsia="Times New Roman" w:hAnsi="Times New Roman"/>
          <w:sz w:val="24"/>
          <w:szCs w:val="24"/>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and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r>
              <w:rPr>
                <w:rFonts w:ascii="Cambria Math" w:cs="Cambria Math" w:eastAsia="Cambria Math" w:hAnsi="Cambria Math"/>
              </w:rPr>
              <m:t xml:space="preserve">E</m:t>
            </m:r>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3"/>
        <w:tblW w:w="9015.0" w:type="dxa"/>
        <w:jc w:val="left"/>
        <w:tblInd w:w="0.0" w:type="dxa"/>
        <w:tblLayout w:type="fixed"/>
        <w:tblLook w:val="0600"/>
      </w:tblPr>
      <w:tblGrid>
        <w:gridCol w:w="704"/>
        <w:gridCol w:w="7080"/>
        <w:gridCol w:w="1231"/>
        <w:tblGridChange w:id="0">
          <w:tblGrid>
            <w:gridCol w:w="704"/>
            <w:gridCol w:w="7080"/>
            <w:gridCol w:w="1231"/>
          </w:tblGrid>
        </w:tblGridChange>
      </w:tblGrid>
      <w:tr>
        <w:trPr>
          <w:cantSplit w:val="0"/>
          <w:tblHeader w:val="0"/>
        </w:trPr>
        <w:tc>
          <w:tcPr>
            <w:shd w:fill="auto" w:val="clea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1</m:t>
                      </m:r>
                    </m:e>
                    <m:sub>
                      <m:r>
                        <w:rPr>
                          <w:rFonts w:ascii="Cambria Math" w:cs="Cambria Math" w:eastAsia="Cambria Math" w:hAnsi="Cambria Math"/>
                        </w:rPr>
                        <m:t xml:space="preserve">i</m:t>
                      </m:r>
                    </m:sub>
                  </m:sSub>
                </m:sub>
              </m:sSub>
              <m:r>
                <w:rPr>
                  <w:rFonts w:ascii="Cambria Math" w:cs="Cambria Math" w:eastAsia="Cambria Math" w:hAnsi="Cambria Math"/>
                </w:rPr>
                <m:t xml:space="preserve">=smallestrootof:</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m:t>
                  </m:r>
                </m:sub>
              </m:sSub>
              <m:r>
                <w:rPr>
                  <w:rFonts w:ascii="Cambria Math" w:cs="Cambria Math" w:eastAsia="Cambria Math" w:hAnsi="Cambria Math"/>
                </w:rPr>
                <m:t xml:space="preserve">J²−J</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J</m:t>
                      </m:r>
                    </m:e>
                    <m:sub>
                      <m:r>
                        <w:rPr>
                          <w:rFonts w:ascii="Cambria Math" w:cs="Cambria Math" w:eastAsia="Cambria Math" w:hAnsi="Cambria Math"/>
                        </w:rPr>
                        <m:t xml:space="preserve">E</m:t>
                      </m:r>
                    </m:sub>
                  </m:sSub>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sub>
              </m:sSub>
              <m:sSub>
                <m:sSubPr>
                  <m:ctrlPr>
                    <w:rPr>
                      <w:rFonts w:ascii="Cambria Math" w:cs="Cambria Math" w:eastAsia="Cambria Math" w:hAnsi="Cambria Math"/>
                    </w:rPr>
                  </m:ctrlPr>
                </m:sSubPr>
                <m:e>
                  <m:r>
                    <w:rPr>
                      <w:rFonts w:ascii="Cambria Math" w:cs="Cambria Math" w:eastAsia="Cambria Math" w:hAnsi="Cambria Math"/>
                    </w:rPr>
                    <m:t xml:space="preserve">J</m:t>
                  </m:r>
                </m:e>
                <m:sub>
                  <m:r>
                    <w:rPr>
                      <w:rFonts w:ascii="Cambria Math" w:cs="Cambria Math" w:eastAsia="Cambria Math" w:hAnsi="Cambria Math"/>
                    </w:rPr>
                    <m:t xml:space="preserve">E</m:t>
                  </m:r>
                </m:sub>
              </m:sSub>
              <m:r>
                <w:rPr>
                  <w:rFonts w:ascii="Cambria Math" w:cs="Cambria Math" w:eastAsia="Cambria Math" w:hAnsi="Cambria Math"/>
                </w:rPr>
                <m:t xml:space="preserve">=0</m:t>
              </m:r>
            </m:oMath>
            <w:r w:rsidDel="00000000" w:rsidR="00000000" w:rsidRPr="00000000">
              <w:rPr>
                <w:rtl w:val="0"/>
              </w:rPr>
            </w:r>
          </w:p>
        </w:tc>
        <w:tc>
          <w:tcPr>
            <w:shd w:fill="auto" w:val="clear"/>
          </w:tcPr>
          <w:p w:rsidR="00000000" w:rsidDel="00000000" w:rsidP="00000000" w:rsidRDefault="00000000" w:rsidRPr="00000000" w14:paraId="0000001A">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3)</w:t>
            </w:r>
          </w:p>
        </w:tc>
      </w:tr>
    </w:tbl>
    <w:p w:rsidR="00000000" w:rsidDel="00000000" w:rsidP="00000000" w:rsidRDefault="00000000" w:rsidRPr="00000000" w14:paraId="0000001B">
      <w:pPr>
        <w:spacing w:after="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is the minimum between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4"/>
        <w:tblW w:w="9015.0" w:type="dxa"/>
        <w:jc w:val="left"/>
        <w:tblInd w:w="0.0" w:type="dxa"/>
        <w:tblLayout w:type="fixed"/>
        <w:tblLook w:val="0600"/>
      </w:tblPr>
      <w:tblGrid>
        <w:gridCol w:w="1500"/>
        <w:gridCol w:w="5638"/>
        <w:gridCol w:w="1877"/>
        <w:tblGridChange w:id="0">
          <w:tblGrid>
            <w:gridCol w:w="1500"/>
            <w:gridCol w:w="5638"/>
            <w:gridCol w:w="1877"/>
          </w:tblGrid>
        </w:tblGridChange>
      </w:tblGrid>
      <w:tr>
        <w:trPr>
          <w:cantSplit w:val="0"/>
          <w:tblHeader w:val="0"/>
        </w:trPr>
        <w:tc>
          <w:tcPr>
            <w:shd w:fill="auto" w:val="clear"/>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2</m:t>
                  </m:r>
                </m:sub>
              </m:sSub>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sub>
              </m:sSub>
              <m:r>
                <w:rPr>
                  <w:rFonts w:ascii="Cambria Math" w:cs="Cambria Math" w:eastAsia="Cambria Math" w:hAnsi="Cambria Math"/>
                </w:rPr>
                <m:t xml:space="preserve">²−</m:t>
              </m:r>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sub>
                  </m:sSub>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sub>
              </m:sSub>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sub>
              </m:sSub>
              <m:r>
                <w:rPr>
                  <w:rFonts w:ascii="Cambria Math" w:cs="Cambria Math" w:eastAsia="Cambria Math" w:hAnsi="Cambria Math"/>
                </w:rPr>
                <m:t xml:space="preserve">=0</m:t>
              </m:r>
            </m:oMath>
            <w:r w:rsidDel="00000000" w:rsidR="00000000" w:rsidRPr="00000000">
              <w:rPr>
                <w:rtl w:val="0"/>
              </w:rPr>
            </w:r>
          </w:p>
        </w:tc>
        <w:tc>
          <w:tcPr>
            <w:shd w:fill="auto" w:val="clear"/>
          </w:tcPr>
          <w:p w:rsidR="00000000" w:rsidDel="00000000" w:rsidP="00000000" w:rsidRDefault="00000000" w:rsidRPr="00000000" w14:paraId="0000001E">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4)</w:t>
            </w:r>
          </w:p>
        </w:tc>
      </w:tr>
    </w:tbl>
    <w:p w:rsidR="00000000" w:rsidDel="00000000" w:rsidP="00000000" w:rsidRDefault="00000000" w:rsidRPr="00000000" w14:paraId="0000001F">
      <w:pPr>
        <w:spacing w:after="0" w:before="240" w:line="480" w:lineRule="auto"/>
        <w:jc w:val="both"/>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photosynthesis rate limited by the Rubisco carboxylation capacity:</w:t>
      </w:r>
    </w:p>
    <w:tbl>
      <w:tblPr>
        <w:tblStyle w:val="Table5"/>
        <w:tblW w:w="9015.0" w:type="dxa"/>
        <w:jc w:val="left"/>
        <w:tblInd w:w="0.0" w:type="dxa"/>
        <w:tblLayout w:type="fixed"/>
        <w:tblLook w:val="0600"/>
      </w:tblPr>
      <w:tblGrid>
        <w:gridCol w:w="1425"/>
        <w:gridCol w:w="5970"/>
        <w:gridCol w:w="1620"/>
        <w:tblGridChange w:id="0">
          <w:tblGrid>
            <w:gridCol w:w="1425"/>
            <w:gridCol w:w="5970"/>
            <w:gridCol w:w="1620"/>
          </w:tblGrid>
        </w:tblGridChange>
      </w:tblGrid>
      <w:tr>
        <w:trPr>
          <w:cantSplit w:val="0"/>
          <w:tblHeader w:val="0"/>
        </w:trPr>
        <w:tc>
          <w:tcPr>
            <w:shd w:fill="auto" w:val="clear"/>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i</m:t>
                      </m:r>
                    </m:sub>
                  </m:sSub>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pres</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i</m:t>
                          </m:r>
                        </m:sub>
                      </m:sSub>
                    </m:num>
                    <m:den>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pres</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sub>
                      </m:sSub>
                    </m:den>
                  </m:f>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2</m:t>
                          </m:r>
                        </m:e>
                        <m:sub>
                          <m:r>
                            <w:rPr>
                              <w:rFonts w:ascii="Cambria Math" w:cs="Cambria Math" w:eastAsia="Cambria Math" w:hAnsi="Cambria Math"/>
                            </w:rPr>
                            <m:t xml:space="preserve">i</m:t>
                          </m:r>
                        </m:sub>
                      </m:sSub>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1+</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3</m:t>
                                  </m:r>
                                </m:sub>
                              </m:sSub>
                            </m:num>
                            <m:den>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3</m:t>
                                      </m:r>
                                    </m:e>
                                    <m:sub>
                                      <m:r>
                                        <w:rPr>
                                          <w:rFonts w:ascii="Cambria Math" w:cs="Cambria Math" w:eastAsia="Cambria Math" w:hAnsi="Cambria Math"/>
                                        </w:rPr>
                                        <m:t xml:space="preserve">i</m:t>
                                      </m:r>
                                    </m:sub>
                                  </m:sSub>
                                </m:sub>
                              </m:sSub>
                            </m:den>
                          </m:f>
                        </m:e>
                      </m:d>
                    </m:e>
                  </m:d>
                </m:e>
              </m:d>
            </m:oMath>
            <w:r w:rsidDel="00000000" w:rsidR="00000000" w:rsidRPr="00000000">
              <w:rPr>
                <w:rtl w:val="0"/>
              </w:rPr>
            </w:r>
          </w:p>
        </w:tc>
        <w:tc>
          <w:tcPr>
            <w:shd w:fill="auto" w:val="clear"/>
          </w:tcPr>
          <w:p w:rsidR="00000000" w:rsidDel="00000000" w:rsidP="00000000" w:rsidRDefault="00000000" w:rsidRPr="00000000" w14:paraId="00000022">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5)</w:t>
            </w:r>
          </w:p>
        </w:tc>
      </w:tr>
    </w:tbl>
    <w:p w:rsidR="00000000" w:rsidDel="00000000" w:rsidP="00000000" w:rsidRDefault="00000000" w:rsidRPr="00000000" w14:paraId="00000023">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rate of Rubisco carboxylation,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pres</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is the partial CO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pressure at leaf interior, </w:t>
      </w:r>
      <m:oMath>
        <m:sSub>
          <m:sSubPr>
            <m:ctrlPr>
              <w:rPr>
                <w:rFonts w:ascii="Cambria Math" w:cs="Cambria Math" w:eastAsia="Cambria Math" w:hAnsi="Cambria Math"/>
              </w:rPr>
            </m:ctrlPr>
          </m:sSubPr>
          <m:e>
            <m:r>
              <m:t>Γ</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is the photorespiration compensation point,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2</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Michaelis-Menten constant for CO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3</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the Michaelis-Menten constant for 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w:t>
      </w:r>
    </w:p>
    <w:tbl>
      <w:tblPr>
        <w:tblStyle w:val="Table6"/>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24">
            <w:pPr>
              <w:keepNext w:val="1"/>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25">
            <w:pPr>
              <w:keepNext w:val="1"/>
              <w:spacing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2</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12</m:t>
                  </m:r>
                </m:sub>
              </m:sSub>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13</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10</m:t>
                      </m:r>
                    </m:sub>
                  </m:sSub>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11</m:t>
                      </m:r>
                    </m:sub>
                  </m:sSub>
                  <m:r>
                    <w:rPr>
                      <w:rFonts w:ascii="Times New Roman" w:cs="Times New Roman" w:eastAsia="Times New Roman" w:hAnsi="Times New Roman"/>
                      <w:sz w:val="24"/>
                      <w:szCs w:val="24"/>
                    </w:rPr>
                    <m:t xml:space="preserve">)</m:t>
                  </m:r>
                </m:sup>
              </m:sSubSup>
            </m:oMath>
            <w:r w:rsidDel="00000000" w:rsidR="00000000" w:rsidRPr="00000000">
              <w:rPr>
                <w:rtl w:val="0"/>
              </w:rPr>
            </w:r>
          </w:p>
        </w:tc>
        <w:tc>
          <w:tcPr>
            <w:shd w:fill="auto" w:val="clear"/>
          </w:tcPr>
          <w:p w:rsidR="00000000" w:rsidDel="00000000" w:rsidP="00000000" w:rsidRDefault="00000000" w:rsidRPr="00000000" w14:paraId="00000026">
            <w:pPr>
              <w:keepNext w:val="1"/>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6)</w:t>
            </w:r>
          </w:p>
        </w:tc>
      </w:tr>
      <w:tr>
        <w:trPr>
          <w:cantSplit w:val="0"/>
          <w:tblHeader w:val="0"/>
        </w:trPr>
        <w:tc>
          <w:tcPr>
            <w:shd w:fill="auto" w:val="clear"/>
          </w:tcPr>
          <w:p w:rsidR="00000000" w:rsidDel="00000000" w:rsidP="00000000" w:rsidRDefault="00000000" w:rsidRPr="00000000" w14:paraId="00000027">
            <w:pPr>
              <w:keepNext w:val="1"/>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28">
            <w:pPr>
              <w:keepNext w:val="1"/>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29">
            <w:pPr>
              <w:keepNext w:val="1"/>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2A">
      <w:pPr>
        <w:keepNext w:val="1"/>
        <w:spacing w:after="0" w:before="240"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7"/>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2B">
            <w:pPr>
              <w:keepNext w:val="1"/>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2C">
            <w:pPr>
              <w:keepNext w:val="1"/>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3</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14</m:t>
                  </m:r>
                </m:sub>
              </m:sSub>
              <m:sSubSup>
                <m:sSubSupPr>
                  <m:ctrlPr>
                    <w:rPr>
                      <w:rFonts w:ascii="Cambria Math" w:cs="Cambria Math" w:eastAsia="Cambria Math" w:hAnsi="Cambria Math"/>
                    </w:rPr>
                  </m:ctrlPr>
                </m:sSubSupPr>
                <m:e>
                  <m:r>
                    <w:rPr>
                      <w:rFonts w:ascii="Cambria Math" w:cs="Cambria Math" w:eastAsia="Cambria Math" w:hAnsi="Cambria Math"/>
                    </w:rPr>
                    <m:t xml:space="preserve">k</m:t>
                  </m:r>
                </m:e>
                <m:sub>
                  <m:r>
                    <w:rPr>
                      <w:rFonts w:ascii="Cambria Math" w:cs="Cambria Math" w:eastAsia="Cambria Math" w:hAnsi="Cambria Math"/>
                    </w:rPr>
                    <m:t xml:space="preserve">15</m:t>
                  </m:r>
                </m:sub>
                <m:sup>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10</m:t>
                      </m:r>
                    </m:sub>
                  </m:sSub>
                  <m:r>
                    <w:rPr>
                      <w:rFonts w:ascii="Cambria Math" w:cs="Cambria Math" w:eastAsia="Cambria Math" w:hAnsi="Cambria Math"/>
                    </w:rPr>
                    <m:t xml:space="preserve">(T - </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11</m:t>
                      </m:r>
                    </m:sub>
                  </m:sSub>
                  <m:r>
                    <w:rPr>
                      <w:rFonts w:ascii="Cambria Math" w:cs="Cambria Math" w:eastAsia="Cambria Math" w:hAnsi="Cambria Math"/>
                    </w:rPr>
                    <m:t xml:space="preserve">)</m:t>
                  </m:r>
                </m:sup>
              </m:sSubSup>
            </m:oMath>
            <w:r w:rsidDel="00000000" w:rsidR="00000000" w:rsidRPr="00000000">
              <w:rPr>
                <w:rtl w:val="0"/>
              </w:rPr>
            </w:r>
          </w:p>
        </w:tc>
        <w:tc>
          <w:tcPr>
            <w:shd w:fill="auto" w:val="clear"/>
          </w:tcPr>
          <w:p w:rsidR="00000000" w:rsidDel="00000000" w:rsidP="00000000" w:rsidRDefault="00000000" w:rsidRPr="00000000" w14:paraId="0000002D">
            <w:pPr>
              <w:keepNext w:val="1"/>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7)</w:t>
            </w:r>
          </w:p>
        </w:tc>
      </w:tr>
    </w:tbl>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8"/>
        <w:tblW w:w="9015.0" w:type="dxa"/>
        <w:jc w:val="left"/>
        <w:tblInd w:w="0.0" w:type="dxa"/>
        <w:tblLayout w:type="fixed"/>
        <w:tblLook w:val="0600"/>
      </w:tblPr>
      <w:tblGrid>
        <w:gridCol w:w="1050"/>
        <w:gridCol w:w="6765"/>
        <w:gridCol w:w="1200"/>
        <w:tblGridChange w:id="0">
          <w:tblGrid>
            <w:gridCol w:w="1050"/>
            <w:gridCol w:w="6765"/>
            <w:gridCol w:w="1200"/>
          </w:tblGrid>
        </w:tblGridChange>
      </w:tblGrid>
      <w:tr>
        <w:trPr>
          <w:cantSplit w:val="0"/>
          <w:tblHeader w:val="0"/>
        </w:trPr>
        <w:tc>
          <w:tcPr>
            <w:shd w:fill="auto" w:val="clea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pres</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16</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num>
                        <m:den>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17</m:t>
                              </m:r>
                            </m:sub>
                          </m:sSub>
                        </m:den>
                      </m:f>
                    </m:e>
                  </m:d>
                </m:e>
              </m:d>
              <m:r>
                <w:rPr>
                  <w:rFonts w:ascii="Cambria Math" w:cs="Cambria Math" w:eastAsia="Cambria Math" w:hAnsi="Cambria Math"/>
                </w:rPr>
                <m:t>∗</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i</m:t>
                      </m:r>
                    </m:sub>
                  </m:sSub>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i</m:t>
                  </m:r>
                </m:sub>
              </m:sSub>
            </m:oMath>
            <w:r w:rsidDel="00000000" w:rsidR="00000000" w:rsidRPr="00000000">
              <w:rPr>
                <w:rtl w:val="0"/>
              </w:rPr>
            </w:r>
          </w:p>
        </w:tc>
        <w:tc>
          <w:tcPr>
            <w:shd w:fill="auto" w:val="clear"/>
          </w:tcPr>
          <w:p w:rsidR="00000000" w:rsidDel="00000000" w:rsidP="00000000" w:rsidRDefault="00000000" w:rsidRPr="00000000" w14:paraId="00000031">
            <w:pPr>
              <w:widowControl w:val="0"/>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(SM 8)</w:t>
            </w:r>
          </w:p>
        </w:tc>
      </w:tr>
    </w:tbl>
    <w:p w:rsidR="00000000" w:rsidDel="00000000" w:rsidP="00000000" w:rsidRDefault="00000000" w:rsidRPr="00000000" w14:paraId="00000032">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is the leaf level moisture deficit and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is the atmospheric CO</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concentration (input).</w:t>
      </w:r>
    </w:p>
    <w:tbl>
      <w:tblPr>
        <w:tblStyle w:val="Table9"/>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highlight w:val="white"/>
              </w:rPr>
            </w:pPr>
            <m:oMath>
              <m:sSubSup>
                <m:sSubSupPr>
                  <m:ctrlPr>
                    <w:rPr>
                      <w:rFonts w:ascii="Cambria Math" w:cs="Cambria Math" w:eastAsia="Cambria Math" w:hAnsi="Cambria Math"/>
                    </w:rPr>
                  </m:ctrlPr>
                </m:sSubSupPr>
                <m:e>
                  <m:sSub>
                    <m:sSubPr>
                      <m:ctrlPr>
                        <w:rPr>
                          <w:rFonts w:ascii="Cambria Math" w:cs="Cambria Math" w:eastAsia="Cambria Math" w:hAnsi="Cambria Math"/>
                        </w:rPr>
                      </m:ctrlPr>
                    </m:sSubPr>
                    <m:e>
                      <m:r>
                        <m:t>Γ</m:t>
                      </m:r>
                    </m:e>
                    <m:sub>
                      <m:r>
                        <w:rPr>
                          <w:rFonts w:ascii="Cambria Math" w:cs="Cambria Math" w:eastAsia="Cambria Math" w:hAnsi="Cambria Math"/>
                        </w:rPr>
                        <m:t xml:space="preserve">i</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3</m:t>
                              </m:r>
                            </m:sub>
                          </m:sSub>
                        </m:num>
                        <m:den>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8</m:t>
                              </m:r>
                            </m:sub>
                          </m:sSub>
                        </m:den>
                      </m:f>
                    </m:e>
                  </m:d>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k</m:t>
                      </m:r>
                    </m:e>
                    <m:sub>
                      <m:r>
                        <w:rPr>
                          <w:rFonts w:ascii="Cambria Math" w:cs="Cambria Math" w:eastAsia="Cambria Math" w:hAnsi="Cambria Math"/>
                        </w:rPr>
                        <m:t xml:space="preserve">9</m:t>
                      </m:r>
                    </m:sub>
                    <m:sup>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11</m:t>
                          </m:r>
                        </m:sub>
                      </m:sSub>
                      <m:r>
                        <w:rPr>
                          <w:rFonts w:ascii="Cambria Math" w:cs="Cambria Math" w:eastAsia="Cambria Math" w:hAnsi="Cambria Math"/>
                        </w:rPr>
                        <m:t xml:space="preserve">)</m:t>
                      </m:r>
                    </m:sup>
                  </m:sSubSup>
                </m:e>
                <m:sub/>
                <m:sup/>
              </m:sSubSup>
            </m:oMath>
            <w:r w:rsidDel="00000000" w:rsidR="00000000" w:rsidRPr="00000000">
              <w:rPr>
                <w:rtl w:val="0"/>
              </w:rPr>
            </w:r>
          </w:p>
        </w:tc>
        <w:tc>
          <w:tcPr>
            <w:shd w:fill="auto" w:val="clear"/>
          </w:tcPr>
          <w:p w:rsidR="00000000" w:rsidDel="00000000" w:rsidP="00000000" w:rsidRDefault="00000000" w:rsidRPr="00000000" w14:paraId="00000035">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9)</w:t>
            </w:r>
          </w:p>
        </w:tc>
      </w:tr>
    </w:tbl>
    <w:p w:rsidR="00000000" w:rsidDel="00000000" w:rsidP="00000000" w:rsidRDefault="00000000" w:rsidRPr="00000000" w14:paraId="00000036">
      <w:pPr>
        <w:spacing w:after="0" w:before="240" w:line="480" w:lineRule="auto"/>
        <w:jc w:val="both"/>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oMath>
      <w:r w:rsidDel="00000000" w:rsidR="00000000" w:rsidRPr="00000000">
        <w:rPr>
          <w:rFonts w:ascii="Cambria Math" w:cs="Cambria Math" w:eastAsia="Cambria Math" w:hAnsi="Cambria Math"/>
          <w:rtl w:val="0"/>
        </w:rPr>
        <w:t xml:space="preserve"> </w:t>
      </w:r>
      <w:r w:rsidDel="00000000" w:rsidR="00000000" w:rsidRPr="00000000">
        <w:rPr>
          <w:rFonts w:ascii="Times New Roman" w:cs="Times New Roman" w:eastAsia="Times New Roman" w:hAnsi="Times New Roman"/>
          <w:sz w:val="24"/>
          <w:szCs w:val="24"/>
          <w:highlight w:val="white"/>
          <w:rtl w:val="0"/>
        </w:rPr>
        <w:t xml:space="preserve">is obtained by the actual mixing ratio on leaf level and the saturated mixing ratio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max</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10"/>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r>
                <w:rPr>
                  <w:rFonts w:ascii="Cambria Math" w:cs="Cambria Math" w:eastAsia="Cambria Math" w:hAnsi="Cambria Math"/>
                </w:rPr>
                <m:t xml:space="preserve">=−0.315</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ma</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sub>
              </m:sSub>
            </m:oMath>
            <w:r w:rsidDel="00000000" w:rsidR="00000000" w:rsidRPr="00000000">
              <w:rPr>
                <w:rtl w:val="0"/>
              </w:rPr>
            </w:r>
          </w:p>
        </w:tc>
        <w:tc>
          <w:tcPr>
            <w:shd w:fill="auto" w:val="clear"/>
          </w:tcPr>
          <w:p w:rsidR="00000000" w:rsidDel="00000000" w:rsidP="00000000" w:rsidRDefault="00000000" w:rsidRPr="00000000" w14:paraId="00000039">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10)</w:t>
            </w:r>
          </w:p>
        </w:tc>
      </w:tr>
    </w:tbl>
    <w:p w:rsidR="00000000" w:rsidDel="00000000" w:rsidP="00000000" w:rsidRDefault="00000000" w:rsidRPr="00000000" w14:paraId="0000003A">
      <w:pPr>
        <w:spacing w:after="0" w:before="240" w:line="480" w:lineRule="auto"/>
        <w:jc w:val="both"/>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max</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a function of partial pressure of water vapor (</w:t>
      </w:r>
      <m:oMath>
        <m:sSub>
          <m:sSubPr>
            <m:ctrlPr>
              <w:rPr>
                <w:rFonts w:ascii="Cambria Math" w:cs="Cambria Math" w:eastAsia="Cambria Math" w:hAnsi="Cambria Math"/>
              </w:rPr>
            </m:ctrlPr>
          </m:sSubPr>
          <m:e>
            <m:r>
              <w:rPr>
                <w:rFonts w:ascii="Cambria Math" w:cs="Cambria Math" w:eastAsia="Cambria Math" w:hAnsi="Cambria Math"/>
              </w:rPr>
              <m:t xml:space="preserve">w</m:t>
            </m:r>
          </m:e>
          <m:sub>
            <m:sSub>
              <m:sSubPr>
                <m:ctrlPr>
                  <w:rPr>
                    <w:rFonts w:ascii="Cambria Math" w:cs="Cambria Math" w:eastAsia="Cambria Math" w:hAnsi="Cambria Math"/>
                  </w:rPr>
                </m:ctrlPr>
              </m:sSubPr>
              <m:e>
                <m:r>
                  <w:rPr>
                    <w:rFonts w:ascii="Cambria Math" w:cs="Cambria Math" w:eastAsia="Cambria Math" w:hAnsi="Cambria Math"/>
                  </w:rPr>
                  <m:t xml:space="preserve">press</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and the surface pressure (</w:t>
      </w:r>
      <m:oMath>
        <m:sSub>
          <m:sSubPr>
            <m:ctrlPr>
              <w:rPr>
                <w:rFonts w:ascii="Cambria Math" w:cs="Cambria Math" w:eastAsia="Cambria Math" w:hAnsi="Cambria Math"/>
              </w:rPr>
            </m:ctrlPr>
          </m:sSubPr>
          <m:e>
            <m:r>
              <w:rPr>
                <w:rFonts w:ascii="Cambria Math" w:cs="Cambria Math" w:eastAsia="Cambria Math" w:hAnsi="Cambria Math"/>
              </w:rPr>
              <m:t xml:space="preserve">P</m:t>
            </m:r>
          </m:e>
          <m:sub>
            <m:sSub>
              <m:sSubPr>
                <m:ctrlPr>
                  <w:rPr>
                    <w:rFonts w:ascii="Cambria Math" w:cs="Cambria Math" w:eastAsia="Cambria Math" w:hAnsi="Cambria Math"/>
                  </w:rPr>
                </m:ctrlPr>
              </m:sSubPr>
              <m:e>
                <m:r>
                  <w:rPr>
                    <w:rFonts w:ascii="Cambria Math" w:cs="Cambria Math" w:eastAsia="Cambria Math" w:hAnsi="Cambria Math"/>
                  </w:rPr>
                  <m:t xml:space="preserve">surf</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1"/>
        <w:tblW w:w="9015.0" w:type="dxa"/>
        <w:jc w:val="left"/>
        <w:tblInd w:w="0.0" w:type="dxa"/>
        <w:tblLayout w:type="fixed"/>
        <w:tblLook w:val="0600"/>
      </w:tblPr>
      <w:tblGrid>
        <w:gridCol w:w="1800"/>
        <w:gridCol w:w="5745"/>
        <w:gridCol w:w="1470"/>
        <w:tblGridChange w:id="0">
          <w:tblGrid>
            <w:gridCol w:w="1800"/>
            <w:gridCol w:w="5745"/>
            <w:gridCol w:w="1470"/>
          </w:tblGrid>
        </w:tblGridChange>
      </w:tblGrid>
      <w:tr>
        <w:trPr>
          <w:cantSplit w:val="0"/>
          <w:tblHeader w:val="0"/>
        </w:trPr>
        <w:tc>
          <w:tcPr>
            <w:shd w:fill="auto" w:val="clear"/>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max</m:t>
                      </m:r>
                    </m:e>
                    <m:sub>
                      <m:r>
                        <w:rPr>
                          <w:rFonts w:ascii="Cambria Math" w:cs="Cambria Math" w:eastAsia="Cambria Math" w:hAnsi="Cambria Math"/>
                        </w:rPr>
                        <m:t xml:space="preserve">i</m:t>
                      </m:r>
                    </m:sub>
                  </m:sSub>
                </m:sub>
              </m:sSub>
              <m:r>
                <w:rPr>
                  <w:rFonts w:ascii="Cambria Math" w:cs="Cambria Math" w:eastAsia="Cambria Math" w:hAnsi="Cambria Math"/>
                </w:rPr>
                <m:t xml:space="preserve">=0.622</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pres</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sub>
                  </m:sSub>
                </m:num>
                <m:den>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sur</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y </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pres</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sub>
                  </m:sSub>
                </m:den>
              </m:f>
            </m:oMath>
            <w:r w:rsidDel="00000000" w:rsidR="00000000" w:rsidRPr="00000000">
              <w:rPr>
                <w:rtl w:val="0"/>
              </w:rPr>
            </w:r>
          </w:p>
        </w:tc>
        <w:tc>
          <w:tcPr>
            <w:shd w:fill="auto" w:val="clear"/>
          </w:tcPr>
          <w:p w:rsidR="00000000" w:rsidDel="00000000" w:rsidP="00000000" w:rsidRDefault="00000000" w:rsidRPr="00000000" w14:paraId="0000003E">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11)</w:t>
            </w:r>
          </w:p>
        </w:tc>
      </w:tr>
    </w:tbl>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2"/>
        <w:tblW w:w="9012.0" w:type="dxa"/>
        <w:jc w:val="left"/>
        <w:tblInd w:w="0.0" w:type="dxa"/>
        <w:tblLayout w:type="fixed"/>
        <w:tblLook w:val="0600"/>
      </w:tblPr>
      <w:tblGrid>
        <w:gridCol w:w="237"/>
        <w:gridCol w:w="7740"/>
        <w:gridCol w:w="1035"/>
        <w:tblGridChange w:id="0">
          <w:tblGrid>
            <w:gridCol w:w="237"/>
            <w:gridCol w:w="7740"/>
            <w:gridCol w:w="1035"/>
          </w:tblGrid>
        </w:tblGridChange>
      </w:tblGrid>
      <w:tr>
        <w:trPr>
          <w:cantSplit w:val="0"/>
          <w:tblHeader w:val="0"/>
        </w:trPr>
        <w:tc>
          <w:tcPr>
            <w:shd w:fill="auto" w:val="clea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w</m:t>
                  </m:r>
                </m:e>
                <m:sub>
                  <m:sSub>
                    <m:sSubPr>
                      <m:ctrlPr>
                        <w:rPr>
                          <w:rFonts w:ascii="Cambria Math" w:cs="Cambria Math" w:eastAsia="Cambria Math" w:hAnsi="Cambria Math"/>
                        </w:rPr>
                      </m:ctrlPr>
                    </m:sSubPr>
                    <m:e>
                      <m:r>
                        <w:rPr>
                          <w:rFonts w:ascii="Cambria Math" w:cs="Cambria Math" w:eastAsia="Cambria Math" w:hAnsi="Cambria Math"/>
                        </w:rPr>
                        <m:t xml:space="preserve">press</m:t>
                      </m:r>
                    </m:e>
                    <m:sub>
                      <m:r>
                        <w:rPr>
                          <w:rFonts w:ascii="Cambria Math" w:cs="Cambria Math" w:eastAsia="Cambria Math" w:hAnsi="Cambria Math"/>
                        </w:rPr>
                        <m:t xml:space="preserve">i</m:t>
                      </m:r>
                    </m:sub>
                  </m:sSub>
                </m:sub>
              </m:sSub>
              <m:r>
                <w:rPr>
                  <w:rFonts w:ascii="Cambria Math" w:cs="Cambria Math" w:eastAsia="Cambria Math" w:hAnsi="Cambria Math"/>
                </w:rPr>
                <m:t xml:space="preserve">=6.1121*exp</m:t>
              </m:r>
              <m:d>
                <m:dPr>
                  <m:begChr m:val="{"/>
                  <m:endChr m:val="}"/>
                  <m:ctrlPr>
                    <w:rPr>
                      <w:rFonts w:ascii="Cambria Math" w:cs="Cambria Math" w:eastAsia="Cambria Math" w:hAnsi="Cambria Math"/>
                    </w:rPr>
                  </m:ctrlPr>
                </m:dPr>
                <m:e>
                  <m:d>
                    <m:dPr>
                      <m:begChr m:val="["/>
                      <m:endChr m:val="]"/>
                      <m:ctrlPr>
                        <w:rPr>
                          <w:rFonts w:ascii="Cambria Math" w:cs="Cambria Math" w:eastAsia="Cambria Math" w:hAnsi="Cambria Math"/>
                        </w:rPr>
                      </m:ctrlPr>
                    </m:dPr>
                    <m:e>
                      <m:r>
                        <w:rPr>
                          <w:rFonts w:ascii="Cambria Math" w:cs="Cambria Math" w:eastAsia="Cambria Math" w:hAnsi="Cambria Math"/>
                        </w:rPr>
                        <m:t xml:space="preserve">18.678-</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num>
                            <m:den>
                              <m:r>
                                <w:rPr>
                                  <w:rFonts w:ascii="Cambria Math" w:cs="Cambria Math" w:eastAsia="Cambria Math" w:hAnsi="Cambria Math"/>
                                </w:rPr>
                                <m:t xml:space="preserve">234.5</m:t>
                              </m:r>
                            </m:den>
                          </m:f>
                        </m:e>
                      </m:d>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num>
                        <m:den>
                          <m:d>
                            <m:dPr>
                              <m:begChr m:val="("/>
                              <m:endChr m:val=")"/>
                              <m:ctrlPr>
                                <w:rPr>
                                  <w:rFonts w:ascii="Cambria Math" w:cs="Cambria Math" w:eastAsia="Cambria Math" w:hAnsi="Cambria Math"/>
                                </w:rPr>
                              </m:ctrlPr>
                            </m:dPr>
                            <m:e>
                              <m:r>
                                <w:rPr>
                                  <w:rFonts w:ascii="Cambria Math" w:cs="Cambria Math" w:eastAsia="Cambria Math" w:hAnsi="Cambria Math"/>
                                </w:rPr>
                                <m:t xml:space="preserve">257.14 + </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e>
                          </m:d>
                        </m:den>
                      </m:f>
                    </m:e>
                  </m:d>
                </m:e>
              </m:d>
              <m:r>
                <w:rPr>
                  <w:rFonts w:ascii="Cambria Math" w:cs="Cambria Math" w:eastAsia="Cambria Math" w:hAnsi="Cambria Math"/>
                </w:rPr>
                <m:t xml:space="preserve"> </m:t>
              </m:r>
            </m:oMath>
            <w:r w:rsidDel="00000000" w:rsidR="00000000" w:rsidRPr="00000000">
              <w:rPr>
                <w:rtl w:val="0"/>
              </w:rPr>
            </w:r>
          </w:p>
        </w:tc>
        <w:tc>
          <w:tcPr>
            <w:shd w:fill="auto" w:val="clear"/>
          </w:tcPr>
          <w:p w:rsidR="00000000" w:rsidDel="00000000" w:rsidP="00000000" w:rsidRDefault="00000000" w:rsidRPr="00000000" w14:paraId="00000042">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12)</w:t>
            </w:r>
          </w:p>
          <w:p w:rsidR="00000000" w:rsidDel="00000000" w:rsidP="00000000" w:rsidRDefault="00000000" w:rsidRPr="00000000" w14:paraId="00000043">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photosynthetic rate limited by light as a function of the incident photosynthetically active radiation [</w:t>
      </w:r>
      <m:oMath>
        <m:sSub>
          <m:sSubPr>
            <m:ctrlPr>
              <w:rPr>
                <w:rFonts w:ascii="Cambria Math" w:cs="Cambria Math" w:eastAsia="Cambria Math" w:hAnsi="Cambria Math"/>
              </w:rPr>
            </m:ctrlPr>
          </m:sSubPr>
          <m:e>
            <m:r>
              <w:rPr>
                <w:rFonts w:ascii="Cambria Math" w:cs="Cambria Math" w:eastAsia="Cambria Math" w:hAnsi="Cambria Math"/>
              </w:rPr>
              <m:t xml:space="preserve">IPAR</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here we considered </w:t>
      </w:r>
      <m:oMath>
        <m:r>
          <w:rPr>
            <w:rFonts w:ascii="Cambria Math" w:cs="Cambria Math" w:eastAsia="Cambria Math" w:hAnsi="Cambria Math"/>
          </w:rPr>
          <m:t xml:space="preserve">IPAR</m:t>
        </m:r>
      </m:oMath>
      <w:r w:rsidDel="00000000" w:rsidR="00000000" w:rsidRPr="00000000">
        <w:rPr>
          <w:rFonts w:ascii="Times New Roman" w:cs="Times New Roman" w:eastAsia="Times New Roman" w:hAnsi="Times New Roman"/>
          <w:sz w:val="24"/>
          <w:szCs w:val="24"/>
          <w:highlight w:val="white"/>
          <w:rtl w:val="0"/>
        </w:rPr>
        <w:t xml:space="preserve"> as 50% of the shortwave radiation (input)]:</w:t>
      </w:r>
    </w:p>
    <w:tbl>
      <w:tblPr>
        <w:tblStyle w:val="Table13"/>
        <w:tblW w:w="9015.000000000002" w:type="dxa"/>
        <w:jc w:val="left"/>
        <w:tblInd w:w="0.0" w:type="dxa"/>
        <w:tblLayout w:type="fixed"/>
        <w:tblLook w:val="0600"/>
      </w:tblPr>
      <w:tblGrid>
        <w:gridCol w:w="1363"/>
        <w:gridCol w:w="6031"/>
        <w:gridCol w:w="1621"/>
        <w:tblGridChange w:id="0">
          <w:tblGrid>
            <w:gridCol w:w="1363"/>
            <w:gridCol w:w="6031"/>
            <w:gridCol w:w="1621"/>
          </w:tblGrid>
        </w:tblGridChange>
      </w:tblGrid>
      <w:tr>
        <w:trPr>
          <w:cantSplit w:val="0"/>
          <w:tblHeader w:val="0"/>
        </w:trPr>
        <w:tc>
          <w:tcPr>
            <w:shd w:fill="auto" w:val="clea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4</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1−</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5</m:t>
                      </m:r>
                    </m:sub>
                  </m:sSub>
                </m:e>
              </m:d>
              <m:r>
                <w:rPr>
                  <w:rFonts w:ascii="Cambria Math" w:cs="Cambria Math" w:eastAsia="Cambria Math" w:hAnsi="Cambria Math"/>
                </w:rPr>
                <m:t xml:space="preserve">IPA</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oMath>
            <w:r w:rsidDel="00000000" w:rsidR="00000000" w:rsidRPr="00000000">
              <w:rPr>
                <w:rtl w:val="0"/>
              </w:rPr>
            </w:r>
          </w:p>
        </w:tc>
        <w:tc>
          <w:tcPr>
            <w:shd w:fill="auto" w:val="clear"/>
          </w:tcPr>
          <w:p w:rsidR="00000000" w:rsidDel="00000000" w:rsidP="00000000" w:rsidRDefault="00000000" w:rsidRPr="00000000" w14:paraId="00000047">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13)</w:t>
            </w:r>
          </w:p>
        </w:tc>
      </w:tr>
    </w:tbl>
    <w:p w:rsidR="00000000" w:rsidDel="00000000" w:rsidP="00000000" w:rsidRDefault="00000000" w:rsidRPr="00000000" w14:paraId="00000048">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photosynthetic rate limited by the electron transport </w:t>
      </w:r>
      <w:r w:rsidDel="00000000" w:rsidR="00000000" w:rsidRPr="00000000">
        <w:rPr>
          <w:rFonts w:ascii="Times New Roman" w:cs="Times New Roman" w:eastAsia="Times New Roman" w:hAnsi="Times New Roman"/>
          <w:sz w:val="24"/>
          <w:szCs w:val="24"/>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is given by:</w:t>
      </w:r>
    </w:p>
    <w:tbl>
      <w:tblPr>
        <w:tblStyle w:val="Table14"/>
        <w:tblW w:w="9015.0" w:type="dxa"/>
        <w:jc w:val="left"/>
        <w:tblInd w:w="0.0" w:type="dxa"/>
        <w:tblLayout w:type="fixed"/>
        <w:tblLook w:val="0600"/>
      </w:tblPr>
      <w:tblGrid>
        <w:gridCol w:w="1755"/>
        <w:gridCol w:w="6029"/>
        <w:gridCol w:w="1231"/>
        <w:tblGridChange w:id="0">
          <w:tblGrid>
            <w:gridCol w:w="1755"/>
            <w:gridCol w:w="6029"/>
            <w:gridCol w:w="1231"/>
          </w:tblGrid>
        </w:tblGridChange>
      </w:tblGrid>
      <w:tr>
        <w:trPr>
          <w:cantSplit w:val="0"/>
          <w:trHeight w:val="225" w:hRule="atLeast"/>
          <w:tblHeader w:val="0"/>
        </w:trPr>
        <w:tc>
          <w:tcPr>
            <w:shd w:fill="auto" w:val="clea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J</m:t>
                  </m:r>
                </m:e>
                <m:sub>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7</m:t>
                  </m:r>
                </m:sub>
              </m:sSub>
              <m:sSub>
                <m:sSubPr>
                  <m:ctrlPr>
                    <w:rPr>
                      <w:rFonts w:ascii="Cambria Math" w:cs="Cambria Math" w:eastAsia="Cambria Math" w:hAnsi="Cambria Math"/>
                    </w:rPr>
                  </m:ctrlPr>
                </m:sSubPr>
                <m:e>
                  <m:r>
                    <w:rPr>
                      <w:rFonts w:ascii="Cambria Math" w:cs="Cambria Math" w:eastAsia="Cambria Math" w:hAnsi="Cambria Math"/>
                    </w:rPr>
                    <m:t xml:space="preserve">V</m:t>
                  </m:r>
                </m:e>
                <m:sub>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i</m:t>
                      </m:r>
                    </m:sub>
                  </m:sSub>
                </m:sub>
              </m:sSub>
            </m:oMath>
            <w:r w:rsidDel="00000000" w:rsidR="00000000" w:rsidRPr="00000000">
              <w:rPr>
                <w:rtl w:val="0"/>
              </w:rPr>
            </w:r>
          </w:p>
        </w:tc>
        <w:tc>
          <w:tcPr>
            <w:shd w:fill="auto" w:val="clear"/>
          </w:tcPr>
          <w:p w:rsidR="00000000" w:rsidDel="00000000" w:rsidP="00000000" w:rsidRDefault="00000000" w:rsidRPr="00000000" w14:paraId="0000004B">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14)</w:t>
            </w:r>
          </w:p>
        </w:tc>
      </w:tr>
      <w:tr>
        <w:trPr>
          <w:cantSplit w:val="0"/>
          <w:tblHeader w:val="0"/>
        </w:trPr>
        <w:tc>
          <w:tcPr>
            <w:shd w:fill="auto" w:val="clear"/>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V</m:t>
                  </m:r>
                </m:e>
                <m:sub>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sSub>
                    <m:sSubPr>
                      <m:ctrlPr>
                        <w:rPr>
                          <w:rFonts w:ascii="Cambria Math" w:cs="Cambria Math" w:eastAsia="Cambria Math" w:hAnsi="Cambria Math"/>
                        </w:rPr>
                      </m:ctrlPr>
                    </m:sSubPr>
                    <m:e>
                      <m:r>
                        <w:rPr>
                          <w:rFonts w:ascii="Cambria Math" w:cs="Cambria Math" w:eastAsia="Cambria Math" w:hAnsi="Cambria Math"/>
                        </w:rPr>
                        <m:t xml:space="preserve">cmax</m:t>
                      </m:r>
                    </m:e>
                    <m:sub>
                      <m:r>
                        <w:rPr>
                          <w:rFonts w:ascii="Cambria Math" w:cs="Cambria Math" w:eastAsia="Cambria Math" w:hAnsi="Cambria Math"/>
                        </w:rPr>
                        <m:t xml:space="preserve">i</m:t>
                      </m:r>
                    </m:sub>
                  </m:sSub>
                </m:sub>
              </m:sSub>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sSubSup>
                        <m:sSubSupPr>
                          <m:ctrlPr>
                            <w:rPr>
                              <w:rFonts w:ascii="Cambria Math" w:cs="Cambria Math" w:eastAsia="Cambria Math" w:hAnsi="Cambria Math"/>
                            </w:rPr>
                          </m:ctrlPr>
                        </m:sSubSupPr>
                        <m:e>
                          <m:r>
                            <w:rPr>
                              <w:rFonts w:ascii="Cambria Math" w:cs="Cambria Math" w:eastAsia="Cambria Math" w:hAnsi="Cambria Math"/>
                            </w:rPr>
                            <m:t xml:space="preserve">k</m:t>
                          </m:r>
                        </m:e>
                        <m:sub>
                          <m:r>
                            <w:rPr>
                              <w:rFonts w:ascii="Cambria Math" w:cs="Cambria Math" w:eastAsia="Cambria Math" w:hAnsi="Cambria Math"/>
                            </w:rPr>
                            <m:t xml:space="preserve">18</m:t>
                          </m:r>
                        </m:sub>
                        <m:sup>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10</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11</m:t>
                                  </m:r>
                                </m:sub>
                              </m:sSub>
                            </m:e>
                          </m:d>
                        </m:sup>
                      </m:sSubSup>
                    </m:e>
                  </m:d>
                </m:num>
                <m:den>
                  <m:r>
                    <w:rPr>
                      <w:rFonts w:ascii="Cambria Math" w:cs="Cambria Math" w:eastAsia="Cambria Math" w:hAnsi="Cambria Math"/>
                    </w:rPr>
                    <m:t xml:space="preserve">1</m:t>
                  </m:r>
                </m:den>
              </m:f>
              <m:r>
                <w:rPr>
                  <w:rFonts w:ascii="Cambria Math" w:cs="Cambria Math" w:eastAsia="Cambria Math" w:hAnsi="Cambria Math"/>
                </w:rPr>
                <m:t xml:space="preserve">+exp</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19</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20</m:t>
                          </m:r>
                        </m:sub>
                      </m:sSub>
                    </m:e>
                  </m:d>
                </m:e>
              </m:d>
            </m:oMath>
            <w:r w:rsidDel="00000000" w:rsidR="00000000" w:rsidRPr="00000000">
              <w:rPr>
                <w:rtl w:val="0"/>
              </w:rPr>
            </w:r>
          </w:p>
        </w:tc>
        <w:tc>
          <w:tcPr>
            <w:shd w:fill="auto" w:val="clear"/>
          </w:tcPr>
          <w:p w:rsidR="00000000" w:rsidDel="00000000" w:rsidP="00000000" w:rsidRDefault="00000000" w:rsidRPr="00000000" w14:paraId="0000004E">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15)</w:t>
            </w:r>
          </w:p>
        </w:tc>
      </w:tr>
    </w:tbl>
    <w:p w:rsidR="00000000" w:rsidDel="00000000" w:rsidP="00000000" w:rsidRDefault="00000000" w:rsidRPr="00000000" w14:paraId="0000004F">
      <w:pPr>
        <w:spacing w:after="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sSub>
              <m:sSubPr>
                <m:ctrlPr>
                  <w:rPr>
                    <w:rFonts w:ascii="Cambria Math" w:cs="Cambria Math" w:eastAsia="Cambria Math" w:hAnsi="Cambria Math"/>
                  </w:rPr>
                </m:ctrlPr>
              </m:sSubPr>
              <m:e>
                <m:r>
                  <w:rPr>
                    <w:rFonts w:ascii="Cambria Math" w:cs="Cambria Math" w:eastAsia="Cambria Math" w:hAnsi="Cambria Math"/>
                  </w:rPr>
                  <m:t xml:space="preserve">cmax</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(Table SM.6)  is the maximum rate of Rubisco carboxylation and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oMath>
      <w:r w:rsidDel="00000000" w:rsidR="00000000" w:rsidRPr="00000000">
        <w:rPr>
          <w:rFonts w:ascii="Times New Roman" w:cs="Times New Roman" w:eastAsia="Times New Roman" w:hAnsi="Times New Roman"/>
          <w:sz w:val="24"/>
          <w:szCs w:val="24"/>
          <w:highlight w:val="white"/>
          <w:rtl w:val="0"/>
        </w:rPr>
        <w:t xml:space="preserve"> (input) is temperature.</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function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4</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is used in the canopy scaling of photosynthesis. Since we assume a canopy division in sun and shade parts this function is subdivided in </w:t>
      </w:r>
      <m:oMath>
        <m:sSubSup>
          <m:sSubSupPr>
            <m:ctrlPr>
              <w:rPr>
                <w:rFonts w:ascii="Cambria Math" w:cs="Cambria Math" w:eastAsia="Cambria Math" w:hAnsi="Cambria Math"/>
              </w:rPr>
            </m:ctrlPr>
          </m:sSubSup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4</m:t>
                </m:r>
              </m:e>
              <m:sub>
                <m:r>
                  <w:rPr>
                    <w:rFonts w:ascii="Cambria Math" w:cs="Cambria Math" w:eastAsia="Cambria Math" w:hAnsi="Cambria Math"/>
                  </w:rPr>
                  <m:t xml:space="preserve">i</m:t>
                </m:r>
              </m:sub>
            </m:sSub>
          </m:sub>
          <m:sup>
            <m:r>
              <w:rPr>
                <w:rFonts w:ascii="Cambria Math" w:cs="Cambria Math" w:eastAsia="Cambria Math" w:hAnsi="Cambria Math"/>
              </w:rPr>
              <m:t xml:space="preserve">sun</m:t>
            </m:r>
          </m:sup>
        </m:sSubSup>
      </m:oMath>
      <w:r w:rsidDel="00000000" w:rsidR="00000000" w:rsidRPr="00000000">
        <w:rPr>
          <w:rFonts w:ascii="Times New Roman" w:cs="Times New Roman" w:eastAsia="Times New Roman" w:hAnsi="Times New Roman"/>
          <w:sz w:val="24"/>
          <w:szCs w:val="24"/>
          <w:highlight w:val="white"/>
          <w:rtl w:val="0"/>
        </w:rPr>
        <w:t xml:space="preserve"> and </w:t>
      </w:r>
      <m:oMath>
        <m:sSubSup>
          <m:sSubSupPr>
            <m:ctrlPr>
              <w:rPr>
                <w:rFonts w:ascii="Cambria Math" w:cs="Cambria Math" w:eastAsia="Cambria Math" w:hAnsi="Cambria Math"/>
              </w:rPr>
            </m:ctrlPr>
          </m:sSubSup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4</m:t>
                </m:r>
              </m:e>
              <m:sub>
                <m:r>
                  <w:rPr>
                    <w:rFonts w:ascii="Cambria Math" w:cs="Cambria Math" w:eastAsia="Cambria Math" w:hAnsi="Cambria Math"/>
                  </w:rPr>
                  <m:t xml:space="preserve">i</m:t>
                </m:r>
              </m:sub>
            </m:sSub>
          </m:sub>
          <m:sup>
            <m:r>
              <w:rPr>
                <w:rFonts w:ascii="Cambria Math" w:cs="Cambria Math" w:eastAsia="Cambria Math" w:hAnsi="Cambria Math"/>
              </w:rPr>
              <m:t xml:space="preserve">shade</m:t>
            </m:r>
          </m:sup>
        </m:sSubSup>
      </m:oMath>
      <w:r w:rsidDel="00000000" w:rsidR="00000000" w:rsidRPr="00000000">
        <w:rPr>
          <w:rFonts w:ascii="Times New Roman" w:cs="Times New Roman" w:eastAsia="Times New Roman" w:hAnsi="Times New Roman"/>
          <w:sz w:val="24"/>
          <w:szCs w:val="24"/>
          <w:highlight w:val="white"/>
          <w:rtl w:val="0"/>
        </w:rPr>
        <w:t xml:space="preserve">. The sun part aims to represent the canopy portion in which solar radiation reaches it directly in a 90º angle, while the shade part receives diffuse radiation in a 20º angle.</w:t>
      </w:r>
    </w:p>
    <w:tbl>
      <w:tblPr>
        <w:tblStyle w:val="Table15"/>
        <w:tblW w:w="9015.0" w:type="dxa"/>
        <w:jc w:val="left"/>
        <w:tblInd w:w="0.0" w:type="dxa"/>
        <w:tblLayout w:type="fixed"/>
        <w:tblLook w:val="0600"/>
      </w:tblPr>
      <w:tblGrid>
        <w:gridCol w:w="2114"/>
        <w:gridCol w:w="4393"/>
        <w:gridCol w:w="2508"/>
        <w:tblGridChange w:id="0">
          <w:tblGrid>
            <w:gridCol w:w="2114"/>
            <w:gridCol w:w="4393"/>
            <w:gridCol w:w="2508"/>
          </w:tblGrid>
        </w:tblGridChange>
      </w:tblGrid>
      <w:tr>
        <w:trPr>
          <w:cantSplit w:val="0"/>
          <w:tblHeader w:val="0"/>
        </w:trPr>
        <w:tc>
          <w:tcPr>
            <w:shd w:fill="auto" w:val="clea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highlight w:val="white"/>
              </w:rPr>
            </w:pPr>
            <m:oMath>
              <m:sSubSup>
                <m:sSubSupPr>
                  <m:ctrlPr>
                    <w:rPr>
                      <w:rFonts w:ascii="Cambria Math" w:cs="Cambria Math" w:eastAsia="Cambria Math" w:hAnsi="Cambria Math"/>
                    </w:rPr>
                  </m:ctrlPr>
                </m:sSubSup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4</m:t>
                      </m:r>
                    </m:e>
                    <m:sub>
                      <m:r>
                        <w:rPr>
                          <w:rFonts w:ascii="Cambria Math" w:cs="Cambria Math" w:eastAsia="Cambria Math" w:hAnsi="Cambria Math"/>
                        </w:rPr>
                        <m:t xml:space="preserve">i</m:t>
                      </m:r>
                    </m:sub>
                  </m:sSub>
                </m:sub>
                <m:sup>
                  <m:r>
                    <w:rPr>
                      <w:rFonts w:ascii="Cambria Math" w:cs="Cambria Math" w:eastAsia="Cambria Math" w:hAnsi="Cambria Math"/>
                    </w:rPr>
                    <m:t xml:space="preserve">sun</m:t>
                  </m:r>
                </m:sup>
              </m:sSubSup>
              <m:r>
                <w:rPr>
                  <w:rFonts w:ascii="Cambria Math" w:cs="Cambria Math" w:eastAsia="Cambria Math" w:hAnsi="Cambria Math"/>
                </w:rPr>
                <m:t xml:space="preserve">=</m:t>
              </m:r>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r>
                        <w:rPr>
                          <w:rFonts w:ascii="Cambria Math" w:cs="Cambria Math" w:eastAsia="Cambria Math" w:hAnsi="Cambria Math"/>
                        </w:rPr>
                        <m:t xml:space="preserve">1−</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21</m:t>
                              </m:r>
                            </m:sub>
                          </m:sSub>
                          <m:r>
                            <w:rPr>
                              <w:rFonts w:ascii="Cambria Math" w:cs="Cambria Math" w:eastAsia="Cambria Math" w:hAnsi="Cambria Math"/>
                            </w:rPr>
                            <m:t xml:space="preserve">LA</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su</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i</m:t>
                                  </m:r>
                                </m:sub>
                              </m:sSub>
                            </m:sub>
                          </m:sSub>
                        </m:sup>
                      </m:sSup>
                    </m:e>
                  </m:d>
                </m:num>
                <m:den>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21</m:t>
                      </m:r>
                    </m:sub>
                  </m:sSub>
                </m:den>
              </m:f>
            </m:oMath>
            <w:r w:rsidDel="00000000" w:rsidR="00000000" w:rsidRPr="00000000">
              <w:rPr>
                <w:rtl w:val="0"/>
              </w:rPr>
            </w:r>
          </w:p>
        </w:tc>
        <w:tc>
          <w:tcPr>
            <w:shd w:fill="auto" w:val="clear"/>
          </w:tcPr>
          <w:p w:rsidR="00000000" w:rsidDel="00000000" w:rsidP="00000000" w:rsidRDefault="00000000" w:rsidRPr="00000000" w14:paraId="00000053">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16)</w:t>
            </w:r>
          </w:p>
        </w:tc>
      </w:tr>
      <w:tr>
        <w:trPr>
          <w:cantSplit w:val="0"/>
          <w:tblHeader w:val="0"/>
        </w:trPr>
        <w:tc>
          <w:tcPr>
            <w:shd w:fill="auto" w:val="clear"/>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highlight w:val="white"/>
              </w:rPr>
            </w:pPr>
            <m:oMath>
              <m:sSubSup>
                <m:sSubSupPr>
                  <m:ctrlPr>
                    <w:rPr>
                      <w:rFonts w:ascii="Cambria Math" w:cs="Cambria Math" w:eastAsia="Cambria Math" w:hAnsi="Cambria Math"/>
                    </w:rPr>
                  </m:ctrlPr>
                </m:sSubSup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4</m:t>
                      </m:r>
                    </m:e>
                    <m:sub>
                      <m:r>
                        <w:rPr>
                          <w:rFonts w:ascii="Cambria Math" w:cs="Cambria Math" w:eastAsia="Cambria Math" w:hAnsi="Cambria Math"/>
                        </w:rPr>
                        <m:t xml:space="preserve">i</m:t>
                      </m:r>
                    </m:sub>
                  </m:sSub>
                </m:sub>
                <m:sup>
                  <m:r>
                    <w:rPr>
                      <w:rFonts w:ascii="Cambria Math" w:cs="Cambria Math" w:eastAsia="Cambria Math" w:hAnsi="Cambria Math"/>
                    </w:rPr>
                    <m:t xml:space="preserve">shade</m:t>
                  </m:r>
                </m:sup>
              </m:sSubSup>
              <m:r>
                <w:rPr>
                  <w:rFonts w:ascii="Cambria Math" w:cs="Cambria Math" w:eastAsia="Cambria Math" w:hAnsi="Cambria Math"/>
                </w:rPr>
                <m:t xml:space="preserve">=</m:t>
              </m:r>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r>
                        <w:rPr>
                          <w:rFonts w:ascii="Cambria Math" w:cs="Cambria Math" w:eastAsia="Cambria Math" w:hAnsi="Cambria Math"/>
                        </w:rPr>
                        <m:t xml:space="preserve">1−</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22</m:t>
                              </m:r>
                            </m:sub>
                          </m:sSub>
                          <m:r>
                            <w:rPr>
                              <w:rFonts w:ascii="Cambria Math" w:cs="Cambria Math" w:eastAsia="Cambria Math" w:hAnsi="Cambria Math"/>
                            </w:rPr>
                            <m:t xml:space="preserve">LA</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shad</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i</m:t>
                                  </m:r>
                                </m:sub>
                              </m:sSub>
                            </m:sub>
                          </m:sSub>
                        </m:sup>
                      </m:sSup>
                    </m:e>
                  </m:d>
                </m:num>
                <m:den>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22</m:t>
                      </m:r>
                    </m:sub>
                  </m:sSub>
                </m:den>
              </m:f>
            </m:oMath>
            <w:r w:rsidDel="00000000" w:rsidR="00000000" w:rsidRPr="00000000">
              <w:rPr>
                <w:rtl w:val="0"/>
              </w:rPr>
            </w:r>
          </w:p>
        </w:tc>
        <w:tc>
          <w:tcPr>
            <w:shd w:fill="auto" w:val="clear"/>
          </w:tcPr>
          <w:p w:rsidR="00000000" w:rsidDel="00000000" w:rsidP="00000000" w:rsidRDefault="00000000" w:rsidRPr="00000000" w14:paraId="00000056">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17)</w:t>
            </w:r>
          </w:p>
        </w:tc>
      </w:tr>
    </w:tbl>
    <w:p w:rsidR="00000000" w:rsidDel="00000000" w:rsidP="00000000" w:rsidRDefault="00000000" w:rsidRPr="00000000" w14:paraId="00000057">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LAI</m:t>
            </m:r>
          </m:e>
          <m:sub>
            <m:r>
              <w:rPr>
                <w:rFonts w:ascii="Cambria Math" w:cs="Cambria Math" w:eastAsia="Cambria Math" w:hAnsi="Cambria Math"/>
              </w:rPr>
              <m:t xml:space="preserve">i</m:t>
            </m:r>
          </m:sub>
        </m:sSub>
      </m:oMath>
      <w:r w:rsidDel="00000000" w:rsidR="00000000" w:rsidRPr="00000000">
        <w:rPr>
          <w:rFonts w:ascii="Cambria Math" w:cs="Cambria Math" w:eastAsia="Cambria Math" w:hAnsi="Cambria Math"/>
          <w:rtl w:val="0"/>
        </w:rPr>
        <w:t xml:space="preserve"> </w:t>
      </w:r>
      <w:r w:rsidDel="00000000" w:rsidR="00000000" w:rsidRPr="00000000">
        <w:rPr>
          <w:rFonts w:ascii="Times New Roman" w:cs="Times New Roman" w:eastAsia="Times New Roman" w:hAnsi="Times New Roman"/>
          <w:sz w:val="24"/>
          <w:szCs w:val="24"/>
          <w:highlight w:val="white"/>
          <w:rtl w:val="0"/>
        </w:rPr>
        <w:t xml:space="preserve">is the leaf area index also splitted in </w:t>
      </w:r>
      <m:oMath>
        <m:sSub>
          <m:sSubPr>
            <m:ctrlPr>
              <w:rPr>
                <w:rFonts w:ascii="Cambria Math" w:cs="Cambria Math" w:eastAsia="Cambria Math" w:hAnsi="Cambria Math"/>
              </w:rPr>
            </m:ctrlPr>
          </m:sSubPr>
          <m:e>
            <m:r>
              <w:rPr>
                <w:rFonts w:ascii="Cambria Math" w:cs="Cambria Math" w:eastAsia="Cambria Math" w:hAnsi="Cambria Math"/>
              </w:rPr>
              <m:t xml:space="preserve">LAI</m:t>
            </m:r>
          </m:e>
          <m:sub>
            <m:sSub>
              <m:sSubPr>
                <m:ctrlPr>
                  <w:rPr>
                    <w:rFonts w:ascii="Cambria Math" w:cs="Cambria Math" w:eastAsia="Cambria Math" w:hAnsi="Cambria Math"/>
                  </w:rPr>
                </m:ctrlPr>
              </m:sSubPr>
              <m:e>
                <m:r>
                  <w:rPr>
                    <w:rFonts w:ascii="Cambria Math" w:cs="Cambria Math" w:eastAsia="Cambria Math" w:hAnsi="Cambria Math"/>
                  </w:rPr>
                  <m:t xml:space="preserve">sun</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and </w:t>
      </w:r>
      <m:oMath>
        <m:sSub>
          <m:sSubPr>
            <m:ctrlPr>
              <w:rPr>
                <w:rFonts w:ascii="Cambria Math" w:cs="Cambria Math" w:eastAsia="Cambria Math" w:hAnsi="Cambria Math"/>
              </w:rPr>
            </m:ctrlPr>
          </m:sSubPr>
          <m:e>
            <m:r>
              <w:rPr>
                <w:rFonts w:ascii="Cambria Math" w:cs="Cambria Math" w:eastAsia="Cambria Math" w:hAnsi="Cambria Math"/>
              </w:rPr>
              <m:t xml:space="preserve">LAI</m:t>
            </m:r>
          </m:e>
          <m:sub>
            <m:sSub>
              <m:sSubPr>
                <m:ctrlPr>
                  <w:rPr>
                    <w:rFonts w:ascii="Cambria Math" w:cs="Cambria Math" w:eastAsia="Cambria Math" w:hAnsi="Cambria Math"/>
                  </w:rPr>
                </m:ctrlPr>
              </m:sSubPr>
              <m:e>
                <m:r>
                  <w:rPr>
                    <w:rFonts w:ascii="Cambria Math" w:cs="Cambria Math" w:eastAsia="Cambria Math" w:hAnsi="Cambria Math"/>
                  </w:rPr>
                  <m:t xml:space="preserve">shade</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in order to follow the canopy subdivision. Then, following Beer-Lambert’s Law (see De Pury &amp; Farquhar, 1997):</w:t>
      </w:r>
    </w:p>
    <w:tbl>
      <w:tblPr>
        <w:tblStyle w:val="Table16"/>
        <w:tblW w:w="9015.0" w:type="dxa"/>
        <w:jc w:val="left"/>
        <w:tblInd w:w="0.0" w:type="dxa"/>
        <w:tblLayout w:type="fixed"/>
        <w:tblLook w:val="0600"/>
      </w:tblPr>
      <w:tblGrid>
        <w:gridCol w:w="1470"/>
        <w:gridCol w:w="6075"/>
        <w:gridCol w:w="1470"/>
        <w:tblGridChange w:id="0">
          <w:tblGrid>
            <w:gridCol w:w="1470"/>
            <w:gridCol w:w="6075"/>
            <w:gridCol w:w="1470"/>
          </w:tblGrid>
        </w:tblGridChange>
      </w:tblGrid>
      <w:tr>
        <w:trPr>
          <w:cantSplit w:val="0"/>
          <w:tblHeader w:val="0"/>
        </w:trPr>
        <w:tc>
          <w:tcPr>
            <w:shd w:fill="auto" w:val="clear"/>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LAI</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leave</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sub>
              </m:sSub>
              <m:r>
                <w:rPr>
                  <w:rFonts w:ascii="Cambria Math" w:cs="Cambria Math" w:eastAsia="Cambria Math" w:hAnsi="Cambria Math"/>
                </w:rPr>
                <m:t xml:space="preserve">SL</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i</m:t>
                  </m:r>
                </m:sub>
              </m:sSub>
            </m:oMath>
            <w:r w:rsidDel="00000000" w:rsidR="00000000" w:rsidRPr="00000000">
              <w:rPr>
                <w:rtl w:val="0"/>
              </w:rPr>
            </w:r>
          </w:p>
        </w:tc>
        <w:tc>
          <w:tcPr>
            <w:shd w:fill="auto" w:val="clear"/>
          </w:tcPr>
          <w:p w:rsidR="00000000" w:rsidDel="00000000" w:rsidP="00000000" w:rsidRDefault="00000000" w:rsidRPr="00000000" w14:paraId="0000005A">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18)</w:t>
            </w:r>
          </w:p>
        </w:tc>
      </w:tr>
    </w:tbl>
    <w:p w:rsidR="00000000" w:rsidDel="00000000" w:rsidP="00000000" w:rsidRDefault="00000000" w:rsidRPr="00000000" w14:paraId="0000005B">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calculation of </w:t>
      </w:r>
      <m:oMath>
        <m:sSub>
          <m:sSubPr>
            <m:ctrlPr>
              <w:rPr>
                <w:rFonts w:ascii="Cambria Math" w:cs="Cambria Math" w:eastAsia="Cambria Math" w:hAnsi="Cambria Math"/>
              </w:rPr>
            </m:ctrlPr>
          </m:sSubPr>
          <m:e>
            <m:r>
              <w:rPr>
                <w:rFonts w:ascii="Cambria Math" w:cs="Cambria Math" w:eastAsia="Cambria Math" w:hAnsi="Cambria Math"/>
              </w:rPr>
              <m:t xml:space="preserve">SLA</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(specific leaf area) is based on the approach used by Pavlick et al. (2013): </w:t>
      </w:r>
    </w:p>
    <w:tbl>
      <w:tblPr>
        <w:tblStyle w:val="Table17"/>
        <w:tblW w:w="9015.0" w:type="dxa"/>
        <w:jc w:val="left"/>
        <w:tblInd w:w="0.0" w:type="dxa"/>
        <w:tblLayout w:type="fixed"/>
        <w:tblLook w:val="0600"/>
      </w:tblPr>
      <w:tblGrid>
        <w:gridCol w:w="1470"/>
        <w:gridCol w:w="6075"/>
        <w:gridCol w:w="1470"/>
        <w:tblGridChange w:id="0">
          <w:tblGrid>
            <w:gridCol w:w="1470"/>
            <w:gridCol w:w="6075"/>
            <w:gridCol w:w="1470"/>
          </w:tblGrid>
        </w:tblGridChange>
      </w:tblGrid>
      <w:tr>
        <w:trPr>
          <w:cantSplit w:val="0"/>
          <w:tblHeader w:val="0"/>
        </w:trPr>
        <w:tc>
          <w:tcPr>
            <w:shd w:fill="auto" w:val="clear"/>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SLA</m:t>
                  </m:r>
                </m:e>
                <m:sub>
                  <m:r>
                    <w:rPr>
                      <w:rFonts w:ascii="Cambria Math" w:cs="Cambria Math" w:eastAsia="Cambria Math" w:hAnsi="Cambria Math"/>
                    </w:rPr>
                    <m:t xml:space="preserve">i</m:t>
                  </m:r>
                </m:sub>
              </m:sSub>
              <m:r>
                <w:rPr>
                  <w:rFonts w:ascii="Cambria Math" w:cs="Cambria Math" w:eastAsia="Cambria Math" w:hAnsi="Cambria Math"/>
                </w:rPr>
                <m:t xml:space="preserve">=30</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4380</m:t>
                      </m:r>
                    </m:num>
                    <m:den>
                      <m:sSub>
                        <m:sSubPr>
                          <m:ctrlPr>
                            <w:rPr>
                              <w:rFonts w:ascii="Cambria Math" w:cs="Cambria Math" w:eastAsia="Cambria Math" w:hAnsi="Cambria Math"/>
                            </w:rPr>
                          </m:ctrlPr>
                        </m:sSubPr>
                        <m:e>
                          <m:r>
                            <w:rPr>
                              <w:rFonts w:ascii="Cambria Math" w:cs="Cambria Math" w:eastAsia="Cambria Math" w:hAnsi="Cambria Math"/>
                            </w:rPr>
                            <m:t>τ</m:t>
                          </m:r>
                        </m:e>
                        <m:sub>
                          <m:r>
                            <w:rPr>
                              <w:rFonts w:ascii="Cambria Math" w:cs="Cambria Math" w:eastAsia="Cambria Math" w:hAnsi="Cambria Math"/>
                            </w:rPr>
                            <m:t xml:space="preserve">leave</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sub>
                      </m:sSub>
                    </m:den>
                  </m:f>
                </m:e>
              </m:d>
              <m:r>
                <w:rPr>
                  <w:rFonts w:ascii="Cambria Math" w:cs="Cambria Math" w:eastAsia="Cambria Math" w:hAnsi="Cambria Math"/>
                </w:rPr>
                <m:t xml:space="preserve">exp</m:t>
              </m:r>
              <m:d>
                <m:dPr>
                  <m:begChr m:val="("/>
                  <m:endChr m:val=")"/>
                  <m:ctrlPr>
                    <w:rPr>
                      <w:rFonts w:ascii="Cambria Math" w:cs="Cambria Math" w:eastAsia="Cambria Math" w:hAnsi="Cambria Math"/>
                    </w:rPr>
                  </m:ctrlPr>
                </m:dPr>
                <m:e>
                  <m:r>
                    <w:rPr>
                      <w:rFonts w:ascii="Cambria Math" w:cs="Cambria Math" w:eastAsia="Cambria Math" w:hAnsi="Cambria Math"/>
                    </w:rPr>
                    <m:t xml:space="preserve">−0.46</m:t>
                  </m:r>
                </m:e>
              </m:d>
            </m:oMath>
            <w:r w:rsidDel="00000000" w:rsidR="00000000" w:rsidRPr="00000000">
              <w:rPr>
                <w:rtl w:val="0"/>
              </w:rPr>
            </w:r>
          </w:p>
        </w:tc>
        <w:tc>
          <w:tcPr>
            <w:shd w:fill="auto" w:val="clear"/>
          </w:tcPr>
          <w:p w:rsidR="00000000" w:rsidDel="00000000" w:rsidP="00000000" w:rsidRDefault="00000000" w:rsidRPr="00000000" w14:paraId="0000005E">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19)</w:t>
            </w:r>
          </w:p>
        </w:tc>
      </w:tr>
    </w:tbl>
    <w:p w:rsidR="00000000" w:rsidDel="00000000" w:rsidP="00000000" w:rsidRDefault="00000000" w:rsidRPr="00000000" w14:paraId="0000005F">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Cambria Math" w:cs="Cambria Math" w:eastAsia="Cambria Math" w:hAnsi="Cambria Math"/>
              </w:rPr>
            </m:ctrlPr>
          </m:sSubPr>
          <m:e>
            <m:r>
              <m:t>τ</m:t>
            </m:r>
          </m:e>
          <m:sub>
            <m:r>
              <w:rPr>
                <w:rFonts w:ascii="Cambria Math" w:cs="Cambria Math" w:eastAsia="Cambria Math" w:hAnsi="Cambria Math"/>
              </w:rPr>
              <m:t xml:space="preserve">leave</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(Table SM.2 and SM.3) is the carbon residence time on leaves for a PFT/PLS. This equation uses an empirical relationship derived from Reich, Walters, &amp; Ellsworth (1997) and aims to compute the so-called leaf economic spectrum (Wright et al., 2004).</w:t>
      </w:r>
    </w:p>
    <w:tbl>
      <w:tblPr>
        <w:tblStyle w:val="Table18"/>
        <w:tblW w:w="9015.0" w:type="dxa"/>
        <w:jc w:val="left"/>
        <w:tblInd w:w="0.0" w:type="dxa"/>
        <w:tblLayout w:type="fixed"/>
        <w:tblLook w:val="0600"/>
      </w:tblPr>
      <w:tblGrid>
        <w:gridCol w:w="1470"/>
        <w:gridCol w:w="6075"/>
        <w:gridCol w:w="1470"/>
        <w:tblGridChange w:id="0">
          <w:tblGrid>
            <w:gridCol w:w="1470"/>
            <w:gridCol w:w="6075"/>
            <w:gridCol w:w="1470"/>
          </w:tblGrid>
        </w:tblGridChange>
      </w:tblGrid>
      <w:tr>
        <w:trPr>
          <w:cantSplit w:val="0"/>
          <w:tblHeader w:val="0"/>
        </w:trPr>
        <w:tc>
          <w:tcPr>
            <w:shd w:fill="auto" w:val="clear"/>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LAI</m:t>
                  </m:r>
                </m:e>
                <m:sub>
                  <m:sSub>
                    <m:sSubPr>
                      <m:ctrlPr>
                        <w:rPr>
                          <w:rFonts w:ascii="Cambria Math" w:cs="Cambria Math" w:eastAsia="Cambria Math" w:hAnsi="Cambria Math"/>
                        </w:rPr>
                      </m:ctrlPr>
                    </m:sSubPr>
                    <m:e>
                      <m:r>
                        <w:rPr>
                          <w:rFonts w:ascii="Cambria Math" w:cs="Cambria Math" w:eastAsia="Cambria Math" w:hAnsi="Cambria Math"/>
                        </w:rPr>
                        <m:t xml:space="preserve">sun</m:t>
                      </m:r>
                    </m:e>
                    <m:sub>
                      <m:r>
                        <w:rPr>
                          <w:rFonts w:ascii="Cambria Math" w:cs="Cambria Math" w:eastAsia="Cambria Math" w:hAnsi="Cambria Math"/>
                        </w:rPr>
                        <m:t xml:space="preserve">i</m:t>
                      </m:r>
                    </m:sub>
                  </m:sSub>
                </m:sub>
              </m:sSub>
              <m:r>
                <w:rPr>
                  <w:rFonts w:ascii="Cambria Math" w:cs="Cambria Math" w:eastAsia="Cambria Math" w:hAnsi="Cambria Math"/>
                </w:rPr>
                <m:t xml:space="preserve">=1−exp</m:t>
              </m:r>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21</m:t>
                          </m:r>
                        </m:sub>
                      </m:sSub>
                      <m:r>
                        <w:rPr>
                          <w:rFonts w:ascii="Cambria Math" w:cs="Cambria Math" w:eastAsia="Cambria Math" w:hAnsi="Cambria Math"/>
                        </w:rPr>
                        <m:t xml:space="preserve">LA</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i</m:t>
                          </m:r>
                        </m:sub>
                      </m:sSub>
                    </m:e>
                  </m:d>
                </m:num>
                <m:den>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21</m:t>
                      </m:r>
                    </m:sub>
                  </m:sSub>
                </m:den>
              </m:f>
            </m:oMath>
            <w:r w:rsidDel="00000000" w:rsidR="00000000" w:rsidRPr="00000000">
              <w:rPr>
                <w:rtl w:val="0"/>
              </w:rPr>
            </w:r>
          </w:p>
        </w:tc>
        <w:tc>
          <w:tcPr>
            <w:shd w:fill="auto" w:val="clear"/>
          </w:tcPr>
          <w:p w:rsidR="00000000" w:rsidDel="00000000" w:rsidP="00000000" w:rsidRDefault="00000000" w:rsidRPr="00000000" w14:paraId="00000062">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20)</w:t>
            </w:r>
          </w:p>
        </w:tc>
      </w:tr>
      <w:tr>
        <w:trPr>
          <w:cantSplit w:val="0"/>
          <w:tblHeader w:val="0"/>
        </w:trPr>
        <w:tc>
          <w:tcPr>
            <w:shd w:fill="auto" w:val="clear"/>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LAI</m:t>
                  </m:r>
                </m:e>
                <m:sub>
                  <m:sSub>
                    <m:sSubPr>
                      <m:ctrlPr>
                        <w:rPr>
                          <w:rFonts w:ascii="Cambria Math" w:cs="Cambria Math" w:eastAsia="Cambria Math" w:hAnsi="Cambria Math"/>
                        </w:rPr>
                      </m:ctrlPr>
                    </m:sSubPr>
                    <m:e>
                      <m:r>
                        <w:rPr>
                          <w:rFonts w:ascii="Cambria Math" w:cs="Cambria Math" w:eastAsia="Cambria Math" w:hAnsi="Cambria Math"/>
                        </w:rPr>
                        <m:t xml:space="preserve">shade</m:t>
                      </m:r>
                    </m:e>
                    <m:sub>
                      <m:r>
                        <w:rPr>
                          <w:rFonts w:ascii="Cambria Math" w:cs="Cambria Math" w:eastAsia="Cambria Math" w:hAnsi="Cambria Math"/>
                        </w:rPr>
                        <m:t xml:space="preserve">i</m:t>
                      </m:r>
                    </m:sub>
                  </m:sSub>
                </m:sub>
              </m:sSub>
              <m:r>
                <w:rPr>
                  <w:rFonts w:ascii="Cambria Math" w:cs="Cambria Math" w:eastAsia="Cambria Math" w:hAnsi="Cambria Math"/>
                </w:rPr>
                <m:t xml:space="preserve">=LA</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i</m:t>
                  </m:r>
                </m:sub>
              </m:sSub>
              <m:r>
                <w:rPr>
                  <w:rFonts w:ascii="Cambria Math" w:cs="Cambria Math" w:eastAsia="Cambria Math" w:hAnsi="Cambria Math"/>
                </w:rPr>
                <m:t xml:space="preserve">−LA</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su</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i</m:t>
                      </m:r>
                    </m:sub>
                  </m:sSub>
                </m:sub>
              </m:sSub>
            </m:oMath>
            <w:r w:rsidDel="00000000" w:rsidR="00000000" w:rsidRPr="00000000">
              <w:rPr>
                <w:rtl w:val="0"/>
              </w:rPr>
            </w:r>
          </w:p>
        </w:tc>
        <w:tc>
          <w:tcPr>
            <w:shd w:fill="auto" w:val="clear"/>
          </w:tcPr>
          <w:p w:rsidR="00000000" w:rsidDel="00000000" w:rsidP="00000000" w:rsidRDefault="00000000" w:rsidRPr="00000000" w14:paraId="00000065">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21)</w:t>
            </w:r>
          </w:p>
        </w:tc>
      </w:tr>
    </w:tbl>
    <w:p w:rsidR="00000000" w:rsidDel="00000000" w:rsidP="00000000" w:rsidRDefault="00000000" w:rsidRPr="00000000" w14:paraId="00000066">
      <w:pPr>
        <w:spacing w:after="0" w:before="240"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pStyle w:val="Heading2"/>
        <w:keepNext w:val="0"/>
        <w:keepLines w:val="0"/>
        <w:spacing w:after="80" w:before="0" w:lineRule="auto"/>
        <w:rPr>
          <w:highlight w:val="white"/>
        </w:rPr>
      </w:pPr>
      <w:r w:rsidDel="00000000" w:rsidR="00000000" w:rsidRPr="00000000">
        <w:rPr>
          <w:rFonts w:ascii="Times New Roman" w:cs="Times New Roman" w:eastAsia="Times New Roman" w:hAnsi="Times New Roman"/>
          <w:b w:val="1"/>
          <w:sz w:val="24"/>
          <w:szCs w:val="24"/>
          <w:highlight w:val="white"/>
          <w:rtl w:val="0"/>
        </w:rPr>
        <w:t xml:space="preserve">SM.1.4. Respiration</w:t>
      </w:r>
      <w:r w:rsidDel="00000000" w:rsidR="00000000" w:rsidRPr="00000000">
        <w:rPr>
          <w:highlight w:val="white"/>
          <w:rtl w:val="0"/>
        </w:rPr>
        <w:t xml:space="preserve"> </w:t>
        <w:tab/>
        <w:t xml:space="preserve"> </w:t>
        <w:tab/>
        <w:t xml:space="preserve"> </w:t>
        <w:tab/>
        <w:t xml:space="preserve"> </w:t>
        <w:tab/>
        <w:t xml:space="preserve"> </w:t>
        <w:tab/>
      </w:r>
    </w:p>
    <w:p w:rsidR="00000000" w:rsidDel="00000000" w:rsidP="00000000" w:rsidRDefault="00000000" w:rsidRPr="00000000" w14:paraId="00000068">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autotrophic respiration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is splitted in growth respiration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and maintenance respiration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following Ryan (1991a; 1991b).</w:t>
      </w:r>
    </w:p>
    <w:tbl>
      <w:tblPr>
        <w:tblStyle w:val="Table19"/>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i</m:t>
                      </m:r>
                    </m:sub>
                  </m:sSub>
                </m:sub>
              </m:sSub>
            </m:oMath>
            <w:r w:rsidDel="00000000" w:rsidR="00000000" w:rsidRPr="00000000">
              <w:rPr>
                <w:rtl w:val="0"/>
              </w:rPr>
            </w:r>
          </w:p>
        </w:tc>
        <w:tc>
          <w:tcPr>
            <w:shd w:fill="auto" w:val="clear"/>
          </w:tcPr>
          <w:p w:rsidR="00000000" w:rsidDel="00000000" w:rsidP="00000000" w:rsidRDefault="00000000" w:rsidRPr="00000000" w14:paraId="0000006B">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22)</w:t>
            </w:r>
          </w:p>
        </w:tc>
      </w:tr>
    </w:tbl>
    <w:p w:rsidR="00000000" w:rsidDel="00000000" w:rsidP="00000000" w:rsidRDefault="00000000" w:rsidRPr="00000000" w14:paraId="0000006C">
      <w:pPr>
        <w:pStyle w:val="Heading2"/>
        <w:keepNext w:val="0"/>
        <w:keepLines w:val="0"/>
        <w:spacing w:after="80" w:befor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SM.1.4.1. Growth Respiration</w:t>
      </w:r>
      <w:r w:rsidDel="00000000" w:rsidR="00000000" w:rsidRPr="00000000">
        <w:rPr>
          <w:rFonts w:ascii="Times New Roman" w:cs="Times New Roman" w:eastAsia="Times New Roman" w:hAnsi="Times New Roman"/>
          <w:sz w:val="24"/>
          <w:szCs w:val="24"/>
          <w:highlight w:val="white"/>
          <w:rtl w:val="0"/>
        </w:rPr>
        <w:tab/>
        <w:t xml:space="preserve"> </w:t>
        <w:tab/>
        <w:t xml:space="preserve"> </w:t>
        <w:tab/>
        <w:t xml:space="preserve"> </w:t>
        <w:tab/>
      </w:r>
    </w:p>
    <w:p w:rsidR="00000000" w:rsidDel="00000000" w:rsidP="00000000" w:rsidRDefault="00000000" w:rsidRPr="00000000" w14:paraId="0000006D">
      <w:pPr>
        <w:spacing w:after="0" w:before="240" w:line="480" w:lineRule="auto"/>
        <w:jc w:val="both"/>
        <w:rPr/>
      </w:pPr>
      <w:r w:rsidDel="00000000" w:rsidR="00000000" w:rsidRPr="00000000">
        <w:rPr>
          <w:rFonts w:ascii="Times New Roman" w:cs="Times New Roman" w:eastAsia="Times New Roman" w:hAnsi="Times New Roman"/>
          <w:sz w:val="24"/>
          <w:szCs w:val="24"/>
          <w:highlight w:val="white"/>
          <w:rtl w:val="0"/>
        </w:rPr>
        <w:t xml:space="preserve">The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formulation is based on Ryan et al. (1991a; 1991b), which postulates that a reasonable growth respiration estimate can be done assuming that its metabolic costs in each tissue consumes an amount of carbon equal to a quarter of the carbon incorporated in the new tissue (i.e. the difference between the carbon content in a compartment in a time </w:t>
      </w:r>
      <m:oMath>
        <m:r>
          <w:rPr>
            <w:rFonts w:ascii="Cambria Math" w:cs="Cambria Math" w:eastAsia="Cambria Math" w:hAnsi="Cambria Math"/>
          </w:rPr>
          <m:t xml:space="preserve">t</m:t>
        </m:r>
      </m:oMath>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i,t</m:t>
                </m:r>
              </m:sub>
            </m:sSub>
          </m:sub>
        </m:sSub>
      </m:oMath>
      <w:r w:rsidDel="00000000" w:rsidR="00000000" w:rsidRPr="00000000">
        <w:rPr>
          <w:rFonts w:ascii="Times New Roman" w:cs="Times New Roman" w:eastAsia="Times New Roman" w:hAnsi="Times New Roman"/>
          <w:sz w:val="24"/>
          <w:szCs w:val="24"/>
          <w:highlight w:val="white"/>
          <w:rtl w:val="0"/>
        </w:rPr>
        <w:t xml:space="preserve">) and the carbon content in the same compartment in a time </w:t>
      </w:r>
      <m:oMath>
        <m:r>
          <w:rPr>
            <w:rFonts w:ascii="Cambria Math" w:cs="Cambria Math" w:eastAsia="Cambria Math" w:hAnsi="Cambria Math"/>
          </w:rPr>
          <m:t xml:space="preserve">t−1</m:t>
        </m:r>
      </m:oMath>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i,t−1</m:t>
                </m:r>
              </m:sub>
            </m:sSub>
          </m:sub>
        </m:sSub>
      </m:oMath>
      <w:r w:rsidDel="00000000" w:rsidR="00000000" w:rsidRPr="00000000">
        <w:rPr>
          <w:rFonts w:ascii="Times New Roman" w:cs="Times New Roman" w:eastAsia="Times New Roman" w:hAnsi="Times New Roman"/>
          <w:sz w:val="24"/>
          <w:szCs w:val="24"/>
          <w:highlight w:val="white"/>
          <w:rtl w:val="0"/>
        </w:rPr>
        <w:t xml:space="preserve">). Total growth respiration is the sum of growth respiration in all the three plant compartments considered.</w:t>
      </w:r>
      <w:r w:rsidDel="00000000" w:rsidR="00000000" w:rsidRPr="00000000">
        <w:rPr>
          <w:rtl w:val="0"/>
        </w:rPr>
      </w:r>
    </w:p>
    <w:tbl>
      <w:tblPr>
        <w:tblStyle w:val="Table20"/>
        <w:tblW w:w="9015.0" w:type="dxa"/>
        <w:jc w:val="left"/>
        <w:tblInd w:w="0.0" w:type="dxa"/>
        <w:tblLayout w:type="fixed"/>
        <w:tblLook w:val="0600"/>
      </w:tblPr>
      <w:tblGrid>
        <w:gridCol w:w="1995"/>
        <w:gridCol w:w="4755"/>
        <w:gridCol w:w="2265"/>
        <w:tblGridChange w:id="0">
          <w:tblGrid>
            <w:gridCol w:w="1995"/>
            <w:gridCol w:w="4755"/>
            <w:gridCol w:w="2265"/>
          </w:tblGrid>
        </w:tblGridChange>
      </w:tblGrid>
      <w:tr>
        <w:trPr>
          <w:cantSplit w:val="0"/>
          <w:tblHeader w:val="0"/>
        </w:trPr>
        <w:tc>
          <w:tcPr>
            <w:shd w:fill="auto" w:val="clear"/>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z=1</m:t>
                  </m:r>
                </m:sub>
                <m:sup>
                  <m:r>
                    <w:rPr>
                      <w:rFonts w:ascii="Cambria Math" w:cs="Cambria Math" w:eastAsia="Cambria Math" w:hAnsi="Cambria Math"/>
                    </w:rPr>
                    <m:t xml:space="preserve">3</m:t>
                  </m:r>
                </m:sup>
              </m:nary>
              <m:d>
                <m:dPr>
                  <m:begChr m:val="["/>
                  <m:endChr m:val="]"/>
                  <m:ctrlPr>
                    <w:rPr>
                      <w:rFonts w:ascii="Cambria Math" w:cs="Cambria Math" w:eastAsia="Cambria Math" w:hAnsi="Cambria Math"/>
                    </w:rPr>
                  </m:ctrlPr>
                </m:dPr>
                <m:e>
                  <m:r>
                    <w:rPr>
                      <w:rFonts w:ascii="Cambria Math" w:cs="Cambria Math" w:eastAsia="Cambria Math" w:hAnsi="Cambria Math"/>
                    </w:rPr>
                    <m:t xml:space="preserve">1.25</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i,t</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i,t−1</m:t>
                              </m:r>
                            </m:sub>
                          </m:sSub>
                        </m:sub>
                      </m:sSub>
                    </m:e>
                  </m:d>
                </m:e>
              </m:d>
            </m:oMath>
            <w:r w:rsidDel="00000000" w:rsidR="00000000" w:rsidRPr="00000000">
              <w:rPr>
                <w:rtl w:val="0"/>
              </w:rPr>
            </w:r>
          </w:p>
        </w:tc>
        <w:tc>
          <w:tcPr>
            <w:shd w:fill="auto" w:val="clear"/>
          </w:tcPr>
          <w:p w:rsidR="00000000" w:rsidDel="00000000" w:rsidP="00000000" w:rsidRDefault="00000000" w:rsidRPr="00000000" w14:paraId="00000070">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23)</w:t>
            </w:r>
          </w:p>
        </w:tc>
      </w:tr>
    </w:tbl>
    <w:p w:rsidR="00000000" w:rsidDel="00000000" w:rsidP="00000000" w:rsidRDefault="00000000" w:rsidRPr="00000000" w14:paraId="00000071">
      <w:pPr>
        <w:spacing w:after="0" w:before="200" w:lineRule="auto"/>
        <w:rPr>
          <w:highlight w:val="white"/>
        </w:rPr>
      </w:pPr>
      <w:r w:rsidDel="00000000" w:rsidR="00000000" w:rsidRPr="00000000">
        <w:rPr>
          <w:rFonts w:ascii="Times New Roman" w:cs="Times New Roman" w:eastAsia="Times New Roman" w:hAnsi="Times New Roman"/>
          <w:i w:val="1"/>
          <w:sz w:val="24"/>
          <w:szCs w:val="24"/>
          <w:highlight w:val="white"/>
          <w:rtl w:val="0"/>
        </w:rPr>
        <w:t xml:space="preserve">SM.1.4.2. Maintenance Respiration</w:t>
      </w:r>
      <w:r w:rsidDel="00000000" w:rsidR="00000000" w:rsidRPr="00000000">
        <w:rPr>
          <w:rtl w:val="0"/>
        </w:rPr>
      </w:r>
    </w:p>
    <w:p w:rsidR="00000000" w:rsidDel="00000000" w:rsidP="00000000" w:rsidRDefault="00000000" w:rsidRPr="00000000" w14:paraId="00000072">
      <w:pPr>
        <w:spacing w:after="0" w:before="200" w:line="480" w:lineRule="auto"/>
        <w:jc w:val="both"/>
        <w:rPr/>
      </w:pPr>
      <w:r w:rsidDel="00000000" w:rsidR="00000000" w:rsidRPr="00000000">
        <w:rPr>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 maintenance respiration is calculated according to the nitrogen and carbon content in each compartment. The nitrogen content on plant tissues is intimately connected to the maintenance respiration since about 60% of it is used to protein repair and substitution (Ryan, 1991a, 1991b). Yet, the nitrogen supply is not here considered as a limiting factor.</w:t>
      </w:r>
      <w:r w:rsidDel="00000000" w:rsidR="00000000" w:rsidRPr="00000000">
        <w:rPr>
          <w:rtl w:val="0"/>
        </w:rPr>
      </w:r>
    </w:p>
    <w:tbl>
      <w:tblPr>
        <w:tblStyle w:val="Table21"/>
        <w:tblW w:w="9015.0" w:type="dxa"/>
        <w:jc w:val="left"/>
        <w:tblInd w:w="0.0" w:type="dxa"/>
        <w:tblLayout w:type="fixed"/>
        <w:tblLook w:val="0600"/>
      </w:tblPr>
      <w:tblGrid>
        <w:gridCol w:w="1380"/>
        <w:gridCol w:w="5625"/>
        <w:gridCol w:w="2010"/>
        <w:tblGridChange w:id="0">
          <w:tblGrid>
            <w:gridCol w:w="1380"/>
            <w:gridCol w:w="5625"/>
            <w:gridCol w:w="2010"/>
          </w:tblGrid>
        </w:tblGridChange>
      </w:tblGrid>
      <w:tr>
        <w:trPr>
          <w:cantSplit w:val="0"/>
          <w:tblHeader w:val="0"/>
        </w:trPr>
        <w:tc>
          <w:tcPr>
            <w:shd w:fill="auto" w:val="clea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z=1</m:t>
                  </m:r>
                </m:sub>
                <m:sup>
                  <m:r>
                    <w:rPr>
                      <w:rFonts w:ascii="Cambria Math" w:cs="Cambria Math" w:eastAsia="Cambria Math" w:hAnsi="Cambria Math"/>
                    </w:rPr>
                    <m:t xml:space="preserve">3</m:t>
                  </m:r>
                </m:sup>
              </m:nary>
              <m:d>
                <m:dPr>
                  <m:begChr m:val="["/>
                  <m:endChr m:val="]"/>
                  <m:ctrlPr>
                    <w:rPr>
                      <w:rFonts w:ascii="Cambria Math" w:cs="Cambria Math" w:eastAsia="Cambria Math" w:hAnsi="Cambria Math"/>
                    </w:rPr>
                  </m:ctrlPr>
                </m:dPr>
                <m:e>
                  <m:r>
                    <w:rPr>
                      <w:rFonts w:ascii="Cambria Math" w:cs="Cambria Math" w:eastAsia="Cambria Math" w:hAnsi="Cambria Math"/>
                    </w:rPr>
                    <m:t xml:space="preserve">n</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z</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m:t>
                          </m:r>
                        </m:sub>
                      </m:sSub>
                    </m:sub>
                  </m:sSub>
                  <m:r>
                    <w:rPr>
                      <w:rFonts w:ascii="Cambria Math" w:cs="Cambria Math" w:eastAsia="Cambria Math" w:hAnsi="Cambria Math"/>
                    </w:rPr>
                    <m:t xml:space="preserve">27 exp</m:t>
                  </m:r>
                  <m:d>
                    <m:dPr>
                      <m:begChr m:val="("/>
                      <m:endChr m:val=")"/>
                      <m:ctrlPr>
                        <w:rPr>
                          <w:rFonts w:ascii="Cambria Math" w:cs="Cambria Math" w:eastAsia="Cambria Math" w:hAnsi="Cambria Math"/>
                        </w:rPr>
                      </m:ctrlPr>
                    </m:dPr>
                    <m:e>
                      <m:r>
                        <w:rPr>
                          <w:rFonts w:ascii="Cambria Math" w:cs="Cambria Math" w:eastAsia="Cambria Math" w:hAnsi="Cambria Math"/>
                        </w:rPr>
                        <m:t xml:space="preserve">0.07</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e>
                  </m:d>
                </m:e>
              </m:d>
            </m:oMath>
            <w:r w:rsidDel="00000000" w:rsidR="00000000" w:rsidRPr="00000000">
              <w:rPr>
                <w:rtl w:val="0"/>
              </w:rPr>
            </w:r>
          </w:p>
        </w:tc>
        <w:tc>
          <w:tcPr>
            <w:shd w:fill="auto" w:val="clear"/>
          </w:tcPr>
          <w:p w:rsidR="00000000" w:rsidDel="00000000" w:rsidP="00000000" w:rsidRDefault="00000000" w:rsidRPr="00000000" w14:paraId="00000075">
            <w:pPr>
              <w:widowControl w:val="0"/>
              <w:spacing w:line="36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(SM 24)</w:t>
            </w:r>
          </w:p>
        </w:tc>
      </w:tr>
    </w:tbl>
    <w:p w:rsidR="00000000" w:rsidDel="00000000" w:rsidP="00000000" w:rsidRDefault="00000000" w:rsidRPr="00000000" w14:paraId="00000076">
      <w:pPr>
        <w:spacing w:after="0" w:before="200" w:line="480" w:lineRule="auto"/>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nc</m:t>
            </m:r>
          </m:e>
          <m:sub>
            <m:r>
              <w:rPr>
                <w:rFonts w:ascii="Cambria Math" w:cs="Cambria Math" w:eastAsia="Cambria Math" w:hAnsi="Cambria Math"/>
              </w:rPr>
              <m:t xml:space="preserve">z</m:t>
            </m:r>
          </m:sub>
        </m:sSub>
      </m:oMath>
      <w:r w:rsidDel="00000000" w:rsidR="00000000" w:rsidRPr="00000000">
        <w:rPr>
          <w:rFonts w:ascii="Times New Roman" w:cs="Times New Roman" w:eastAsia="Times New Roman" w:hAnsi="Times New Roman"/>
          <w:sz w:val="24"/>
          <w:szCs w:val="24"/>
          <w:highlight w:val="white"/>
          <w:rtl w:val="0"/>
        </w:rPr>
        <w:t xml:space="preserve"> represents the N:C ratio for each plant compartment </w:t>
      </w:r>
      <m:oMath>
        <m:r>
          <w:rPr>
            <w:rFonts w:ascii="Cambria Math" w:cs="Cambria Math" w:eastAsia="Cambria Math" w:hAnsi="Cambria Math"/>
          </w:rPr>
          <m:t xml:space="preserve">z</m:t>
        </m:r>
      </m:oMath>
      <w:r w:rsidDel="00000000" w:rsidR="00000000" w:rsidRPr="00000000">
        <w:rPr>
          <w:rFonts w:ascii="Times New Roman" w:cs="Times New Roman" w:eastAsia="Times New Roman" w:hAnsi="Times New Roman"/>
          <w:sz w:val="24"/>
          <w:szCs w:val="24"/>
          <w:highlight w:val="white"/>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oMath>
      <w:r w:rsidDel="00000000" w:rsidR="00000000" w:rsidRPr="00000000">
        <w:rPr>
          <w:rFonts w:ascii="Times New Roman" w:cs="Times New Roman" w:eastAsia="Times New Roman" w:hAnsi="Times New Roman"/>
          <w:sz w:val="24"/>
          <w:szCs w:val="24"/>
          <w:highlight w:val="white"/>
          <w:rtl w:val="0"/>
        </w:rPr>
        <w:t xml:space="preserve">(ºC) is the mean annual temperature. A considerable amount of the woody tissues do not respire (the so called heartwood; (Ryan, 1991b), and then we consider only 5% of the aboveground woody tissues carbon content on the maintenance respiration for this compartment. This 5% aims to represent the sapwood (Pavlick et al., 2013). The N:C ratio is equal to 0.034, 0.003 and 0.034 for leaves, sapwood and fine roots, respectively (Levis et al., 2004; Sitch et al., 2003). The parameter 0.07 is a sensibility factor of the maintenance respiration to temperature. Because in tropical forests the soil temperature is lower than the air temperature, then for calculating the fine roots maintenance respiration we used the soil temperature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sSub>
              <m:sSubPr>
                <m:ctrlPr>
                  <w:rPr>
                    <w:rFonts w:ascii="Cambria Math" w:cs="Cambria Math" w:eastAsia="Cambria Math" w:hAnsi="Cambria Math"/>
                  </w:rPr>
                </m:ctrlPr>
              </m:sSubPr>
              <m:e>
                <m:r>
                  <w:rPr>
                    <w:rFonts w:ascii="Cambria Math" w:cs="Cambria Math" w:eastAsia="Cambria Math" w:hAnsi="Cambria Math"/>
                  </w:rPr>
                  <m:t xml:space="preserve">soil</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see Oyama &amp; Nobre, 2004).</w:t>
      </w:r>
      <w:r w:rsidDel="00000000" w:rsidR="00000000" w:rsidRPr="00000000">
        <w:rPr>
          <w:highlight w:val="white"/>
          <w:rtl w:val="0"/>
        </w:rPr>
        <w:t xml:space="preserve"> </w:t>
        <w:tab/>
      </w:r>
    </w:p>
    <w:p w:rsidR="00000000" w:rsidDel="00000000" w:rsidP="00000000" w:rsidRDefault="00000000" w:rsidRPr="00000000" w14:paraId="00000077">
      <w:pPr>
        <w:pStyle w:val="Heading2"/>
        <w:keepNext w:val="0"/>
        <w:keepLines w:val="0"/>
        <w:spacing w:after="80" w:before="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SM.1.5. Net primary productivity</w:t>
      </w:r>
      <w:r w:rsidDel="00000000" w:rsidR="00000000" w:rsidRPr="00000000">
        <w:rPr>
          <w:rFonts w:ascii="Times New Roman" w:cs="Times New Roman" w:eastAsia="Times New Roman" w:hAnsi="Times New Roman"/>
          <w:highlight w:val="white"/>
          <w:rtl w:val="0"/>
        </w:rPr>
        <w:tab/>
        <w:t xml:space="preserve"> </w:t>
        <w:tab/>
        <w:t xml:space="preserve"> </w:t>
        <w:tab/>
        <w:t xml:space="preserve"> </w:t>
        <w:tab/>
        <w:t xml:space="preserve"> </w:t>
        <w:tab/>
        <w:t xml:space="preserve"> </w:t>
        <w:tab/>
      </w:r>
    </w:p>
    <w:p w:rsidR="00000000" w:rsidDel="00000000" w:rsidP="00000000" w:rsidRDefault="00000000" w:rsidRPr="00000000" w14:paraId="00000078">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net primary productivity (</w:t>
      </w:r>
      <m:oMath>
        <m:sSub>
          <m:sSubPr>
            <m:ctrlPr>
              <w:rPr>
                <w:rFonts w:ascii="Cambria Math" w:cs="Cambria Math" w:eastAsia="Cambria Math" w:hAnsi="Cambria Math"/>
              </w:rPr>
            </m:ctrlPr>
          </m:sSubPr>
          <m:e>
            <m:r>
              <w:rPr>
                <w:rFonts w:ascii="Cambria Math" w:cs="Cambria Math" w:eastAsia="Cambria Math" w:hAnsi="Cambria Math"/>
              </w:rPr>
              <m:t xml:space="preserve">NPP</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is the carbon available from photosynthesis (</w:t>
      </w:r>
      <m:oMath>
        <m:sSub>
          <m:sSubPr>
            <m:ctrlPr>
              <w:rPr>
                <w:rFonts w:ascii="Cambria Math" w:cs="Cambria Math" w:eastAsia="Cambria Math" w:hAnsi="Cambria Math"/>
              </w:rPr>
            </m:ctrlPr>
          </m:sSubPr>
          <m:e>
            <m:r>
              <w:rPr>
                <w:rFonts w:ascii="Cambria Math" w:cs="Cambria Math" w:eastAsia="Cambria Math" w:hAnsi="Cambria Math"/>
              </w:rPr>
              <m:t xml:space="preserve">GPP</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discounting the respiratory costs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w:t>
      </w:r>
    </w:p>
    <w:tbl>
      <w:tblPr>
        <w:tblStyle w:val="Table22"/>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NPP</m:t>
                  </m:r>
                </m:e>
                <m:sub>
                  <m:r>
                    <w:rPr>
                      <w:rFonts w:ascii="Cambria Math" w:cs="Cambria Math" w:eastAsia="Cambria Math" w:hAnsi="Cambria Math"/>
                    </w:rPr>
                    <m:t xml:space="preserve">i</m:t>
                  </m:r>
                </m:sub>
              </m:sSub>
              <m:r>
                <w:rPr>
                  <w:rFonts w:ascii="Cambria Math" w:cs="Cambria Math" w:eastAsia="Cambria Math" w:hAnsi="Cambria Math"/>
                </w:rPr>
                <m:t xml:space="preserve">=GP</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i</m:t>
                      </m:r>
                    </m:sub>
                  </m:sSub>
                </m:sub>
              </m:sSub>
            </m:oMath>
            <w:r w:rsidDel="00000000" w:rsidR="00000000" w:rsidRPr="00000000">
              <w:rPr>
                <w:rtl w:val="0"/>
              </w:rPr>
            </w:r>
          </w:p>
        </w:tc>
        <w:tc>
          <w:tcPr>
            <w:shd w:fill="auto" w:val="clear"/>
          </w:tcPr>
          <w:p w:rsidR="00000000" w:rsidDel="00000000" w:rsidP="00000000" w:rsidRDefault="00000000" w:rsidRPr="00000000" w14:paraId="0000007B">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25)</w:t>
            </w:r>
          </w:p>
        </w:tc>
      </w:tr>
    </w:tbl>
    <w:p w:rsidR="00000000" w:rsidDel="00000000" w:rsidP="00000000" w:rsidRDefault="00000000" w:rsidRPr="00000000" w14:paraId="0000007C">
      <w:pPr>
        <w:spacing w:after="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SM.1.6. Carbon allocati</w:t>
      </w: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highlight w:val="white"/>
          <w:rtl w:val="0"/>
        </w:rPr>
        <w:t xml:space="preserve">o</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highlight w:val="white"/>
          <w:rtl w:val="0"/>
        </w:rPr>
        <w:t xml:space="preserve">n and stock</w:t>
        <w:tab/>
      </w:r>
    </w:p>
    <w:p w:rsidR="00000000" w:rsidDel="00000000" w:rsidP="00000000" w:rsidRDefault="00000000" w:rsidRPr="00000000" w14:paraId="0000007D">
      <w:pPr>
        <w:spacing w:after="0" w:before="240" w:line="480" w:lineRule="auto"/>
        <w:jc w:val="both"/>
        <w:rPr/>
      </w:pPr>
      <w:r w:rsidDel="00000000" w:rsidR="00000000" w:rsidRPr="00000000">
        <w:rPr>
          <w:rFonts w:ascii="Times New Roman" w:cs="Times New Roman" w:eastAsia="Times New Roman" w:hAnsi="Times New Roman"/>
          <w:sz w:val="24"/>
          <w:szCs w:val="24"/>
          <w:highlight w:val="white"/>
          <w:rtl w:val="0"/>
        </w:rPr>
        <w:t xml:space="preserve">From NPP, carbon is allocated to the three different carbon compartments (leaves, aboveground woody tissues and fine root) through allocation traits </w:t>
      </w:r>
      <m:oMath>
        <m:sSub>
          <m:sSubPr>
            <m:ctrlPr>
              <w:rPr>
                <w:rFonts w:ascii="Cambria Math" w:cs="Cambria Math" w:eastAsia="Cambria Math" w:hAnsi="Cambria Math"/>
              </w:rPr>
            </m:ctrlPr>
          </m:sSubPr>
          <m:e>
            <m:r>
              <m:t>α</m:t>
            </m:r>
          </m:e>
          <m:sub>
            <m:r>
              <w:rPr>
                <w:rFonts w:ascii="Cambria Math" w:cs="Cambria Math" w:eastAsia="Cambria Math" w:hAnsi="Cambria Math"/>
              </w:rPr>
              <m:t xml:space="preserve">z</m:t>
            </m:r>
          </m:sub>
        </m:sSub>
      </m:oMath>
      <w:r w:rsidDel="00000000" w:rsidR="00000000" w:rsidRPr="00000000">
        <w:rPr>
          <w:rFonts w:ascii="Times New Roman" w:cs="Times New Roman" w:eastAsia="Times New Roman" w:hAnsi="Times New Roman"/>
          <w:sz w:val="24"/>
          <w:szCs w:val="24"/>
          <w:highlight w:val="white"/>
          <w:rtl w:val="0"/>
        </w:rPr>
        <w:t xml:space="preserve"> (Table SM.2 and SM.3) that determines the percentage of </w:t>
      </w:r>
      <m:oMath>
        <m:sSub>
          <m:sSubPr>
            <m:ctrlPr>
              <w:rPr>
                <w:rFonts w:ascii="Cambria Math" w:cs="Cambria Math" w:eastAsia="Cambria Math" w:hAnsi="Cambria Math"/>
              </w:rPr>
            </m:ctrlPr>
          </m:sSubPr>
          <m:e>
            <m:r>
              <w:rPr>
                <w:rFonts w:ascii="Cambria Math" w:cs="Cambria Math" w:eastAsia="Cambria Math" w:hAnsi="Cambria Math"/>
              </w:rPr>
              <m:t xml:space="preserve">NPP</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distributed to each compartment </w:t>
      </w:r>
      <m:oMath>
        <m:r>
          <w:rPr>
            <w:rFonts w:ascii="Cambria Math" w:cs="Cambria Math" w:eastAsia="Cambria Math" w:hAnsi="Cambria Math"/>
          </w:rPr>
          <m:t xml:space="preserve">z</m:t>
        </m:r>
      </m:oMath>
      <w:r w:rsidDel="00000000" w:rsidR="00000000" w:rsidRPr="00000000">
        <w:rPr>
          <w:rFonts w:ascii="Times New Roman" w:cs="Times New Roman" w:eastAsia="Times New Roman" w:hAnsi="Times New Roman"/>
          <w:sz w:val="24"/>
          <w:szCs w:val="24"/>
          <w:highlight w:val="white"/>
          <w:rtl w:val="0"/>
        </w:rPr>
        <w:t xml:space="preserve">. Residence time traits </w:t>
      </w:r>
      <m:oMath>
        <m:sSub>
          <m:e>
            <m:r>
              <m:t>τ</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(Table SM.2 and SM.3) represents how long the carbon stays in each compartment. Together, these functional traits ultimately define the stock of carbon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in each compartment </w:t>
      </w:r>
      <m:oMath>
        <m:r>
          <w:rPr>
            <w:rFonts w:ascii="Cambria Math" w:cs="Cambria Math" w:eastAsia="Cambria Math" w:hAnsi="Cambria Math"/>
          </w:rPr>
          <m:t xml:space="preserve">z</m:t>
        </m:r>
      </m:oMath>
      <w:r w:rsidDel="00000000" w:rsidR="00000000" w:rsidRPr="00000000">
        <w:rPr>
          <w:rFonts w:ascii="Times New Roman" w:cs="Times New Roman" w:eastAsia="Times New Roman" w:hAnsi="Times New Roman"/>
          <w:sz w:val="24"/>
          <w:szCs w:val="24"/>
          <w:highlight w:val="white"/>
          <w:rtl w:val="0"/>
        </w:rPr>
        <w:t xml:space="preserve">of a PLS or PFT </w:t>
      </w:r>
      <m:oMath>
        <m:r>
          <w:rPr>
            <w:rFonts w:ascii="Cambria Math" w:cs="Cambria Math" w:eastAsia="Cambria Math" w:hAnsi="Cambria Math"/>
          </w:rPr>
          <m:t xml:space="preserve">i</m:t>
        </m:r>
      </m:oMath>
      <w:r w:rsidDel="00000000" w:rsidR="00000000" w:rsidRPr="00000000">
        <w:rPr>
          <w:rFonts w:ascii="Times New Roman" w:cs="Times New Roman" w:eastAsia="Times New Roman" w:hAnsi="Times New Roman"/>
          <w:sz w:val="24"/>
          <w:szCs w:val="24"/>
          <w:highlight w:val="white"/>
          <w:rtl w:val="0"/>
        </w:rPr>
        <w:t xml:space="preserve"> in a certain time step </w:t>
      </w:r>
      <m:oMath>
        <m:r>
          <w:rPr>
            <w:rFonts w:ascii="Cambria Math" w:cs="Cambria Math" w:eastAsia="Cambria Math" w:hAnsi="Cambria Math"/>
          </w:rPr>
          <m:t xml:space="preserve">i</m:t>
        </m:r>
      </m:oMath>
      <w:r w:rsidDel="00000000" w:rsidR="00000000" w:rsidRPr="00000000">
        <w:rPr>
          <w:rFonts w:ascii="Times New Roman" w:cs="Times New Roman" w:eastAsia="Times New Roman" w:hAnsi="Times New Roman"/>
          <w:sz w:val="24"/>
          <w:szCs w:val="24"/>
          <w:highlight w:val="white"/>
          <w:rtl w:val="0"/>
        </w:rPr>
        <w:t xml:space="preserve">, and then, the total plant carbon of that PLS or PFT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tbl>
      <w:tblPr>
        <w:tblStyle w:val="Table23"/>
        <w:tblW w:w="9015.0" w:type="dxa"/>
        <w:jc w:val="left"/>
        <w:tblInd w:w="0.0" w:type="dxa"/>
        <w:tblLayout w:type="fixed"/>
        <w:tblLook w:val="0600"/>
      </w:tblPr>
      <w:tblGrid>
        <w:gridCol w:w="1920"/>
        <w:gridCol w:w="5127"/>
        <w:gridCol w:w="1968"/>
        <w:tblGridChange w:id="0">
          <w:tblGrid>
            <w:gridCol w:w="1920"/>
            <w:gridCol w:w="5127"/>
            <w:gridCol w:w="1968"/>
          </w:tblGrid>
        </w:tblGridChange>
      </w:tblGrid>
      <w:tr>
        <w:trPr>
          <w:cantSplit w:val="0"/>
          <w:tblHeader w:val="0"/>
        </w:trPr>
        <w:tc>
          <w:tcPr>
            <w:shd w:fill="auto" w:val="clear"/>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highlight w:val="white"/>
              </w:rPr>
            </w:pPr>
            <m:oMath>
              <m:r>
                <m:t>∂</m:t>
              </m:r>
              <m:f>
                <m:num>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m:t>
                          </m:r>
                        </m:sub>
                      </m:sSub>
                    </m:sub>
                  </m:sSub>
                </m:num>
                <m:den>
                  <m:sSub>
                    <m:sSubPr>
                      <m:ctrlPr>
                        <w:rPr>
                          <w:rFonts w:ascii="Cambria Math" w:cs="Cambria Math" w:eastAsia="Cambria Math" w:hAnsi="Cambria Math"/>
                        </w:rPr>
                      </m:ctrlPr>
                    </m:sSubPr>
                    <m:e>
                      <m:r>
                        <w:rPr>
                          <w:rFonts w:ascii="Cambria Math" w:cs="Cambria Math" w:eastAsia="Cambria Math" w:hAnsi="Cambria Math"/>
                        </w:rPr>
                        <m:t>∂</m:t>
                      </m:r>
                    </m:e>
                    <m:sub>
                      <m:r>
                        <w:rPr>
                          <w:rFonts w:ascii="Cambria Math" w:cs="Cambria Math" w:eastAsia="Cambria Math" w:hAnsi="Cambria Math"/>
                        </w:rPr>
                        <m:t xml:space="preserve">t</m:t>
                      </m:r>
                    </m:sub>
                  </m:sSub>
                </m:den>
              </m:f>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α</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m:t>
                      </m:r>
                    </m:sub>
                  </m:sSub>
                </m:sub>
              </m:sSub>
              <m:r>
                <w:rPr>
                  <w:rFonts w:ascii="Cambria Math" w:cs="Cambria Math" w:eastAsia="Cambria Math" w:hAnsi="Cambria Math"/>
                </w:rPr>
                <m:t xml:space="preserve">NP</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m:t>
                          </m:r>
                        </m:sub>
                      </m:sSub>
                    </m:sub>
                  </m:sSub>
                </m:num>
                <m:den>
                  <m:sSub>
                    <m:sSubPr>
                      <m:ctrlPr>
                        <w:rPr>
                          <w:rFonts w:ascii="Cambria Math" w:cs="Cambria Math" w:eastAsia="Cambria Math" w:hAnsi="Cambria Math"/>
                        </w:rPr>
                      </m:ctrlPr>
                    </m:sSubPr>
                    <m:e>
                      <m:r>
                        <w:rPr>
                          <w:rFonts w:ascii="Cambria Math" w:cs="Cambria Math" w:eastAsia="Cambria Math" w:hAnsi="Cambria Math"/>
                        </w:rPr>
                        <m:t>τ</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m:t>
                          </m:r>
                        </m:sub>
                      </m:sSub>
                    </m:sub>
                  </m:sSub>
                </m:den>
              </m:f>
            </m:oMath>
            <w:r w:rsidDel="00000000" w:rsidR="00000000" w:rsidRPr="00000000">
              <w:rPr>
                <w:rtl w:val="0"/>
              </w:rPr>
            </w:r>
          </w:p>
        </w:tc>
        <w:tc>
          <w:tcPr>
            <w:shd w:fill="auto" w:val="clear"/>
          </w:tcPr>
          <w:p w:rsidR="00000000" w:rsidDel="00000000" w:rsidP="00000000" w:rsidRDefault="00000000" w:rsidRPr="00000000" w14:paraId="00000080">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26)</w:t>
            </w:r>
          </w:p>
        </w:tc>
      </w:tr>
      <w:tr>
        <w:trPr>
          <w:cantSplit w:val="0"/>
          <w:tblHeader w:val="0"/>
        </w:trPr>
        <w:tc>
          <w:tcPr>
            <w:shd w:fill="auto" w:val="cle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82">
            <w:pPr>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z=1</m:t>
                  </m:r>
                </m:sub>
                <m:sup>
                  <m:r>
                    <w:rPr>
                      <w:rFonts w:ascii="Cambria Math" w:cs="Cambria Math" w:eastAsia="Cambria Math" w:hAnsi="Cambria Math"/>
                    </w:rPr>
                    <m:t xml:space="preserve">3</m:t>
                  </m:r>
                </m:sup>
              </m:nary>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i</m:t>
                      </m:r>
                    </m:sub>
                  </m:sSub>
                </m:sub>
              </m:sSub>
            </m:oMath>
            <w:r w:rsidDel="00000000" w:rsidR="00000000" w:rsidRPr="00000000">
              <w:rPr>
                <w:rtl w:val="0"/>
              </w:rPr>
            </w:r>
          </w:p>
        </w:tc>
        <w:tc>
          <w:tcPr>
            <w:shd w:fill="auto" w:val="clear"/>
          </w:tcPr>
          <w:p w:rsidR="00000000" w:rsidDel="00000000" w:rsidP="00000000" w:rsidRDefault="00000000" w:rsidRPr="00000000" w14:paraId="00000083">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27)</w:t>
            </w:r>
          </w:p>
        </w:tc>
      </w:tr>
    </w:tbl>
    <w:p w:rsidR="00000000" w:rsidDel="00000000" w:rsidP="00000000" w:rsidRDefault="00000000" w:rsidRPr="00000000" w14:paraId="00000084">
      <w:pPr>
        <w:spacing w:after="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SM.1.7. Stomatal conductance and canopy resistance</w:t>
      </w:r>
    </w:p>
    <w:p w:rsidR="00000000" w:rsidDel="00000000" w:rsidP="00000000" w:rsidRDefault="00000000" w:rsidRPr="00000000" w14:paraId="0000008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Stomatal conductance (</w:t>
      </w:r>
      <m:oMath>
        <m:sSub>
          <m:sSubPr>
            <m:ctrlPr>
              <w:rPr>
                <w:rFonts w:ascii="Cambria Math" w:cs="Cambria Math" w:eastAsia="Cambria Math" w:hAnsi="Cambria Math"/>
              </w:rPr>
            </m:ctrlPr>
          </m:sSubPr>
          <m:e>
            <m:r>
              <w:rPr>
                <w:rFonts w:ascii="Cambria Math" w:cs="Cambria Math" w:eastAsia="Cambria Math" w:hAnsi="Cambria Math"/>
              </w:rPr>
              <m:t xml:space="preserve">gs</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and canopy resistance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link the carbon cycle (through </w:t>
      </w:r>
      <m:oMath>
        <m:sSub>
          <m:sSubPr>
            <m:ctrlPr>
              <w:rPr>
                <w:rFonts w:ascii="Cambria Math" w:cs="Cambria Math" w:eastAsia="Cambria Math" w:hAnsi="Cambria Math"/>
              </w:rPr>
            </m:ctrlPr>
          </m:sSubPr>
          <m:e>
            <m:r>
              <w:rPr>
                <w:rFonts w:ascii="Cambria Math" w:cs="Cambria Math" w:eastAsia="Cambria Math" w:hAnsi="Cambria Math"/>
              </w:rPr>
              <m:t xml:space="preserve">GPP</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with the water balance sub-model (see SM.1.9.):</w:t>
      </w:r>
    </w:p>
    <w:tbl>
      <w:tblPr>
        <w:tblStyle w:val="Table24"/>
        <w:tblW w:w="9015.0" w:type="dxa"/>
        <w:jc w:val="left"/>
        <w:tblInd w:w="0.0" w:type="dxa"/>
        <w:tblLayout w:type="fixed"/>
        <w:tblLook w:val="0600"/>
      </w:tblPr>
      <w:tblGrid>
        <w:gridCol w:w="1755"/>
        <w:gridCol w:w="5622"/>
        <w:gridCol w:w="1638"/>
        <w:tblGridChange w:id="0">
          <w:tblGrid>
            <w:gridCol w:w="1755"/>
            <w:gridCol w:w="5622"/>
            <w:gridCol w:w="1638"/>
          </w:tblGrid>
        </w:tblGridChange>
      </w:tblGrid>
      <w:tr>
        <w:trPr>
          <w:cantSplit w:val="0"/>
          <w:tblHeader w:val="0"/>
        </w:trPr>
        <w:tc>
          <w:tcPr>
            <w:shd w:fill="auto" w:val="cle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highlight w:val="white"/>
                <w:u w:val="single"/>
              </w:rPr>
            </w:pPr>
            <w:r w:rsidDel="00000000" w:rsidR="00000000" w:rsidRPr="00000000">
              <w:rPr>
                <w:rtl w:val="0"/>
              </w:rPr>
            </w:r>
          </w:p>
        </w:tc>
        <w:tc>
          <w:tcPr>
            <w:shd w:fill="auto" w:val="clear"/>
          </w:tcPr>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g</m:t>
                  </m:r>
                </m:den>
              </m:f>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oMath>
            <w:r w:rsidDel="00000000" w:rsidR="00000000" w:rsidRPr="00000000">
              <w:rPr>
                <w:rtl w:val="0"/>
              </w:rPr>
            </w:r>
          </w:p>
        </w:tc>
        <w:tc>
          <w:tcPr>
            <w:shd w:fill="auto" w:val="clear"/>
          </w:tcPr>
          <w:p w:rsidR="00000000" w:rsidDel="00000000" w:rsidP="00000000" w:rsidRDefault="00000000" w:rsidRPr="00000000" w14:paraId="00000088">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28)</w:t>
            </w:r>
          </w:p>
        </w:tc>
      </w:tr>
      <w:tr>
        <w:trPr>
          <w:cantSplit w:val="0"/>
          <w:tblHeader w:val="0"/>
        </w:trPr>
        <w:tc>
          <w:tcPr>
            <w:shd w:fill="auto" w:val="cle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highlight w:val="white"/>
              </w:rPr>
            </w:pPr>
            <m:oMath>
              <m:r>
                <w:rPr>
                  <w:rFonts w:ascii="Cambria Math" w:cs="Cambria Math" w:eastAsia="Cambria Math" w:hAnsi="Cambria Math"/>
                </w:rPr>
                <m:t xml:space="preserve">g</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0</m:t>
                  </m:r>
                </m:sub>
              </m:sSub>
              <m:r>
                <w:rPr>
                  <w:rFonts w:ascii="Cambria Math" w:cs="Cambria Math" w:eastAsia="Cambria Math" w:hAnsi="Cambria Math"/>
                </w:rPr>
                <m:t xml:space="preserve">+1.6GP</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y</m:t>
                      </m:r>
                    </m:sub>
                  </m:sSub>
                </m:sub>
              </m:sSub>
            </m:oMath>
            <w:r w:rsidDel="00000000" w:rsidR="00000000" w:rsidRPr="00000000">
              <w:rPr>
                <w:rtl w:val="0"/>
              </w:rPr>
            </w:r>
          </w:p>
        </w:tc>
        <w:tc>
          <w:tcPr>
            <w:shd w:fill="auto" w:val="clear"/>
          </w:tcPr>
          <w:p w:rsidR="00000000" w:rsidDel="00000000" w:rsidP="00000000" w:rsidRDefault="00000000" w:rsidRPr="00000000" w14:paraId="0000008B">
            <w:pPr>
              <w:widowControl w:val="0"/>
              <w:spacing w:line="240" w:lineRule="auto"/>
              <w:jc w:val="right"/>
              <w:rPr>
                <w:highlight w:val="white"/>
              </w:rPr>
            </w:pPr>
            <w:r w:rsidDel="00000000" w:rsidR="00000000" w:rsidRPr="00000000">
              <w:rPr>
                <w:rFonts w:ascii="Times New Roman" w:cs="Times New Roman" w:eastAsia="Times New Roman" w:hAnsi="Times New Roman"/>
                <w:sz w:val="24"/>
                <w:szCs w:val="24"/>
                <w:highlight w:val="white"/>
                <w:rtl w:val="0"/>
              </w:rPr>
              <w:t xml:space="preserve">(SM 29)</w:t>
            </w:r>
            <w:r w:rsidDel="00000000" w:rsidR="00000000" w:rsidRPr="00000000">
              <w:rPr>
                <w:rtl w:val="0"/>
              </w:rPr>
            </w:r>
          </w:p>
        </w:tc>
      </w:tr>
    </w:tbl>
    <w:p w:rsidR="00000000" w:rsidDel="00000000" w:rsidP="00000000" w:rsidRDefault="00000000" w:rsidRPr="00000000" w14:paraId="0000008C">
      <w:pPr>
        <w:spacing w:after="0" w:before="240" w:line="480" w:lineRule="auto"/>
        <w:jc w:val="both"/>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0</m:t>
            </m:r>
          </m:sub>
        </m:sSub>
      </m:oMath>
      <w:r w:rsidDel="00000000" w:rsidR="00000000" w:rsidRPr="00000000">
        <w:rPr>
          <w:rFonts w:ascii="Times New Roman" w:cs="Times New Roman" w:eastAsia="Times New Roman" w:hAnsi="Times New Roman"/>
          <w:sz w:val="24"/>
          <w:szCs w:val="24"/>
          <w:highlight w:val="white"/>
          <w:rtl w:val="0"/>
        </w:rPr>
        <w:t xml:space="preserve">is the stomatal conductance with a fix value of 0.001, </w:t>
      </w: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1</m:t>
            </m:r>
          </m:sub>
        </m:sSub>
      </m:oMath>
      <w:r w:rsidDel="00000000" w:rsidR="00000000" w:rsidRPr="00000000">
        <w:rPr>
          <w:rFonts w:ascii="Times New Roman" w:cs="Times New Roman" w:eastAsia="Times New Roman" w:hAnsi="Times New Roman"/>
          <w:sz w:val="24"/>
          <w:szCs w:val="24"/>
          <w:highlight w:val="white"/>
          <w:rtl w:val="0"/>
        </w:rPr>
        <w:t xml:space="preserve">is the conductance sensibility to the carbon assimilation (Medlyn et al., 2011) and has a constant value of 3.77. Lastly, </w:t>
      </w:r>
      <m:oMath>
        <m:sSub>
          <m:sSubPr>
            <m:ctrlPr>
              <w:rPr>
                <w:rFonts w:ascii="Cambria Math" w:cs="Cambria Math" w:eastAsia="Cambria Math" w:hAnsi="Cambria Math"/>
              </w:rPr>
            </m:ctrlPr>
          </m:sSubPr>
          <m:e>
            <m:r>
              <w:rPr>
                <w:rFonts w:ascii="Cambria Math" w:cs="Cambria Math" w:eastAsia="Cambria Math" w:hAnsi="Cambria Math"/>
              </w:rPr>
              <m:t xml:space="preserve">VPD</m:t>
            </m:r>
          </m:e>
          <m:sub>
            <m:r>
              <w:rPr>
                <w:rFonts w:ascii="Cambria Math" w:cs="Cambria Math" w:eastAsia="Cambria Math" w:hAnsi="Cambria Math"/>
              </w:rPr>
              <m:t xml:space="preserve">y</m:t>
            </m:r>
          </m:sub>
        </m:sSub>
      </m:oMath>
      <w:r w:rsidDel="00000000" w:rsidR="00000000" w:rsidRPr="00000000">
        <w:rPr>
          <w:rFonts w:ascii="Times New Roman" w:cs="Times New Roman" w:eastAsia="Times New Roman" w:hAnsi="Times New Roman"/>
          <w:sz w:val="24"/>
          <w:szCs w:val="24"/>
          <w:highlight w:val="white"/>
          <w:rtl w:val="0"/>
        </w:rPr>
        <w:t xml:space="preserve"> is the deficit of vapor pressure on the leaf surface: </w:t>
      </w:r>
    </w:p>
    <w:tbl>
      <w:tblPr>
        <w:tblStyle w:val="Table25"/>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8E">
            <w:pPr>
              <w:spacing w:line="240" w:lineRule="auto"/>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VPD</m:t>
                  </m:r>
                </m:e>
                <m:sub>
                  <m:r>
                    <w:rPr>
                      <w:rFonts w:ascii="Cambria Math" w:cs="Cambria Math" w:eastAsia="Cambria Math" w:hAnsi="Cambria Math"/>
                    </w:rPr>
                    <m:t xml:space="preserve">y</m:t>
                  </m:r>
                </m:sub>
              </m:sSub>
              <m:r>
                <w:rPr>
                  <w:rFonts w:ascii="Cambria Math" w:cs="Cambria Math" w:eastAsia="Cambria Math" w:hAnsi="Cambria Math"/>
                </w:rPr>
                <m:t xml:space="preserve">=</m:t>
              </m:r>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va</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y</m:t>
                              </m:r>
                            </m:sub>
                          </m:sSub>
                        </m:sub>
                      </m:sSub>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y</m:t>
                          </m:r>
                        </m:sub>
                      </m:sSub>
                    </m:e>
                  </m:d>
                </m:num>
                <m:den>
                  <m:r>
                    <w:rPr>
                      <w:rFonts w:ascii="Cambria Math" w:cs="Cambria Math" w:eastAsia="Cambria Math" w:hAnsi="Cambria Math"/>
                    </w:rPr>
                    <m:t xml:space="preserve">10</m:t>
                  </m:r>
                </m:den>
              </m:f>
            </m:oMath>
            <w:r w:rsidDel="00000000" w:rsidR="00000000" w:rsidRPr="00000000">
              <w:rPr>
                <w:rtl w:val="0"/>
              </w:rPr>
            </w:r>
          </w:p>
        </w:tc>
        <w:tc>
          <w:tcPr>
            <w:shd w:fill="auto" w:val="clear"/>
          </w:tcPr>
          <w:p w:rsidR="00000000" w:rsidDel="00000000" w:rsidP="00000000" w:rsidRDefault="00000000" w:rsidRPr="00000000" w14:paraId="0000008F">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30)</w:t>
            </w:r>
          </w:p>
        </w:tc>
      </w:tr>
    </w:tbl>
    <w:p w:rsidR="00000000" w:rsidDel="00000000" w:rsidP="00000000" w:rsidRDefault="00000000" w:rsidRPr="00000000" w14:paraId="00000090">
      <w:pPr>
        <w:spacing w:after="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y</m:t>
            </m:r>
          </m:sub>
        </m:sSub>
      </m:oMath>
      <w:r w:rsidDel="00000000" w:rsidR="00000000" w:rsidRPr="00000000">
        <w:rPr>
          <w:rFonts w:ascii="Times New Roman" w:cs="Times New Roman" w:eastAsia="Times New Roman" w:hAnsi="Times New Roman"/>
          <w:sz w:val="24"/>
          <w:szCs w:val="24"/>
          <w:highlight w:val="white"/>
          <w:rtl w:val="0"/>
        </w:rPr>
        <w:t xml:space="preserve"> (input) is the relative humidity and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va</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is the evapotranspiration (see SM.1.9.).</w:t>
      </w:r>
    </w:p>
    <w:p w:rsidR="00000000" w:rsidDel="00000000" w:rsidP="00000000" w:rsidRDefault="00000000" w:rsidRPr="00000000" w14:paraId="00000091">
      <w:pPr>
        <w:spacing w:after="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SM.1.8. Light capture for distinct PFTs/PLSs</w:t>
      </w:r>
    </w:p>
    <w:p w:rsidR="00000000" w:rsidDel="00000000" w:rsidP="00000000" w:rsidRDefault="00000000" w:rsidRPr="00000000" w14:paraId="00000092">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carbon stored on aboveground wood tissues are highly correlated to light competition (Reich, 2014). However, the model CAETÊ is still not able to represent the competition ecological process mechanistically, since there is no representation of shading of PFTs/PLSs that resemble understory plants by the ones that resemble trees with higher height and higher canopy area, for example. The majority of models represents the plants competitive ability for light associated with woody tissues through variables that describe height, wood density and canopy ratio [e.g. aDGVM (Scheiter, Langan, &amp; Higgins, 2013) and LPJ (Sitch et al., 2003). These variables are estimated via allometric relationships that were not used by CAETÊ in this study. So in order to implement a trade-off for the traits (allocation and residence time) that determines the carbon content on ABGW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abgw</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we used a simplified approach for the sake of representing the differential light capture between the different PFTs/PLSs in a grid cell. We considered that 5% of the PFTs/PLSs that present the higher relative carbon content on ABGW in a grid cell can capture 100% of the incident </w:t>
      </w:r>
      <m:oMath>
        <m:r>
          <w:rPr>
            <w:rFonts w:ascii="Cambria Math" w:cs="Cambria Math" w:eastAsia="Cambria Math" w:hAnsi="Cambria Math"/>
          </w:rPr>
          <m:t xml:space="preserve">IPAR</m:t>
        </m:r>
      </m:oMath>
      <w:r w:rsidDel="00000000" w:rsidR="00000000" w:rsidRPr="00000000">
        <w:rPr>
          <w:rFonts w:ascii="Times New Roman" w:cs="Times New Roman" w:eastAsia="Times New Roman" w:hAnsi="Times New Roman"/>
          <w:sz w:val="24"/>
          <w:szCs w:val="24"/>
          <w:highlight w:val="white"/>
          <w:rtl w:val="0"/>
        </w:rPr>
        <w:t xml:space="preserve">while the other ones can capture 80% of the IPAR .</w:t>
      </w:r>
    </w:p>
    <w:p w:rsidR="00000000" w:rsidDel="00000000" w:rsidP="00000000" w:rsidRDefault="00000000" w:rsidRPr="00000000" w14:paraId="00000093">
      <w:pPr>
        <w:spacing w:after="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SM.1.9. Water balance sub-model </w:t>
        <w:tab/>
        <w:t xml:space="preserve"> </w:t>
        <w:tab/>
        <w:t xml:space="preserve"> </w:t>
        <w:tab/>
      </w:r>
    </w:p>
    <w:p w:rsidR="00000000" w:rsidDel="00000000" w:rsidP="00000000" w:rsidRDefault="00000000" w:rsidRPr="00000000" w14:paraId="00000094">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CAETÊ uses a sub-model to calculate the water balance in a grid cell scale. This sub-model is based on Oyama &amp; Nobre (2004) and is evaluated over an homogeneous soil layer with a unique water maximum holding capacity (</w:t>
      </w: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max</m:t>
            </m:r>
          </m:sub>
        </m:sSub>
      </m:oMath>
      <w:r w:rsidDel="00000000" w:rsidR="00000000" w:rsidRPr="00000000">
        <w:rPr>
          <w:rFonts w:ascii="Times New Roman" w:cs="Times New Roman" w:eastAsia="Times New Roman" w:hAnsi="Times New Roman"/>
          <w:sz w:val="24"/>
          <w:szCs w:val="24"/>
          <w:highlight w:val="white"/>
          <w:rtl w:val="0"/>
        </w:rPr>
        <w:t xml:space="preserve">) equal to 500 mm. In the present study different types of soil are not considered. Developments on CAETÊ have being done in order to increase the amount of soil layers and to implement different soil types with different water holding capacity and different nutrients availability.</w:t>
        <w:tab/>
      </w:r>
    </w:p>
    <w:p w:rsidR="00000000" w:rsidDel="00000000" w:rsidP="00000000" w:rsidRDefault="00000000" w:rsidRPr="00000000" w14:paraId="00000095">
      <w:pPr>
        <w:spacing w:after="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SM.1.9.1. Soil water content and saturation</w:t>
      </w:r>
      <w:r w:rsidDel="00000000" w:rsidR="00000000" w:rsidRPr="00000000">
        <w:rPr>
          <w:rFonts w:ascii="Times New Roman" w:cs="Times New Roman" w:eastAsia="Times New Roman" w:hAnsi="Times New Roman"/>
          <w:b w:val="1"/>
          <w:sz w:val="24"/>
          <w:szCs w:val="24"/>
          <w:highlight w:val="white"/>
          <w:rtl w:val="0"/>
        </w:rPr>
        <w:t xml:space="preserve"> </w:t>
        <w:tab/>
      </w:r>
      <w:r w:rsidDel="00000000" w:rsidR="00000000" w:rsidRPr="00000000">
        <w:rPr>
          <w:rtl w:val="0"/>
        </w:rPr>
      </w:r>
    </w:p>
    <w:p w:rsidR="00000000" w:rsidDel="00000000" w:rsidP="00000000" w:rsidRDefault="00000000" w:rsidRPr="00000000" w14:paraId="00000096">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here employed calculates soil water and snow budgets separately, however given the climatic conditions of the study area we do not present here the soil snow budget formulation [see Oyama &amp; Nobre (2004) for accessing it]. The actual soil water content (</w:t>
      </w:r>
      <m:oMath>
        <m:sSub>
          <m:sSubPr>
            <m:ctrlPr>
              <w:rPr>
                <w:rFonts w:ascii="Cambria Math" w:cs="Cambria Math" w:eastAsia="Cambria Math" w:hAnsi="Cambria Math"/>
              </w:rPr>
            </m:ctrlPr>
          </m:sSubPr>
          <m:e>
            <m:r>
              <w:rPr>
                <w:rFonts w:ascii="Cambria Math" w:cs="Cambria Math" w:eastAsia="Cambria Math" w:hAnsi="Cambria Math"/>
              </w:rPr>
              <m:t xml:space="preserve">H</m:t>
            </m:r>
          </m:e>
          <m:sub>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t</m:t>
                </m:r>
              </m:sub>
            </m:sSub>
          </m:sub>
        </m:sSub>
      </m:oMath>
      <w:r w:rsidDel="00000000" w:rsidR="00000000" w:rsidRPr="00000000">
        <w:rPr>
          <w:rFonts w:ascii="Times New Roman" w:cs="Times New Roman" w:eastAsia="Times New Roman" w:hAnsi="Times New Roman"/>
          <w:sz w:val="24"/>
          <w:szCs w:val="24"/>
          <w:highlight w:val="white"/>
          <w:rtl w:val="0"/>
        </w:rPr>
        <w:t xml:space="preserve">) in a grid cell </w:t>
      </w:r>
      <m:oMath>
        <m:r>
          <w:rPr>
            <w:rFonts w:ascii="Cambria Math" w:cs="Cambria Math" w:eastAsia="Cambria Math" w:hAnsi="Cambria Math"/>
          </w:rPr>
          <m:t xml:space="preserve">y</m:t>
        </m:r>
      </m:oMath>
      <w:r w:rsidDel="00000000" w:rsidR="00000000" w:rsidRPr="00000000">
        <w:rPr>
          <w:rFonts w:ascii="Times New Roman" w:cs="Times New Roman" w:eastAsia="Times New Roman" w:hAnsi="Times New Roman"/>
          <w:sz w:val="24"/>
          <w:szCs w:val="24"/>
          <w:highlight w:val="white"/>
          <w:rtl w:val="0"/>
        </w:rPr>
        <w:t xml:space="preserve"> in a certain time step </w:t>
      </w:r>
      <m:oMath>
        <m:r>
          <w:rPr>
            <w:rFonts w:ascii="Cambria Math" w:cs="Cambria Math" w:eastAsia="Cambria Math" w:hAnsi="Cambria Math"/>
          </w:rPr>
          <m:t xml:space="preserve">t</m:t>
        </m:r>
      </m:oMath>
      <w:r w:rsidDel="00000000" w:rsidR="00000000" w:rsidRPr="00000000">
        <w:rPr>
          <w:rFonts w:ascii="Times New Roman" w:cs="Times New Roman" w:eastAsia="Times New Roman" w:hAnsi="Times New Roman"/>
          <w:sz w:val="24"/>
          <w:szCs w:val="24"/>
          <w:highlight w:val="white"/>
          <w:rtl w:val="0"/>
        </w:rPr>
        <w:t xml:space="preserve"> depends on the precipitation (</w:t>
      </w:r>
      <m:oMath>
        <m:sSub>
          <m:sSubPr>
            <m:ctrlPr>
              <w:rPr>
                <w:rFonts w:ascii="Cambria Math" w:cs="Cambria Math" w:eastAsia="Cambria Math" w:hAnsi="Cambria Math"/>
              </w:rPr>
            </m:ctrlPr>
          </m:sSubPr>
          <m:e>
            <m:r>
              <w:rPr>
                <w:rFonts w:ascii="Cambria Math" w:cs="Cambria Math" w:eastAsia="Cambria Math" w:hAnsi="Cambria Math"/>
              </w:rPr>
              <m:t xml:space="preserve">P</m:t>
            </m:r>
          </m:e>
          <m:sub>
            <m:sSub>
              <m:sSubPr>
                <m:ctrlPr>
                  <w:rPr>
                    <w:rFonts w:ascii="Cambria Math" w:cs="Cambria Math" w:eastAsia="Cambria Math" w:hAnsi="Cambria Math"/>
                  </w:rPr>
                </m:ctrlPr>
              </m:sSubPr>
              <m:e>
                <m:r>
                  <w:rPr>
                    <w:rFonts w:ascii="Cambria Math" w:cs="Cambria Math" w:eastAsia="Cambria Math" w:hAnsi="Cambria Math"/>
                  </w:rPr>
                  <m:t xml:space="preserve">rec</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the evapotranspiration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sSub>
              <m:sSubPr>
                <m:ctrlPr>
                  <w:rPr>
                    <w:rFonts w:ascii="Cambria Math" w:cs="Cambria Math" w:eastAsia="Cambria Math" w:hAnsi="Cambria Math"/>
                  </w:rPr>
                </m:ctrlPr>
              </m:sSubPr>
              <m:e>
                <m:r>
                  <w:rPr>
                    <w:rFonts w:ascii="Cambria Math" w:cs="Cambria Math" w:eastAsia="Cambria Math" w:hAnsi="Cambria Math"/>
                  </w:rPr>
                  <m:t xml:space="preserve">vap</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see Oyama &amp; Nobre, 2004) and the runoff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off</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 see Oyama &amp; Nobre, 2004) on this grid cell:</w:t>
      </w:r>
    </w:p>
    <w:tbl>
      <w:tblPr>
        <w:tblStyle w:val="Table26"/>
        <w:tblW w:w="9015.0" w:type="dxa"/>
        <w:jc w:val="left"/>
        <w:tblInd w:w="0.0" w:type="dxa"/>
        <w:tblLayout w:type="fixed"/>
        <w:tblLook w:val="0600"/>
      </w:tblPr>
      <w:tblGrid>
        <w:gridCol w:w="1800"/>
        <w:gridCol w:w="5085"/>
        <w:gridCol w:w="2130"/>
        <w:tblGridChange w:id="0">
          <w:tblGrid>
            <w:gridCol w:w="1800"/>
            <w:gridCol w:w="5085"/>
            <w:gridCol w:w="2130"/>
          </w:tblGrid>
        </w:tblGridChange>
      </w:tblGrid>
      <w:tr>
        <w:trPr>
          <w:cantSplit w:val="0"/>
          <w:tblHeader w:val="0"/>
        </w:trPr>
        <w:tc>
          <w:tcPr>
            <w:shd w:fill="auto" w:val="clea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highlight w:val="white"/>
              </w:rPr>
            </w:pPr>
            <m:oMath>
              <m:r>
                <m:t>∂</m:t>
              </m:r>
              <m:f>
                <m:num>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y</m:t>
                      </m:r>
                    </m:sub>
                  </m:sSub>
                </m:num>
                <m:den>
                  <m:r>
                    <w:rPr>
                      <w:rFonts w:ascii="Cambria Math" w:cs="Cambria Math" w:eastAsia="Cambria Math" w:hAnsi="Cambria Math"/>
                    </w:rPr>
                    <m:t>∂</m:t>
                  </m:r>
                </m:den>
              </m:f>
              <m:r>
                <w:rPr>
                  <w:rFonts w:ascii="Cambria Math" w:cs="Cambria Math" w:eastAsia="Cambria Math" w:hAnsi="Cambria Math"/>
                </w:rPr>
                <m:t xml:space="preserve">t=</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ℜ</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va</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of</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y</m:t>
                      </m:r>
                    </m:sub>
                  </m:sSub>
                </m:sub>
              </m:sSub>
            </m:oMath>
            <w:r w:rsidDel="00000000" w:rsidR="00000000" w:rsidRPr="00000000">
              <w:rPr>
                <w:rtl w:val="0"/>
              </w:rPr>
            </w:r>
          </w:p>
        </w:tc>
        <w:tc>
          <w:tcPr>
            <w:shd w:fill="auto" w:val="clear"/>
          </w:tcPr>
          <w:p w:rsidR="00000000" w:rsidDel="00000000" w:rsidP="00000000" w:rsidRDefault="00000000" w:rsidRPr="00000000" w14:paraId="00000099">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31)</w:t>
            </w:r>
          </w:p>
        </w:tc>
      </w:tr>
    </w:tbl>
    <w:p w:rsidR="00000000" w:rsidDel="00000000" w:rsidP="00000000" w:rsidRDefault="00000000" w:rsidRPr="00000000" w14:paraId="0000009A">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Then, t</w:t>
      </w:r>
      <w:r w:rsidDel="00000000" w:rsidR="00000000" w:rsidRPr="00000000">
        <w:rPr>
          <w:rFonts w:ascii="Times New Roman" w:cs="Times New Roman" w:eastAsia="Times New Roman" w:hAnsi="Times New Roman"/>
          <w:sz w:val="24"/>
          <w:szCs w:val="24"/>
          <w:highlight w:val="white"/>
          <w:rtl w:val="0"/>
        </w:rPr>
        <w:t xml:space="preserve">he degree of water soil saturation in the grid cell (</w:t>
      </w:r>
      <m:oMath>
        <m:sSub>
          <m:sSubPr>
            <m:ctrlPr>
              <w:rPr>
                <w:rFonts w:ascii="Cambria Math" w:cs="Cambria Math" w:eastAsia="Cambria Math" w:hAnsi="Cambria Math"/>
              </w:rPr>
            </m:ctrlPr>
          </m:sSubPr>
          <m:e>
            <m:r>
              <w:rPr>
                <w:rFonts w:ascii="Cambria Math" w:cs="Cambria Math" w:eastAsia="Cambria Math" w:hAnsi="Cambria Math"/>
              </w:rPr>
              <m:t xml:space="preserve">w</m:t>
            </m:r>
          </m:e>
          <m:sub>
            <m:sSub>
              <m:sSubPr>
                <m:ctrlPr>
                  <w:rPr>
                    <w:rFonts w:ascii="Cambria Math" w:cs="Cambria Math" w:eastAsia="Cambria Math" w:hAnsi="Cambria Math"/>
                  </w:rPr>
                </m:ctrlPr>
              </m:sSubPr>
              <m:e>
                <m:r>
                  <w:rPr>
                    <w:rFonts w:ascii="Cambria Math" w:cs="Cambria Math" w:eastAsia="Cambria Math" w:hAnsi="Cambria Math"/>
                  </w:rPr>
                  <m:t xml:space="preserve">sat</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can be calculated:</w:t>
      </w:r>
    </w:p>
    <w:tbl>
      <w:tblPr>
        <w:tblStyle w:val="Table27"/>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w</m:t>
                  </m:r>
                </m:e>
                <m:sub>
                  <m:sSub>
                    <m:sSubPr>
                      <m:ctrlPr>
                        <w:rPr>
                          <w:rFonts w:ascii="Cambria Math" w:cs="Cambria Math" w:eastAsia="Cambria Math" w:hAnsi="Cambria Math"/>
                        </w:rPr>
                      </m:ctrlPr>
                    </m:sSubPr>
                    <m:e>
                      <m:r>
                        <w:rPr>
                          <w:rFonts w:ascii="Cambria Math" w:cs="Cambria Math" w:eastAsia="Cambria Math" w:hAnsi="Cambria Math"/>
                        </w:rPr>
                        <m:t xml:space="preserve">sat</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y</m:t>
                      </m:r>
                    </m:sub>
                  </m:sSub>
                </m:num>
                <m:den>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max</m:t>
                      </m:r>
                    </m:sub>
                  </m:sSub>
                </m:den>
              </m:f>
            </m:oMath>
            <w:r w:rsidDel="00000000" w:rsidR="00000000" w:rsidRPr="00000000">
              <w:rPr>
                <w:rtl w:val="0"/>
              </w:rPr>
            </w:r>
          </w:p>
        </w:tc>
        <w:tc>
          <w:tcPr>
            <w:shd w:fill="auto" w:val="clear"/>
          </w:tcPr>
          <w:p w:rsidR="00000000" w:rsidDel="00000000" w:rsidP="00000000" w:rsidRDefault="00000000" w:rsidRPr="00000000" w14:paraId="0000009D">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32)</w:t>
            </w:r>
          </w:p>
        </w:tc>
      </w:tr>
    </w:tbl>
    <w:p w:rsidR="00000000" w:rsidDel="00000000" w:rsidP="00000000" w:rsidRDefault="00000000" w:rsidRPr="00000000" w14:paraId="0000009E">
      <w:pPr>
        <w:spacing w:after="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SM.1.9.2. Water stress</w:t>
      </w:r>
      <w:r w:rsidDel="00000000" w:rsidR="00000000" w:rsidRPr="00000000">
        <w:rPr>
          <w:rFonts w:ascii="Times New Roman" w:cs="Times New Roman" w:eastAsia="Times New Roman" w:hAnsi="Times New Roman"/>
          <w:b w:val="1"/>
          <w:sz w:val="24"/>
          <w:szCs w:val="2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ab/>
        <w:t xml:space="preserve"> </w:t>
        <w:tab/>
        <w:t xml:space="preserve"> </w:t>
        <w:tab/>
        <w:t xml:space="preserve"> </w:t>
        <w:tab/>
        <w:t xml:space="preserve"> </w:t>
        <w:tab/>
      </w:r>
    </w:p>
    <w:p w:rsidR="00000000" w:rsidDel="00000000" w:rsidP="00000000" w:rsidRDefault="00000000" w:rsidRPr="00000000" w14:paraId="0000009F">
      <w:pPr>
        <w:spacing w:after="0" w:before="240" w:line="480" w:lineRule="auto"/>
        <w:jc w:val="both"/>
        <w:rPr/>
      </w:pPr>
      <w:r w:rsidDel="00000000" w:rsidR="00000000" w:rsidRPr="00000000">
        <w:rPr>
          <w:rFonts w:ascii="Times New Roman" w:cs="Times New Roman" w:eastAsia="Times New Roman" w:hAnsi="Times New Roman"/>
          <w:sz w:val="24"/>
          <w:szCs w:val="24"/>
          <w:highlight w:val="white"/>
          <w:rtl w:val="0"/>
        </w:rPr>
        <w:t xml:space="preserve">In order to include the limitation of photosynthesis by water availability and to comprise a trade-off for the fine roots traits investment, we added to the photosynthesis (</w:t>
      </w:r>
      <m:oMath>
        <m:sSub>
          <m:sSubPr>
            <m:ctrlPr>
              <w:rPr>
                <w:rFonts w:ascii="Cambria Math" w:cs="Cambria Math" w:eastAsia="Cambria Math" w:hAnsi="Cambria Math"/>
              </w:rPr>
            </m:ctrlPr>
          </m:sSubPr>
          <m:e>
            <m:r>
              <w:rPr>
                <w:rFonts w:ascii="Cambria Math" w:cs="Cambria Math" w:eastAsia="Cambria Math" w:hAnsi="Cambria Math"/>
              </w:rPr>
              <m:t xml:space="preserve">GPP</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equation a water stress factor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5</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This factor is calculated in function of the ratio between the potential water supply for transpiration (</w:t>
      </w:r>
      <m:oMath>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and the atmospheric demand for transpiration (</w:t>
      </w: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This approach is based on Pavlick et al. (2013).</w:t>
      </w:r>
      <w:r w:rsidDel="00000000" w:rsidR="00000000" w:rsidRPr="00000000">
        <w:rPr>
          <w:rtl w:val="0"/>
        </w:rPr>
      </w:r>
    </w:p>
    <w:tbl>
      <w:tblPr>
        <w:tblStyle w:val="Table28"/>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A1">
            <w:pPr>
              <w:spacing w:after="0" w:before="240"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f</m:t>
                  </m:r>
                </m:e>
                <m:sub>
                  <m:sSub>
                    <m:sSubPr>
                      <m:ctrlPr>
                        <w:rPr>
                          <w:rFonts w:ascii="Cambria Math" w:cs="Cambria Math" w:eastAsia="Cambria Math" w:hAnsi="Cambria Math"/>
                        </w:rPr>
                      </m:ctrlPr>
                    </m:sSubPr>
                    <m:e>
                      <m:r>
                        <w:rPr>
                          <w:rFonts w:ascii="Cambria Math" w:cs="Cambria Math" w:eastAsia="Cambria Math" w:hAnsi="Cambria Math"/>
                        </w:rPr>
                        <m:t xml:space="preserve">5</m:t>
                      </m:r>
                    </m:e>
                    <m:sub>
                      <m:r>
                        <w:rPr>
                          <w:rFonts w:ascii="Cambria Math" w:cs="Cambria Math" w:eastAsia="Cambria Math" w:hAnsi="Cambria Math"/>
                        </w:rPr>
                        <m:t xml:space="preserve">i</m:t>
                      </m:r>
                    </m:sub>
                  </m:sSub>
                </m:sub>
              </m:sSub>
              <m:r>
                <w:rPr>
                  <w:rFonts w:ascii="Cambria Math" w:cs="Cambria Math" w:eastAsia="Cambria Math" w:hAnsi="Cambria Math"/>
                </w:rPr>
                <m:t xml:space="preserve">=1−exp</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num>
                    <m:den>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i</m:t>
                          </m:r>
                        </m:sub>
                      </m:sSub>
                    </m:den>
                  </m:f>
                </m:e>
              </m:d>
            </m:oMath>
            <w:r w:rsidDel="00000000" w:rsidR="00000000" w:rsidRPr="00000000">
              <w:rPr>
                <w:rtl w:val="0"/>
              </w:rPr>
            </w:r>
          </w:p>
        </w:tc>
        <w:tc>
          <w:tcPr>
            <w:shd w:fill="auto" w:val="clear"/>
          </w:tcPr>
          <w:p w:rsidR="00000000" w:rsidDel="00000000" w:rsidP="00000000" w:rsidRDefault="00000000" w:rsidRPr="00000000" w14:paraId="000000A2">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33)</w:t>
            </w:r>
          </w:p>
        </w:tc>
      </w:tr>
    </w:tbl>
    <w:p w:rsidR="00000000" w:rsidDel="00000000" w:rsidP="00000000" w:rsidRDefault="00000000" w:rsidRPr="00000000" w14:paraId="000000A4">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is a function of the carbon stock on fine roots compartment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sSub>
              <m:sSubPr>
                <m:ctrlPr>
                  <w:rPr>
                    <w:rFonts w:ascii="Cambria Math" w:cs="Cambria Math" w:eastAsia="Cambria Math" w:hAnsi="Cambria Math"/>
                  </w:rPr>
                </m:ctrlPr>
              </m:sSubPr>
              <m:e>
                <m:r>
                  <w:rPr>
                    <w:rFonts w:ascii="Cambria Math" w:cs="Cambria Math" w:eastAsia="Cambria Math" w:hAnsi="Cambria Math"/>
                  </w:rPr>
                  <m:t xml:space="preserve">root</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 multiplied by a constant water uptake capacity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sru</m:t>
            </m:r>
          </m:sub>
        </m:sSub>
      </m:oMath>
      <w:r w:rsidDel="00000000" w:rsidR="00000000" w:rsidRPr="00000000">
        <w:rPr>
          <w:rFonts w:ascii="Times New Roman" w:cs="Times New Roman" w:eastAsia="Times New Roman" w:hAnsi="Times New Roman"/>
          <w:sz w:val="24"/>
          <w:szCs w:val="24"/>
          <w:highlight w:val="white"/>
          <w:rtl w:val="0"/>
        </w:rPr>
        <w:t xml:space="preserve">) with a value of 0.0005 mmH</w:t>
      </w:r>
      <w:r w:rsidDel="00000000" w:rsidR="00000000" w:rsidRPr="00000000">
        <w:rPr>
          <w:rFonts w:ascii="Times New Roman" w:cs="Times New Roman" w:eastAsia="Times New Roman" w:hAnsi="Times New Roman"/>
          <w:sz w:val="40"/>
          <w:szCs w:val="40"/>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OkgC</w:t>
      </w:r>
      <w:r w:rsidDel="00000000" w:rsidR="00000000" w:rsidRPr="00000000">
        <w:rPr>
          <w:rFonts w:ascii="Times New Roman" w:cs="Times New Roman" w:eastAsia="Times New Roman" w:hAnsi="Times New Roman"/>
          <w:sz w:val="40"/>
          <w:szCs w:val="40"/>
          <w:highlight w:val="white"/>
          <w:vertAlign w:val="super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day</w:t>
      </w:r>
      <w:r w:rsidDel="00000000" w:rsidR="00000000" w:rsidRPr="00000000">
        <w:rPr>
          <w:rFonts w:ascii="Times New Roman" w:cs="Times New Roman" w:eastAsia="Times New Roman" w:hAnsi="Times New Roman"/>
          <w:sz w:val="40"/>
          <w:szCs w:val="40"/>
          <w:highlight w:val="white"/>
          <w:vertAlign w:val="super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 and by the degree of water soil saturation in the grid cell (</w:t>
      </w:r>
      <m:oMath>
        <m:sSub>
          <m:sSubPr>
            <m:ctrlPr>
              <w:rPr>
                <w:rFonts w:ascii="Cambria Math" w:cs="Cambria Math" w:eastAsia="Cambria Math" w:hAnsi="Cambria Math"/>
              </w:rPr>
            </m:ctrlPr>
          </m:sSubPr>
          <m:e>
            <m:r>
              <w:rPr>
                <w:rFonts w:ascii="Cambria Math" w:cs="Cambria Math" w:eastAsia="Cambria Math" w:hAnsi="Cambria Math"/>
              </w:rPr>
              <m:t xml:space="preserve">w</m:t>
            </m:r>
          </m:e>
          <m:sub>
            <m:sSub>
              <m:sSubPr>
                <m:ctrlPr>
                  <w:rPr>
                    <w:rFonts w:ascii="Cambria Math" w:cs="Cambria Math" w:eastAsia="Cambria Math" w:hAnsi="Cambria Math"/>
                  </w:rPr>
                </m:ctrlPr>
              </m:sSubPr>
              <m:e>
                <m:r>
                  <w:rPr>
                    <w:rFonts w:ascii="Cambria Math" w:cs="Cambria Math" w:eastAsia="Cambria Math" w:hAnsi="Cambria Math"/>
                  </w:rPr>
                  <m:t xml:space="preserve">sat</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 It is important to highlight that the value for </w:t>
      </w:r>
      <m:oMath>
        <m:sSub>
          <m:sSubPr>
            <m:ctrlPr>
              <w:rPr>
                <w:rFonts w:ascii="Cambria Math" w:cs="Cambria Math" w:eastAsia="Cambria Math" w:hAnsi="Cambria Math"/>
              </w:rPr>
            </m:ctrlPr>
          </m:sSubPr>
          <m:e>
            <m:r>
              <w:rPr>
                <w:rFonts w:ascii="Cambria Math" w:cs="Cambria Math" w:eastAsia="Cambria Math" w:hAnsi="Cambria Math"/>
              </w:rPr>
              <m:t xml:space="preserve">w</m:t>
            </m:r>
          </m:e>
          <m:sub>
            <m:sSub>
              <m:sSubPr>
                <m:ctrlPr>
                  <w:rPr>
                    <w:rFonts w:ascii="Cambria Math" w:cs="Cambria Math" w:eastAsia="Cambria Math" w:hAnsi="Cambria Math"/>
                  </w:rPr>
                </m:ctrlPr>
              </m:sSubPr>
              <m:e>
                <m:r>
                  <w:rPr>
                    <w:rFonts w:ascii="Cambria Math" w:cs="Cambria Math" w:eastAsia="Cambria Math" w:hAnsi="Cambria Math"/>
                  </w:rPr>
                  <m:t xml:space="preserve">sat</m:t>
                </m:r>
              </m:e>
              <m:sub>
                <m:r>
                  <w:rPr>
                    <w:rFonts w:ascii="Cambria Math" w:cs="Cambria Math" w:eastAsia="Cambria Math" w:hAnsi="Cambria Math"/>
                  </w:rPr>
                  <m:t xml:space="preserve">y</m:t>
                </m:r>
              </m:sub>
            </m:sSub>
          </m:sub>
        </m:sSub>
      </m:oMath>
      <w:r w:rsidDel="00000000" w:rsidR="00000000" w:rsidRPr="00000000">
        <w:rPr>
          <w:rFonts w:ascii="Times New Roman" w:cs="Times New Roman" w:eastAsia="Times New Roman" w:hAnsi="Times New Roman"/>
          <w:sz w:val="24"/>
          <w:szCs w:val="24"/>
          <w:highlight w:val="white"/>
          <w:rtl w:val="0"/>
        </w:rPr>
        <w:t xml:space="preserve">is correspondent to that of the previous day.</w:t>
      </w:r>
    </w:p>
    <w:tbl>
      <w:tblPr>
        <w:tblStyle w:val="Table29"/>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A6">
            <w:pPr>
              <w:spacing w:after="0" w:before="240"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sru</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roo</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sub>
              </m:sSub>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sa</m:t>
                  </m:r>
                  <m:sSub>
                    <m:sSubPr>
                      <m:ctrlPr>
                        <w:rPr>
                          <w:rFonts w:ascii="Cambria Math" w:cs="Cambria Math" w:eastAsia="Cambria Math" w:hAnsi="Cambria Math"/>
                        </w:rPr>
                      </m:ctrlPr>
                    </m:sSubPr>
                    <m:e>
                      <m:r>
                        <w:rPr>
                          <w:rFonts w:ascii="Cambria Math" w:cs="Cambria Math" w:eastAsia="Cambria Math" w:hAnsi="Cambria Math"/>
                        </w:rPr>
                        <m:t xml:space="preserve">t</m:t>
                      </m:r>
                    </m:e>
                    <m:sub>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t−1</m:t>
                          </m:r>
                        </m:sub>
                      </m:sSub>
                    </m:sub>
                  </m:sSub>
                </m:sub>
              </m:sSub>
            </m:oMath>
            <w:r w:rsidDel="00000000" w:rsidR="00000000" w:rsidRPr="00000000">
              <w:rPr>
                <w:rtl w:val="0"/>
              </w:rPr>
            </w:r>
          </w:p>
        </w:tc>
        <w:tc>
          <w:tcPr>
            <w:shd w:fill="auto" w:val="clear"/>
          </w:tcPr>
          <w:p w:rsidR="00000000" w:rsidDel="00000000" w:rsidP="00000000" w:rsidRDefault="00000000" w:rsidRPr="00000000" w14:paraId="000000A7">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34)</w:t>
            </w:r>
          </w:p>
        </w:tc>
      </w:tr>
    </w:tbl>
    <w:p w:rsidR="00000000" w:rsidDel="00000000" w:rsidP="00000000" w:rsidRDefault="00000000" w:rsidRPr="00000000" w14:paraId="000000A9">
      <w:pPr>
        <w:spacing w:after="0" w:before="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 </w:t>
      </w:r>
    </w:p>
    <w:p w:rsidR="00000000" w:rsidDel="00000000" w:rsidP="00000000" w:rsidRDefault="00000000" w:rsidRPr="00000000" w14:paraId="000000AA">
      <w:pPr>
        <w:spacing w:after="0" w:before="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Gerten et al. (2004), </w:t>
      </w: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i</m:t>
            </m:r>
          </m:sub>
        </m:sSub>
      </m:oMath>
      <w:r w:rsidDel="00000000" w:rsidR="00000000" w:rsidRPr="00000000">
        <w:rPr>
          <w:rFonts w:ascii="Times New Roman" w:cs="Times New Roman" w:eastAsia="Times New Roman" w:hAnsi="Times New Roman"/>
          <w:sz w:val="24"/>
          <w:szCs w:val="24"/>
          <w:highlight w:val="white"/>
          <w:rtl w:val="0"/>
        </w:rPr>
        <w:t xml:space="preserve"> represents the condition of a “unstressed transpiration” which occurs when stomatal opening is not limited by reduced water potential in the plant:</w:t>
      </w:r>
    </w:p>
    <w:p w:rsidR="00000000" w:rsidDel="00000000" w:rsidP="00000000" w:rsidRDefault="00000000" w:rsidRPr="00000000" w14:paraId="000000AB">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30"/>
        <w:tblW w:w="9015.0" w:type="dxa"/>
        <w:jc w:val="left"/>
        <w:tblInd w:w="0.0" w:type="dxa"/>
        <w:tblLayout w:type="fixed"/>
        <w:tblLook w:val="0600"/>
      </w:tblPr>
      <w:tblGrid>
        <w:gridCol w:w="1395"/>
        <w:gridCol w:w="5730"/>
        <w:gridCol w:w="1890"/>
        <w:tblGridChange w:id="0">
          <w:tblGrid>
            <w:gridCol w:w="1395"/>
            <w:gridCol w:w="5730"/>
            <w:gridCol w:w="1890"/>
          </w:tblGrid>
        </w:tblGridChange>
      </w:tblGrid>
      <w:tr>
        <w:trPr>
          <w:cantSplit w:val="0"/>
          <w:tblHeader w:val="0"/>
        </w:trPr>
        <w:tc>
          <w:tcPr>
            <w:shd w:fill="auto" w:val="clear"/>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AD">
            <w:pPr>
              <w:spacing w:after="0" w:before="240"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i</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sa</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sub>
                      </m:sSub>
                    </m:e>
                  </m:d>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va</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po</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sub>
                      </m:sSub>
                    </m:sub>
                  </m:sSub>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m</m:t>
                          </m:r>
                        </m:sub>
                      </m:sSub>
                    </m:num>
                    <m:den>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m</m:t>
                                  </m:r>
                                </m:sub>
                              </m:sSub>
                            </m:num>
                            <m:den>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po</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sub>
                              </m:sSub>
                            </m:den>
                          </m:f>
                        </m:e>
                      </m:d>
                    </m:den>
                  </m:f>
                </m:e>
              </m:d>
            </m:oMath>
            <w:r w:rsidDel="00000000" w:rsidR="00000000" w:rsidRPr="00000000">
              <w:rPr>
                <w:rtl w:val="0"/>
              </w:rPr>
            </w:r>
          </w:p>
        </w:tc>
        <w:tc>
          <w:tcPr>
            <w:shd w:fill="auto" w:val="clear"/>
          </w:tcPr>
          <w:p w:rsidR="00000000" w:rsidDel="00000000" w:rsidP="00000000" w:rsidRDefault="00000000" w:rsidRPr="00000000" w14:paraId="000000AE">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F">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35)</w:t>
            </w:r>
          </w:p>
        </w:tc>
      </w:tr>
    </w:tbl>
    <w:p w:rsidR="00000000" w:rsidDel="00000000" w:rsidP="00000000" w:rsidRDefault="00000000" w:rsidRPr="00000000" w14:paraId="000000B0">
      <w:pPr>
        <w:spacing w:after="0" w:before="4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va</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po</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y</m:t>
                    </m:r>
                  </m:sub>
                </m:sSub>
              </m:sub>
            </m:sSub>
          </m:sub>
        </m:sSub>
      </m:oMath>
      <w:r w:rsidDel="00000000" w:rsidR="00000000" w:rsidRPr="00000000">
        <w:rPr>
          <w:rFonts w:ascii="Times New Roman" w:cs="Times New Roman" w:eastAsia="Times New Roman" w:hAnsi="Times New Roman"/>
          <w:sz w:val="24"/>
          <w:szCs w:val="24"/>
          <w:highlight w:val="white"/>
          <w:rtl w:val="0"/>
        </w:rPr>
        <w:t xml:space="preserve">is the potential evapotranspiration (see Oyama &amp; Nobre, 2004); </w:t>
      </w:r>
      <m:oMath>
        <m:sSub>
          <m:sSubPr>
            <m:ctrlPr>
              <w:rPr>
                <w:rFonts w:ascii="Cambria Math" w:cs="Cambria Math" w:eastAsia="Cambria Math" w:hAnsi="Cambria Math"/>
              </w:rPr>
            </m:ctrlPr>
          </m:sSubPr>
          <m:e>
            <m:r>
              <m:t>γ</m:t>
            </m:r>
          </m:e>
          <m:sub>
            <m:r>
              <w:rPr>
                <w:rFonts w:ascii="Cambria Math" w:cs="Cambria Math" w:eastAsia="Cambria Math" w:hAnsi="Cambria Math"/>
              </w:rPr>
              <m:t xml:space="preserve">m</m:t>
            </m:r>
          </m:sub>
        </m:sSub>
      </m:oMath>
      <w:r w:rsidDel="00000000" w:rsidR="00000000" w:rsidRPr="00000000">
        <w:rPr>
          <w:rFonts w:ascii="Times New Roman" w:cs="Times New Roman" w:eastAsia="Times New Roman" w:hAnsi="Times New Roman"/>
          <w:sz w:val="24"/>
          <w:szCs w:val="24"/>
          <w:highlight w:val="white"/>
          <w:rtl w:val="0"/>
        </w:rPr>
        <w:t xml:space="preserve">is a coefficient with fixed value equal to 1.391, </w:t>
      </w: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m</m:t>
            </m:r>
          </m:sub>
        </m:sSub>
      </m:oMath>
      <w:r w:rsidDel="00000000" w:rsidR="00000000" w:rsidRPr="00000000">
        <w:rPr>
          <w:rFonts w:ascii="Times New Roman" w:cs="Times New Roman" w:eastAsia="Times New Roman" w:hAnsi="Times New Roman"/>
          <w:sz w:val="24"/>
          <w:szCs w:val="24"/>
          <w:highlight w:val="white"/>
          <w:rtl w:val="0"/>
        </w:rPr>
        <w:t xml:space="preserve"> is the canopy scaling stomatal conductance and presents a value equal to 3.26 mms</w:t>
      </w:r>
      <w:r w:rsidDel="00000000" w:rsidR="00000000" w:rsidRPr="00000000">
        <w:rPr>
          <w:rFonts w:ascii="Times New Roman" w:cs="Times New Roman" w:eastAsia="Times New Roman" w:hAnsi="Times New Roman"/>
          <w:sz w:val="24"/>
          <w:szCs w:val="24"/>
          <w:highlight w:val="white"/>
          <w:vertAlign w:val="super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w:t>
      </w: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po</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sub>
        </m:sSub>
      </m:oMath>
      <w:r w:rsidDel="00000000" w:rsidR="00000000" w:rsidRPr="00000000">
        <w:rPr>
          <w:rFonts w:ascii="Times New Roman" w:cs="Times New Roman" w:eastAsia="Times New Roman" w:hAnsi="Times New Roman"/>
          <w:sz w:val="24"/>
          <w:szCs w:val="24"/>
          <w:highlight w:val="white"/>
          <w:rtl w:val="0"/>
        </w:rPr>
        <w:t xml:space="preserve">is the canopy potential conductance when there is not water limitation and is calculated through minimum stomatal resistance (</w:t>
      </w:r>
      <m:oMath>
        <m:sSub>
          <m:sSubPr>
            <m:ctrlPr>
              <w:rPr>
                <w:rFonts w:ascii="Cambria Math" w:cs="Cambria Math" w:eastAsia="Cambria Math" w:hAnsi="Cambria Math"/>
              </w:rPr>
            </m:ctrlPr>
          </m:sSubPr>
          <m:e>
            <m:r>
              <w:rPr>
                <w:rFonts w:ascii="Cambria Math" w:cs="Cambria Math" w:eastAsia="Cambria Math" w:hAnsi="Cambria Math"/>
              </w:rPr>
              <m:t xml:space="preserve">rc</m:t>
            </m:r>
          </m:e>
          <m:sub>
            <m:r>
              <w:rPr>
                <w:rFonts w:ascii="Cambria Math" w:cs="Cambria Math" w:eastAsia="Cambria Math" w:hAnsi="Cambria Math"/>
              </w:rPr>
              <m:t xml:space="preserve">min</m:t>
            </m:r>
          </m:sub>
        </m:sSub>
      </m:oMath>
      <w:r w:rsidDel="00000000" w:rsidR="00000000" w:rsidRPr="00000000">
        <w:rPr>
          <w:rFonts w:ascii="Times New Roman" w:cs="Times New Roman" w:eastAsia="Times New Roman" w:hAnsi="Times New Roman"/>
          <w:sz w:val="24"/>
          <w:szCs w:val="24"/>
          <w:highlight w:val="white"/>
          <w:rtl w:val="0"/>
        </w:rPr>
        <w:t xml:space="preserve">) with a value equal to 100:</w:t>
      </w:r>
    </w:p>
    <w:tbl>
      <w:tblPr>
        <w:tblStyle w:val="Table31"/>
        <w:tblW w:w="9029.0" w:type="dxa"/>
        <w:jc w:val="left"/>
        <w:tblInd w:w="0.0" w:type="dxa"/>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B3">
            <w:pPr>
              <w:spacing w:after="0" w:before="240" w:line="240" w:lineRule="auto"/>
              <w:jc w:val="center"/>
              <w:rPr>
                <w:rFonts w:ascii="Times New Roman" w:cs="Times New Roman" w:eastAsia="Times New Roman" w:hAnsi="Times New Roman"/>
                <w:sz w:val="24"/>
                <w:szCs w:val="24"/>
                <w:highlight w:val="white"/>
              </w:rPr>
            </w:pP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po</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r</m:t>
                  </m:r>
                </m:den>
              </m:f>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min</m:t>
                  </m:r>
                </m:sub>
              </m:sSub>
            </m:oMath>
            <w:r w:rsidDel="00000000" w:rsidR="00000000" w:rsidRPr="00000000">
              <w:rPr>
                <w:rtl w:val="0"/>
              </w:rPr>
            </w:r>
          </w:p>
        </w:tc>
        <w:tc>
          <w:tcPr>
            <w:shd w:fill="auto" w:val="clear"/>
          </w:tcPr>
          <w:p w:rsidR="00000000" w:rsidDel="00000000" w:rsidP="00000000" w:rsidRDefault="00000000" w:rsidRPr="00000000" w14:paraId="000000B4">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widowControl w:val="0"/>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 36)</w:t>
            </w:r>
          </w:p>
        </w:tc>
      </w:tr>
    </w:tbl>
    <w:p w:rsidR="00000000" w:rsidDel="00000000" w:rsidP="00000000" w:rsidRDefault="00000000" w:rsidRPr="00000000" w14:paraId="000000B6">
      <w:pPr>
        <w:spacing w:after="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SM.1.10. Functional traits and trade-offs</w:t>
      </w:r>
    </w:p>
    <w:p w:rsidR="00000000" w:rsidDel="00000000" w:rsidP="00000000" w:rsidRDefault="00000000" w:rsidRPr="00000000" w14:paraId="000000B7">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functional trait used in this study is related to at least one trade-off (the trade-offs associated to each functional trait are described in Table SM.1), which is a cost and benefit relation that impacts the ecophysiological process of a plant life strategy (i.e., a specific combination of functional traits), and, therefore, after all, determines its performance (its relative abundance in a grid cell; see section Eq. 1 in section 2.1.), and whether this strategy will be able to deal with the environmental conditions (Pavlick et al., 2013; Reu et al., 2011).</w:t>
      </w:r>
    </w:p>
    <w:p w:rsidR="00000000" w:rsidDel="00000000" w:rsidP="00000000" w:rsidRDefault="00000000" w:rsidRPr="00000000" w14:paraId="000000B8">
      <w:pPr>
        <w:spacing w:line="480" w:lineRule="auto"/>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Intrinsic trade-off emerges between the allocation traits: since there is a limited amount of carbon to be directed to each plant compartment, the allocation in one of them limits the carbon availability for the other.  Together with the allocation traits, the carbon residence time in the plant compartments determines the amount of carbon in each one of them, in other words, determines investment. Although higher values of residence time provide, in total, more carbon accumulation in a plant tissue, it also implies costs, since all the tissues are involved in respiratory costs, both for their maintenance and growth (Eq. SM 23 and SM 24). Then, for example, investing carbon in leaves can increase photosynthesis rate by increasing solar radiation absorption  (Eq. SM 20 and SM 21), however, such investment is at the expense of investing in fine roots, for example, which is responsible for water uptake, also a limiting resource for photosynthesis (Eq. SM 34). Therefore, in a given environmental condition, some traits combinations will be favored from a balance between the costs and benefits of investing carbon in each compartment, maximizing survivorship and performance.</w:t>
      </w:r>
      <w:r w:rsidDel="00000000" w:rsidR="00000000" w:rsidRPr="00000000">
        <w:rPr>
          <w:highlight w:val="white"/>
          <w:rtl w:val="0"/>
        </w:rPr>
        <w:t xml:space="preserve"> </w:t>
      </w:r>
    </w:p>
    <w:p w:rsidR="00000000" w:rsidDel="00000000" w:rsidP="00000000" w:rsidRDefault="00000000" w:rsidRPr="00000000" w14:paraId="000000B9">
      <w:pPr>
        <w:spacing w:line="480" w:lineRule="auto"/>
        <w:jc w:val="both"/>
        <w:rPr>
          <w:highlight w:val="white"/>
        </w:rPr>
      </w:pPr>
      <w:r w:rsidDel="00000000" w:rsidR="00000000" w:rsidRPr="00000000">
        <w:rPr>
          <w:rtl w:val="0"/>
        </w:rPr>
      </w:r>
    </w:p>
    <w:p w:rsidR="00000000" w:rsidDel="00000000" w:rsidP="00000000" w:rsidRDefault="00000000" w:rsidRPr="00000000" w14:paraId="000000BA">
      <w:pPr>
        <w:pStyle w:val="Heading1"/>
        <w:keepNext w:val="0"/>
        <w:keepLines w:val="0"/>
        <w:spacing w:after="120" w:before="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Supplementary Material SM.2 - </w:t>
      </w:r>
      <w:r w:rsidDel="00000000" w:rsidR="00000000" w:rsidRPr="00000000">
        <w:rPr>
          <w:rFonts w:ascii="Times New Roman" w:cs="Times New Roman" w:eastAsia="Times New Roman" w:hAnsi="Times New Roman"/>
          <w:b w:val="1"/>
          <w:sz w:val="24"/>
          <w:szCs w:val="24"/>
          <w:highlight w:val="white"/>
          <w:rtl w:val="0"/>
        </w:rPr>
        <w:t xml:space="preserve">Sensitivity test for the number of sampled PLSs</w:t>
      </w:r>
      <w:r w:rsidDel="00000000" w:rsidR="00000000" w:rsidRPr="00000000">
        <w:rPr>
          <w:rFonts w:ascii="Times New Roman" w:cs="Times New Roman" w:eastAsia="Times New Roman" w:hAnsi="Times New Roman"/>
          <w:highlight w:val="white"/>
          <w:rtl w:val="0"/>
        </w:rPr>
        <w:t xml:space="preserve"> </w:t>
        <w:tab/>
        <w:t xml:space="preserve"> </w:t>
      </w:r>
    </w:p>
    <w:p w:rsidR="00000000" w:rsidDel="00000000" w:rsidP="00000000" w:rsidRDefault="00000000" w:rsidRPr="00000000" w14:paraId="000000BB">
      <w:pPr>
        <w:pStyle w:val="Heading1"/>
        <w:keepNext w:val="0"/>
        <w:keepLines w:val="0"/>
        <w:spacing w:after="0" w:before="0" w:line="480" w:lineRule="auto"/>
        <w:jc w:val="both"/>
        <w:rPr>
          <w:rFonts w:ascii="Times New Roman" w:cs="Times New Roman" w:eastAsia="Times New Roman" w:hAnsi="Times New Roman"/>
          <w:sz w:val="24"/>
          <w:szCs w:val="24"/>
          <w:highlight w:val="white"/>
        </w:rPr>
      </w:pPr>
      <w:bookmarkStart w:colFirst="0" w:colLast="0" w:name="_heading=h.30j0zll" w:id="1"/>
      <w:bookmarkEnd w:id="1"/>
      <w:r w:rsidDel="00000000" w:rsidR="00000000" w:rsidRPr="00000000">
        <w:rPr>
          <w:rFonts w:ascii="Times New Roman" w:cs="Times New Roman" w:eastAsia="Times New Roman" w:hAnsi="Times New Roman"/>
          <w:sz w:val="24"/>
          <w:szCs w:val="24"/>
          <w:highlight w:val="white"/>
          <w:rtl w:val="0"/>
        </w:rPr>
        <w:t xml:space="preserve">After creating the potential functional space with more than 10</w:t>
      </w:r>
      <w:r w:rsidDel="00000000" w:rsidR="00000000" w:rsidRPr="00000000">
        <w:rPr>
          <w:rFonts w:ascii="Times New Roman" w:cs="Times New Roman" w:eastAsia="Times New Roman" w:hAnsi="Times New Roman"/>
          <w:highlight w:val="white"/>
          <w:vertAlign w:val="superscript"/>
          <w:rtl w:val="0"/>
        </w:rPr>
        <w:t xml:space="preserve">5 </w:t>
      </w:r>
      <w:r w:rsidDel="00000000" w:rsidR="00000000" w:rsidRPr="00000000">
        <w:rPr>
          <w:rFonts w:ascii="Times New Roman" w:cs="Times New Roman" w:eastAsia="Times New Roman" w:hAnsi="Times New Roman"/>
          <w:sz w:val="24"/>
          <w:szCs w:val="24"/>
          <w:highlight w:val="white"/>
          <w:rtl w:val="0"/>
        </w:rPr>
        <w:t xml:space="preserve">a problem emerges: how many PLSs are enough to be sampled in order to make meaningful representation of all? To answer this question a set of 6 ensembles with different numbers of sampled PLSs (number of PLSs = 50, 100, 200, 500, 1000, 3000) was run to test the model sensitivity. Each ensemble contains 10 runs, this is required because of the random nature of the initial sampling process. The only difference between the ensembles is the number of initialized PLS.</w:t>
      </w:r>
    </w:p>
    <w:p w:rsidR="00000000" w:rsidDel="00000000" w:rsidP="00000000" w:rsidRDefault="00000000" w:rsidRPr="00000000" w14:paraId="000000BC">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explore the sensitivity of the model for the number of sampled PLSs we assessed the mean values and the variance in each of the 10 runs for the 6 ensembles for total plant carbon storage and for all the six functional traits (Fig. SM.3). With this strategy we seeked to understand how the mean and the variances change between the runs for each ensemble of PLS numbers. Our idea is that since the sampling of functional trait values is random, we expect that the higher the number of PLSs the lower the difference in mean and variance between the runs. It would ensure that the results that emerge from the model, both for biogeochemical and functional diversity variables, are not a product of a “forged” diversity derived from the simple difference between the runs.</w:t>
      </w:r>
    </w:p>
    <w:p w:rsidR="00000000" w:rsidDel="00000000" w:rsidP="00000000" w:rsidRDefault="00000000" w:rsidRPr="00000000" w14:paraId="000000BD">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expected, it is notable that the number of PLSs sampled from all the possible combinations presents a meaningful influence on estimating the mean value and variance between the runs, both for the total plant carbon stock and the functional traits. We observed that as more PLSs are sampled, the greater the convergence in the mean values (orange ticks on Fig. SM.3) and in the variance between the 10 runs. These results emerge from the fact that the increase in the number of sampled PLSs improves the ability in representing the total traits combinations in the potential functional space.</w:t>
      </w:r>
    </w:p>
    <w:p w:rsidR="00000000" w:rsidDel="00000000" w:rsidP="00000000" w:rsidRDefault="00000000" w:rsidRPr="00000000" w14:paraId="000000BE">
      <w:pPr>
        <w:spacing w:after="0" w:before="24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Supplementary Material SM.3 - </w:t>
      </w:r>
      <w:r w:rsidDel="00000000" w:rsidR="00000000" w:rsidRPr="00000000">
        <w:rPr>
          <w:rFonts w:ascii="Times New Roman" w:cs="Times New Roman" w:eastAsia="Times New Roman" w:hAnsi="Times New Roman"/>
          <w:b w:val="1"/>
          <w:sz w:val="24"/>
          <w:szCs w:val="24"/>
          <w:highlight w:val="white"/>
          <w:rtl w:val="0"/>
        </w:rPr>
        <w:t xml:space="preserve">Building hypervolumes</w:t>
      </w:r>
    </w:p>
    <w:p w:rsidR="00000000" w:rsidDel="00000000" w:rsidP="00000000" w:rsidRDefault="00000000" w:rsidRPr="00000000" w14:paraId="000000BF">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method to analyze functional diversity from a multi-trait perspective is the hypervolume metric from Blonder et al. (2014). To use this method, the components entering the analysis need to be in comparable units (e.g. centred and scaled), uncorrelated and the number of variables should not exceed 5-8 (Barros et al., 2016; Blonder et al., 2014). In this study we used six variable functional traits that present distinct units and are correlated (mainly the allocation ones). In that sense, in order to overcome these limitations we performed, as recommended by Barros et al. (2016), a scaled principal component analysis (PCA; Fig. SM.4) and selected to perform the hypervolumes the factor scores of the first three orthogonal principal components PCs which retained a cumulative variance explanation &gt; 95% (Table SM.6; Barros et al., 2016). Since our interest was to assess differences in the hypervolumes with the applied low precipitation scenario, the PCA was calculated using regular climate and low precipitation datasets together (Barros et al., 2016). After that, separate hypervolumes were calculated from the factor scores corresponding to each dataset (Fig. 4 and SM.6). </w:t>
      </w:r>
    </w:p>
    <w:p w:rsidR="00000000" w:rsidDel="00000000" w:rsidP="00000000" w:rsidRDefault="00000000" w:rsidRPr="00000000" w14:paraId="000000C0">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r w:rsidDel="00000000" w:rsidR="00000000" w:rsidRPr="00000000">
        <w:rPr>
          <w:rFonts w:ascii="Times New Roman" w:cs="Times New Roman" w:eastAsia="Times New Roman" w:hAnsi="Times New Roman"/>
          <w:sz w:val="24"/>
          <w:szCs w:val="24"/>
          <w:highlight w:val="white"/>
          <w:rtl w:val="0"/>
        </w:rPr>
        <w:tab/>
        <w:t xml:space="preserve"> </w:t>
        <w:tab/>
        <w:t xml:space="preserve"> </w:t>
        <w:tab/>
        <w:t xml:space="preserve"> </w:t>
        <w:tab/>
      </w:r>
    </w:p>
    <w:p w:rsidR="00000000" w:rsidDel="00000000" w:rsidP="00000000" w:rsidRDefault="00000000" w:rsidRPr="00000000" w14:paraId="000000C2">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Barros, C., Thuiller, W., Georges, D., Boulangeat, I., &amp; Münkemüller, T. (2016). N-dimensional hypervolumes to study stability of complex ecosystems. </w:t>
      </w:r>
      <w:r w:rsidDel="00000000" w:rsidR="00000000" w:rsidRPr="00000000">
        <w:rPr>
          <w:rFonts w:ascii="Times New Roman" w:cs="Times New Roman" w:eastAsia="Times New Roman" w:hAnsi="Times New Roman"/>
          <w:i w:val="1"/>
          <w:sz w:val="24"/>
          <w:szCs w:val="24"/>
          <w:highlight w:val="white"/>
          <w:rtl w:val="0"/>
        </w:rPr>
        <w:t xml:space="preserve">Ecology Letters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19</w:t>
      </w:r>
      <w:r w:rsidDel="00000000" w:rsidR="00000000" w:rsidRPr="00000000">
        <w:rPr>
          <w:rFonts w:ascii="Times New Roman" w:cs="Times New Roman" w:eastAsia="Times New Roman" w:hAnsi="Times New Roman"/>
          <w:sz w:val="24"/>
          <w:szCs w:val="24"/>
          <w:highlight w:val="white"/>
          <w:rtl w:val="0"/>
        </w:rPr>
        <w:t xml:space="preserve">(7), 729–742. https://doi.org/10.1111/ele.12617</w:t>
      </w:r>
    </w:p>
    <w:p w:rsidR="00000000" w:rsidDel="00000000" w:rsidP="00000000" w:rsidRDefault="00000000" w:rsidRPr="00000000" w14:paraId="000000C3">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Blonder, B., Lamanna, C., Violle, C., &amp; Enquist, B. J. (2014). The n-dimensional hypervolume. </w:t>
      </w:r>
      <w:r w:rsidDel="00000000" w:rsidR="00000000" w:rsidRPr="00000000">
        <w:rPr>
          <w:rFonts w:ascii="Times New Roman" w:cs="Times New Roman" w:eastAsia="Times New Roman" w:hAnsi="Times New Roman"/>
          <w:i w:val="1"/>
          <w:sz w:val="24"/>
          <w:szCs w:val="24"/>
          <w:highlight w:val="white"/>
          <w:rtl w:val="0"/>
        </w:rPr>
        <w:t xml:space="preserve">Global Ecology and Biogeography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23</w:t>
      </w:r>
      <w:r w:rsidDel="00000000" w:rsidR="00000000" w:rsidRPr="00000000">
        <w:rPr>
          <w:rFonts w:ascii="Times New Roman" w:cs="Times New Roman" w:eastAsia="Times New Roman" w:hAnsi="Times New Roman"/>
          <w:sz w:val="24"/>
          <w:szCs w:val="24"/>
          <w:highlight w:val="white"/>
          <w:rtl w:val="0"/>
        </w:rPr>
        <w:t xml:space="preserve">(5), 595–609. https://doi.org/10.1111/geb.12146</w:t>
      </w:r>
    </w:p>
    <w:p w:rsidR="00000000" w:rsidDel="00000000" w:rsidP="00000000" w:rsidRDefault="00000000" w:rsidRPr="00000000" w14:paraId="000000C4">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Pury, D. G. G., &amp; Farquhar, G. D. (1997). Simple scaling of photosynthesis from leaves to canopies without the errors of big-leaf models. </w:t>
      </w:r>
      <w:r w:rsidDel="00000000" w:rsidR="00000000" w:rsidRPr="00000000">
        <w:rPr>
          <w:rFonts w:ascii="Times New Roman" w:cs="Times New Roman" w:eastAsia="Times New Roman" w:hAnsi="Times New Roman"/>
          <w:i w:val="1"/>
          <w:sz w:val="24"/>
          <w:szCs w:val="24"/>
          <w:highlight w:val="white"/>
          <w:rtl w:val="0"/>
        </w:rPr>
        <w:t xml:space="preserve">Plant, Cell and Environment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(5), 537–557. https://doi.org/10.1111/j.1365-3040.1997.00094.x</w:t>
      </w:r>
    </w:p>
    <w:p w:rsidR="00000000" w:rsidDel="00000000" w:rsidP="00000000" w:rsidRDefault="00000000" w:rsidRPr="00000000" w14:paraId="000000C5">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Farquhar, G. D., Caemmerer, S. Von, &amp; Berry, J. a. (1980). A biochemical model of photosynthetic CO2 assimilation in leaves of C3 species. </w:t>
      </w:r>
      <w:r w:rsidDel="00000000" w:rsidR="00000000" w:rsidRPr="00000000">
        <w:rPr>
          <w:rFonts w:ascii="Times New Roman" w:cs="Times New Roman" w:eastAsia="Times New Roman" w:hAnsi="Times New Roman"/>
          <w:i w:val="1"/>
          <w:sz w:val="24"/>
          <w:szCs w:val="24"/>
          <w:highlight w:val="white"/>
          <w:rtl w:val="0"/>
        </w:rPr>
        <w:t xml:space="preserve">Planta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90</w:t>
      </w:r>
      <w:r w:rsidDel="00000000" w:rsidR="00000000" w:rsidRPr="00000000">
        <w:rPr>
          <w:rFonts w:ascii="Times New Roman" w:cs="Times New Roman" w:eastAsia="Times New Roman" w:hAnsi="Times New Roman"/>
          <w:sz w:val="24"/>
          <w:szCs w:val="24"/>
          <w:highlight w:val="white"/>
          <w:rtl w:val="0"/>
        </w:rPr>
        <w:t xml:space="preserve">, 78–90. https://doi.org/10.1007/BF00386231</w:t>
      </w:r>
    </w:p>
    <w:p w:rsidR="00000000" w:rsidDel="00000000" w:rsidP="00000000" w:rsidRDefault="00000000" w:rsidRPr="00000000" w14:paraId="000000C6">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Gerten, D., Schaphoff, S., Haberlandt, U., Lucht, W., &amp; Sitch, S. (2004). Terrestrial vegetation and water balance - Hydrological evaluation of a dynamic global vegetation model. </w:t>
      </w:r>
      <w:r w:rsidDel="00000000" w:rsidR="00000000" w:rsidRPr="00000000">
        <w:rPr>
          <w:rFonts w:ascii="Times New Roman" w:cs="Times New Roman" w:eastAsia="Times New Roman" w:hAnsi="Times New Roman"/>
          <w:i w:val="1"/>
          <w:sz w:val="24"/>
          <w:szCs w:val="24"/>
          <w:highlight w:val="white"/>
          <w:rtl w:val="0"/>
        </w:rPr>
        <w:t xml:space="preserve">Journal of Hydrology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286</w:t>
      </w:r>
      <w:r w:rsidDel="00000000" w:rsidR="00000000" w:rsidRPr="00000000">
        <w:rPr>
          <w:rFonts w:ascii="Times New Roman" w:cs="Times New Roman" w:eastAsia="Times New Roman" w:hAnsi="Times New Roman"/>
          <w:sz w:val="24"/>
          <w:szCs w:val="24"/>
          <w:highlight w:val="white"/>
          <w:rtl w:val="0"/>
        </w:rPr>
        <w:t xml:space="preserve">(1–4), 249–270. https://doi.org/10.1016/j.jhydrol.2003.09.029</w:t>
      </w:r>
    </w:p>
    <w:p w:rsidR="00000000" w:rsidDel="00000000" w:rsidP="00000000" w:rsidRDefault="00000000" w:rsidRPr="00000000" w14:paraId="000000C7">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Grime, J. P. (1998). Benefits of plant diversity to ecosystems: Immediate, filter and founder effects. </w:t>
      </w:r>
      <w:r w:rsidDel="00000000" w:rsidR="00000000" w:rsidRPr="00000000">
        <w:rPr>
          <w:rFonts w:ascii="Times New Roman" w:cs="Times New Roman" w:eastAsia="Times New Roman" w:hAnsi="Times New Roman"/>
          <w:i w:val="1"/>
          <w:sz w:val="24"/>
          <w:szCs w:val="24"/>
          <w:highlight w:val="white"/>
          <w:rtl w:val="0"/>
        </w:rPr>
        <w:t xml:space="preserve">Journal of Ecology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86</w:t>
      </w:r>
      <w:r w:rsidDel="00000000" w:rsidR="00000000" w:rsidRPr="00000000">
        <w:rPr>
          <w:rFonts w:ascii="Times New Roman" w:cs="Times New Roman" w:eastAsia="Times New Roman" w:hAnsi="Times New Roman"/>
          <w:sz w:val="24"/>
          <w:szCs w:val="24"/>
          <w:highlight w:val="white"/>
          <w:rtl w:val="0"/>
        </w:rPr>
        <w:t xml:space="preserve">(6), 902–910. https://doi.org/10.1046/j.1365-2745.1998.00306.x</w:t>
      </w:r>
    </w:p>
    <w:p w:rsidR="00000000" w:rsidDel="00000000" w:rsidP="00000000" w:rsidRDefault="00000000" w:rsidRPr="00000000" w14:paraId="000000C8">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Lapola, D. M., Oyama, M. D., &amp; Nobre, C. A. (2009). Exploring the range of climate biome projections for tropical South America: The role of CO2 fertilization and seasonality. </w:t>
      </w:r>
      <w:r w:rsidDel="00000000" w:rsidR="00000000" w:rsidRPr="00000000">
        <w:rPr>
          <w:rFonts w:ascii="Times New Roman" w:cs="Times New Roman" w:eastAsia="Times New Roman" w:hAnsi="Times New Roman"/>
          <w:i w:val="1"/>
          <w:sz w:val="24"/>
          <w:szCs w:val="24"/>
          <w:highlight w:val="white"/>
          <w:rtl w:val="0"/>
        </w:rPr>
        <w:t xml:space="preserve">Global Biogeochemical Cycles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23</w:t>
      </w:r>
      <w:r w:rsidDel="00000000" w:rsidR="00000000" w:rsidRPr="00000000">
        <w:rPr>
          <w:rFonts w:ascii="Times New Roman" w:cs="Times New Roman" w:eastAsia="Times New Roman" w:hAnsi="Times New Roman"/>
          <w:sz w:val="24"/>
          <w:szCs w:val="24"/>
          <w:highlight w:val="white"/>
          <w:rtl w:val="0"/>
        </w:rPr>
        <w:t xml:space="preserve">(3), 1–22. https://doi.org/10.1029/2008GB003357</w:t>
      </w:r>
    </w:p>
    <w:p w:rsidR="00000000" w:rsidDel="00000000" w:rsidP="00000000" w:rsidRDefault="00000000" w:rsidRPr="00000000" w14:paraId="000000C9">
      <w:pPr>
        <w:spacing w:after="140" w:before="240" w:line="288" w:lineRule="auto"/>
        <w:ind w:left="480" w:hanging="480"/>
        <w:jc w:val="both"/>
        <w:rPr/>
      </w:pPr>
      <w:r w:rsidDel="00000000" w:rsidR="00000000" w:rsidRPr="00000000">
        <w:rPr>
          <w:rFonts w:ascii="Times New Roman" w:cs="Times New Roman" w:eastAsia="Times New Roman" w:hAnsi="Times New Roman"/>
          <w:sz w:val="24"/>
          <w:szCs w:val="24"/>
          <w:highlight w:val="white"/>
          <w:rtl w:val="0"/>
        </w:rPr>
        <w:t xml:space="preserve">Levis, S., Bonan, G. B., Vertenstein, M., &amp; Oleson, K. W. (2004). The Community Land Model’s Dynamic Global Vegetation Model (CLM-DGVM). </w:t>
      </w:r>
      <w:r w:rsidDel="00000000" w:rsidR="00000000" w:rsidRPr="00000000">
        <w:rPr>
          <w:rFonts w:ascii="Times New Roman" w:cs="Times New Roman" w:eastAsia="Times New Roman" w:hAnsi="Times New Roman"/>
          <w:i w:val="1"/>
          <w:sz w:val="24"/>
          <w:szCs w:val="24"/>
          <w:highlight w:val="white"/>
          <w:rtl w:val="0"/>
        </w:rPr>
        <w:t xml:space="preserve">Ncar/Tn-459+Ia</w:t>
      </w:r>
      <w:r w:rsidDel="00000000" w:rsidR="00000000" w:rsidRPr="00000000">
        <w:rPr>
          <w:rFonts w:ascii="Times New Roman" w:cs="Times New Roman" w:eastAsia="Times New Roman" w:hAnsi="Times New Roman"/>
          <w:sz w:val="24"/>
          <w:szCs w:val="24"/>
          <w:highlight w:val="white"/>
          <w:rtl w:val="0"/>
        </w:rPr>
        <w:t xml:space="preserve">, 50.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https://doi.org/10.5065/D6P26W36</w:t>
        </w:r>
      </w:hyperlink>
      <w:r w:rsidDel="00000000" w:rsidR="00000000" w:rsidRPr="00000000">
        <w:rPr>
          <w:rtl w:val="0"/>
        </w:rPr>
      </w:r>
    </w:p>
    <w:p w:rsidR="00000000" w:rsidDel="00000000" w:rsidP="00000000" w:rsidRDefault="00000000" w:rsidRPr="00000000" w14:paraId="000000CA">
      <w:pPr>
        <w:spacing w:after="140" w:before="240" w:line="288" w:lineRule="auto"/>
        <w:ind w:left="480" w:hanging="48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McGee, M. (2020, March 2). </w:t>
      </w:r>
      <w:r w:rsidDel="00000000" w:rsidR="00000000" w:rsidRPr="00000000">
        <w:rPr>
          <w:rFonts w:ascii="Times New Roman" w:cs="Times New Roman" w:eastAsia="Times New Roman" w:hAnsi="Times New Roman"/>
          <w:i w:val="1"/>
          <w:sz w:val="24"/>
          <w:szCs w:val="24"/>
          <w:highlight w:val="white"/>
          <w:rtl w:val="0"/>
        </w:rPr>
        <w:t xml:space="preserve">Monthly CO2. </w:t>
      </w:r>
      <w:r w:rsidDel="00000000" w:rsidR="00000000" w:rsidRPr="00000000">
        <w:rPr>
          <w:rFonts w:ascii="Times New Roman" w:cs="Times New Roman" w:eastAsia="Times New Roman" w:hAnsi="Times New Roman"/>
          <w:sz w:val="24"/>
          <w:szCs w:val="24"/>
          <w:highlight w:val="white"/>
          <w:rtl w:val="0"/>
        </w:rPr>
        <w:t xml:space="preserve">CO2.Earth. https://www.co2.earth/monthly-co2</w:t>
      </w:r>
    </w:p>
    <w:p w:rsidR="00000000" w:rsidDel="00000000" w:rsidP="00000000" w:rsidRDefault="00000000" w:rsidRPr="00000000" w14:paraId="000000CB">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Medlyn, B. E., Duursma, R. A., Eamus, D., Ellsworth, D. S., Prentice, I. C., Barton, C. V. M., … Wingate, L. (2011). Reconciling the optimal and empirical approaches to modelling stomatal conductance. </w:t>
      </w:r>
      <w:r w:rsidDel="00000000" w:rsidR="00000000" w:rsidRPr="00000000">
        <w:rPr>
          <w:rFonts w:ascii="Times New Roman" w:cs="Times New Roman" w:eastAsia="Times New Roman" w:hAnsi="Times New Roman"/>
          <w:i w:val="1"/>
          <w:sz w:val="24"/>
          <w:szCs w:val="24"/>
          <w:highlight w:val="white"/>
          <w:rtl w:val="0"/>
        </w:rPr>
        <w:t xml:space="preserve">Global Change Biology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17</w:t>
      </w:r>
      <w:r w:rsidDel="00000000" w:rsidR="00000000" w:rsidRPr="00000000">
        <w:rPr>
          <w:rFonts w:ascii="Times New Roman" w:cs="Times New Roman" w:eastAsia="Times New Roman" w:hAnsi="Times New Roman"/>
          <w:sz w:val="24"/>
          <w:szCs w:val="24"/>
          <w:highlight w:val="white"/>
          <w:rtl w:val="0"/>
        </w:rPr>
        <w:t xml:space="preserve">(6), 2134–2144. https://doi.org/10.1111/j.1365-2486.2010.02375.x</w:t>
      </w:r>
    </w:p>
    <w:p w:rsidR="00000000" w:rsidDel="00000000" w:rsidP="00000000" w:rsidRDefault="00000000" w:rsidRPr="00000000" w14:paraId="000000CC">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Oyama, M. D., &amp; Nobre, C. a. (2004). A simple potential vegetation model for coupling with the Simple Biosphere Model (SiB). </w:t>
      </w:r>
      <w:r w:rsidDel="00000000" w:rsidR="00000000" w:rsidRPr="00000000">
        <w:rPr>
          <w:rFonts w:ascii="Times New Roman" w:cs="Times New Roman" w:eastAsia="Times New Roman" w:hAnsi="Times New Roman"/>
          <w:i w:val="1"/>
          <w:sz w:val="24"/>
          <w:szCs w:val="24"/>
          <w:highlight w:val="white"/>
          <w:rtl w:val="0"/>
        </w:rPr>
        <w:t xml:space="preserve">Rev. Bras. Meteorol.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19</w:t>
      </w:r>
      <w:r w:rsidDel="00000000" w:rsidR="00000000" w:rsidRPr="00000000">
        <w:rPr>
          <w:rFonts w:ascii="Times New Roman" w:cs="Times New Roman" w:eastAsia="Times New Roman" w:hAnsi="Times New Roman"/>
          <w:sz w:val="24"/>
          <w:szCs w:val="24"/>
          <w:highlight w:val="white"/>
          <w:rtl w:val="0"/>
        </w:rPr>
        <w:t xml:space="preserve">, 203–216.</w:t>
      </w:r>
    </w:p>
    <w:p w:rsidR="00000000" w:rsidDel="00000000" w:rsidP="00000000" w:rsidRDefault="00000000" w:rsidRPr="00000000" w14:paraId="000000CD">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Pavlick, R., Drewry, D. T., Bohn, K., Reu, B., &amp; Kleidon, A. (2013). The Jena Diversity-Dynamic Global Vegetation Model (JeDi-DGVM): a diverse approach to representing terrestrial biogeography and biogeochemistry based on plant functional trade-offs. </w:t>
      </w:r>
      <w:r w:rsidDel="00000000" w:rsidR="00000000" w:rsidRPr="00000000">
        <w:rPr>
          <w:rFonts w:ascii="Times New Roman" w:cs="Times New Roman" w:eastAsia="Times New Roman" w:hAnsi="Times New Roman"/>
          <w:i w:val="1"/>
          <w:sz w:val="24"/>
          <w:szCs w:val="24"/>
          <w:highlight w:val="white"/>
          <w:rtl w:val="0"/>
        </w:rPr>
        <w:t xml:space="preserve">Biogeosciences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(6), 4137–4177. https://doi.org/10.5194/bg-10-4137-2013</w:t>
      </w:r>
    </w:p>
    <w:p w:rsidR="00000000" w:rsidDel="00000000" w:rsidP="00000000" w:rsidRDefault="00000000" w:rsidRPr="00000000" w14:paraId="000000CE">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Reich, P B, Walters, M. B., &amp; Ellsworth, D. S. (1997). From tropics to tundra: global convergence in plant functioning. </w:t>
      </w:r>
      <w:r w:rsidDel="00000000" w:rsidR="00000000" w:rsidRPr="00000000">
        <w:rPr>
          <w:rFonts w:ascii="Times New Roman" w:cs="Times New Roman" w:eastAsia="Times New Roman" w:hAnsi="Times New Roman"/>
          <w:i w:val="1"/>
          <w:sz w:val="24"/>
          <w:szCs w:val="24"/>
          <w:highlight w:val="white"/>
          <w:rtl w:val="0"/>
        </w:rPr>
        <w:t xml:space="preserve">Proceedings of the National Academy of Sciences of the United States of America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94</w:t>
      </w:r>
      <w:r w:rsidDel="00000000" w:rsidR="00000000" w:rsidRPr="00000000">
        <w:rPr>
          <w:rFonts w:ascii="Times New Roman" w:cs="Times New Roman" w:eastAsia="Times New Roman" w:hAnsi="Times New Roman"/>
          <w:sz w:val="24"/>
          <w:szCs w:val="24"/>
          <w:highlight w:val="white"/>
          <w:rtl w:val="0"/>
        </w:rPr>
        <w:t xml:space="preserve">(25), 13730–13734. https://doi.org/10.1073/pnas.94.25.13730</w:t>
      </w:r>
    </w:p>
    <w:p w:rsidR="00000000" w:rsidDel="00000000" w:rsidP="00000000" w:rsidRDefault="00000000" w:rsidRPr="00000000" w14:paraId="000000CF">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Reich, Peter B. (2014). The world-wide “fast-slow” plant economics spectrum: A traits manifesto. </w:t>
      </w:r>
      <w:r w:rsidDel="00000000" w:rsidR="00000000" w:rsidRPr="00000000">
        <w:rPr>
          <w:rFonts w:ascii="Times New Roman" w:cs="Times New Roman" w:eastAsia="Times New Roman" w:hAnsi="Times New Roman"/>
          <w:i w:val="1"/>
          <w:sz w:val="24"/>
          <w:szCs w:val="24"/>
          <w:highlight w:val="white"/>
          <w:rtl w:val="0"/>
        </w:rPr>
        <w:t xml:space="preserve">Journal of Ecology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102</w:t>
      </w:r>
      <w:r w:rsidDel="00000000" w:rsidR="00000000" w:rsidRPr="00000000">
        <w:rPr>
          <w:rFonts w:ascii="Times New Roman" w:cs="Times New Roman" w:eastAsia="Times New Roman" w:hAnsi="Times New Roman"/>
          <w:sz w:val="24"/>
          <w:szCs w:val="24"/>
          <w:highlight w:val="white"/>
          <w:rtl w:val="0"/>
        </w:rPr>
        <w:t xml:space="preserve">(2), 275–301. https://doi.org/10.1111/1365-2745.12211</w:t>
      </w:r>
    </w:p>
    <w:p w:rsidR="00000000" w:rsidDel="00000000" w:rsidP="00000000" w:rsidRDefault="00000000" w:rsidRPr="00000000" w14:paraId="000000D0">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Reu, B., Proulx, R., Bohn, K., Dyke, J. G., Kleidon, A., Pavlick, R., &amp; Schmidtlein, S. (2011). The role of climate and plant functional trade-offs in shaping global biome and biodiversity patterns. </w:t>
      </w:r>
      <w:r w:rsidDel="00000000" w:rsidR="00000000" w:rsidRPr="00000000">
        <w:rPr>
          <w:rFonts w:ascii="Times New Roman" w:cs="Times New Roman" w:eastAsia="Times New Roman" w:hAnsi="Times New Roman"/>
          <w:i w:val="1"/>
          <w:sz w:val="24"/>
          <w:szCs w:val="24"/>
          <w:highlight w:val="white"/>
          <w:rtl w:val="0"/>
        </w:rPr>
        <w:t xml:space="preserve">Global Ecology and Biogeography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(4), 570–581. https://doi.org/10.1111/j.1466-8238.2010.00621.x</w:t>
      </w:r>
    </w:p>
    <w:p w:rsidR="00000000" w:rsidDel="00000000" w:rsidP="00000000" w:rsidRDefault="00000000" w:rsidRPr="00000000" w14:paraId="000000D1">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Ryan, M. G. (1991a). A simple method for estimating gross carbon budgets for vegetation in forest ecosystems. </w:t>
      </w:r>
      <w:r w:rsidDel="00000000" w:rsidR="00000000" w:rsidRPr="00000000">
        <w:rPr>
          <w:rFonts w:ascii="Times New Roman" w:cs="Times New Roman" w:eastAsia="Times New Roman" w:hAnsi="Times New Roman"/>
          <w:i w:val="1"/>
          <w:sz w:val="24"/>
          <w:szCs w:val="24"/>
          <w:highlight w:val="white"/>
          <w:rtl w:val="0"/>
        </w:rPr>
        <w:t xml:space="preserve">Tree Physiology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9</w:t>
      </w:r>
      <w:r w:rsidDel="00000000" w:rsidR="00000000" w:rsidRPr="00000000">
        <w:rPr>
          <w:rFonts w:ascii="Times New Roman" w:cs="Times New Roman" w:eastAsia="Times New Roman" w:hAnsi="Times New Roman"/>
          <w:sz w:val="24"/>
          <w:szCs w:val="24"/>
          <w:highlight w:val="white"/>
          <w:rtl w:val="0"/>
        </w:rPr>
        <w:t xml:space="preserve">(1_2), 255–266. https://doi.org/10.1093/treephys/9.1-2.255</w:t>
      </w:r>
    </w:p>
    <w:p w:rsidR="00000000" w:rsidDel="00000000" w:rsidP="00000000" w:rsidRDefault="00000000" w:rsidRPr="00000000" w14:paraId="000000D2">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Ryan, M. G. (1991b). Effects of Climate Change on Plant Respiration, </w:t>
      </w:r>
      <w:r w:rsidDel="00000000" w:rsidR="00000000" w:rsidRPr="00000000">
        <w:rPr>
          <w:rFonts w:ascii="Times New Roman" w:cs="Times New Roman" w:eastAsia="Times New Roman" w:hAnsi="Times New Roman"/>
          <w:i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(2), 157–167.</w:t>
      </w:r>
    </w:p>
    <w:p w:rsidR="00000000" w:rsidDel="00000000" w:rsidP="00000000" w:rsidRDefault="00000000" w:rsidRPr="00000000" w14:paraId="000000D3">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Scheiter, S., Langan, L., &amp; Higgins, S. I. (2013). Next-generation dynamic global vegetation models: learning from community ecology. </w:t>
      </w:r>
      <w:r w:rsidDel="00000000" w:rsidR="00000000" w:rsidRPr="00000000">
        <w:rPr>
          <w:rFonts w:ascii="Times New Roman" w:cs="Times New Roman" w:eastAsia="Times New Roman" w:hAnsi="Times New Roman"/>
          <w:i w:val="1"/>
          <w:sz w:val="24"/>
          <w:szCs w:val="24"/>
          <w:highlight w:val="white"/>
          <w:rtl w:val="0"/>
        </w:rPr>
        <w:t xml:space="preserve">The New Phytologist</w:t>
      </w:r>
      <w:r w:rsidDel="00000000" w:rsidR="00000000" w:rsidRPr="00000000">
        <w:rPr>
          <w:rFonts w:ascii="Times New Roman" w:cs="Times New Roman" w:eastAsia="Times New Roman" w:hAnsi="Times New Roman"/>
          <w:sz w:val="24"/>
          <w:szCs w:val="24"/>
          <w:highlight w:val="white"/>
          <w:rtl w:val="0"/>
        </w:rPr>
        <w:t xml:space="preserve">. https://doi.org/10.1111/nph.12210</w:t>
      </w:r>
    </w:p>
    <w:p w:rsidR="00000000" w:rsidDel="00000000" w:rsidP="00000000" w:rsidRDefault="00000000" w:rsidRPr="00000000" w14:paraId="000000D4">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Sitch, S., Smith, B., Prentice, I. C., Arneth, A., Bondeau, A., Cramer, W., … Venevsky, S. (2003). Evaluation of ecosystem dynamics, plant geography and terrestrial carbon cycling in the LPJ dynamic global vegetation model. </w:t>
      </w:r>
      <w:r w:rsidDel="00000000" w:rsidR="00000000" w:rsidRPr="00000000">
        <w:rPr>
          <w:rFonts w:ascii="Times New Roman" w:cs="Times New Roman" w:eastAsia="Times New Roman" w:hAnsi="Times New Roman"/>
          <w:i w:val="1"/>
          <w:sz w:val="24"/>
          <w:szCs w:val="24"/>
          <w:highlight w:val="white"/>
          <w:rtl w:val="0"/>
        </w:rPr>
        <w:t xml:space="preserve">Global Change Biology</w:t>
      </w:r>
      <w:r w:rsidDel="00000000" w:rsidR="00000000" w:rsidRPr="00000000">
        <w:rPr>
          <w:rFonts w:ascii="Times New Roman" w:cs="Times New Roman" w:eastAsia="Times New Roman" w:hAnsi="Times New Roman"/>
          <w:sz w:val="24"/>
          <w:szCs w:val="24"/>
          <w:highlight w:val="white"/>
          <w:rtl w:val="0"/>
        </w:rPr>
        <w:t xml:space="preserve">. https://doi.org/10.1046/j.1365-2486.2003.00569.x</w:t>
      </w:r>
    </w:p>
    <w:p w:rsidR="00000000" w:rsidDel="00000000" w:rsidP="00000000" w:rsidRDefault="00000000" w:rsidRPr="00000000" w14:paraId="000000D5">
      <w:pPr>
        <w:spacing w:after="140" w:before="240" w:line="288" w:lineRule="auto"/>
        <w:ind w:left="48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Warszawski, L., Frieler, K., Huber, V., Piontek, F., Serdeczny, O., &amp; Schewe, J. (2014). The inter-sectoral impact model intercomparison project (ISI-MIP): Project framework. </w:t>
      </w:r>
      <w:r w:rsidDel="00000000" w:rsidR="00000000" w:rsidRPr="00000000">
        <w:rPr>
          <w:rFonts w:ascii="Times New Roman" w:cs="Times New Roman" w:eastAsia="Times New Roman" w:hAnsi="Times New Roman"/>
          <w:i w:val="1"/>
          <w:sz w:val="24"/>
          <w:szCs w:val="24"/>
          <w:highlight w:val="white"/>
          <w:rtl w:val="0"/>
        </w:rPr>
        <w:t xml:space="preserve">Proceedings of the National Academy of Sciences of the United States of America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111</w:t>
      </w:r>
      <w:r w:rsidDel="00000000" w:rsidR="00000000" w:rsidRPr="00000000">
        <w:rPr>
          <w:rFonts w:ascii="Times New Roman" w:cs="Times New Roman" w:eastAsia="Times New Roman" w:hAnsi="Times New Roman"/>
          <w:sz w:val="24"/>
          <w:szCs w:val="24"/>
          <w:highlight w:val="white"/>
          <w:rtl w:val="0"/>
        </w:rPr>
        <w:t xml:space="preserve">(9), 3228–3232. https://doi.org/10.1073/pnas.1312330110</w:t>
      </w:r>
    </w:p>
    <w:p w:rsidR="00000000" w:rsidDel="00000000" w:rsidP="00000000" w:rsidRDefault="00000000" w:rsidRPr="00000000" w14:paraId="000000D6">
      <w:pPr>
        <w:spacing w:after="0" w:before="240" w:line="240" w:lineRule="auto"/>
        <w:ind w:left="425" w:hanging="4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Wright, I. J., Reich, P. B., Westoby, M., Ackerly, D. D., Baruch, Z., Bongers, F., … Gulias, J. (2004). The worldwide leaf economics spectrum. </w:t>
      </w:r>
      <w:r w:rsidDel="00000000" w:rsidR="00000000" w:rsidRPr="00000000">
        <w:rPr>
          <w:rFonts w:ascii="Times New Roman" w:cs="Times New Roman" w:eastAsia="Times New Roman" w:hAnsi="Times New Roman"/>
          <w:i w:val="1"/>
          <w:sz w:val="24"/>
          <w:szCs w:val="24"/>
          <w:highlight w:val="white"/>
          <w:rtl w:val="0"/>
        </w:rPr>
        <w:t xml:space="preserve">Nature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428</w:t>
      </w:r>
      <w:r w:rsidDel="00000000" w:rsidR="00000000" w:rsidRPr="00000000">
        <w:rPr>
          <w:rFonts w:ascii="Times New Roman" w:cs="Times New Roman" w:eastAsia="Times New Roman" w:hAnsi="Times New Roman"/>
          <w:sz w:val="24"/>
          <w:szCs w:val="24"/>
          <w:highlight w:val="white"/>
          <w:rtl w:val="0"/>
        </w:rPr>
        <w:t xml:space="preserve">, 821–827.</w:t>
      </w:r>
    </w:p>
    <w:p w:rsidR="00000000" w:rsidDel="00000000" w:rsidP="00000000" w:rsidRDefault="00000000" w:rsidRPr="00000000" w14:paraId="000000D7">
      <w:pPr>
        <w:spacing w:line="480" w:lineRule="auto"/>
        <w:jc w:val="both"/>
        <w:rPr>
          <w:highlight w:val="white"/>
        </w:rPr>
      </w:pPr>
      <w:r w:rsidDel="00000000" w:rsidR="00000000" w:rsidRPr="00000000">
        <w:rPr>
          <w:rtl w:val="0"/>
        </w:rPr>
      </w:r>
    </w:p>
    <w:p w:rsidR="00000000" w:rsidDel="00000000" w:rsidP="00000000" w:rsidRDefault="00000000" w:rsidRPr="00000000" w14:paraId="000000D8">
      <w:pPr>
        <w:spacing w:after="0" w:before="240" w:line="240" w:lineRule="auto"/>
        <w:jc w:val="both"/>
        <w:rPr>
          <w:highlight w:val="white"/>
        </w:rPr>
      </w:pPr>
      <w:r w:rsidDel="00000000" w:rsidR="00000000" w:rsidRPr="00000000">
        <w:rPr>
          <w:rtl w:val="0"/>
        </w:rPr>
      </w:r>
    </w:p>
    <w:p w:rsidR="00000000" w:rsidDel="00000000" w:rsidP="00000000" w:rsidRDefault="00000000" w:rsidRPr="00000000" w14:paraId="000000D9">
      <w:pPr>
        <w:spacing w:after="0" w:before="240" w:line="240" w:lineRule="auto"/>
        <w:jc w:val="both"/>
        <w:rPr>
          <w:highlight w:val="white"/>
        </w:rPr>
      </w:pPr>
      <w:r w:rsidDel="00000000" w:rsidR="00000000" w:rsidRPr="00000000">
        <w:rPr>
          <w:rtl w:val="0"/>
        </w:rPr>
      </w:r>
    </w:p>
    <w:p w:rsidR="00000000" w:rsidDel="00000000" w:rsidP="00000000" w:rsidRDefault="00000000" w:rsidRPr="00000000" w14:paraId="000000DA">
      <w:pPr>
        <w:spacing w:after="0" w:before="240" w:line="240" w:lineRule="auto"/>
        <w:ind w:left="360" w:firstLine="0"/>
        <w:jc w:val="both"/>
        <w:rPr>
          <w:highlight w:val="white"/>
        </w:rPr>
      </w:pPr>
      <w:r w:rsidDel="00000000" w:rsidR="00000000" w:rsidRPr="00000000">
        <w:rPr>
          <w:rtl w:val="0"/>
        </w:rPr>
      </w:r>
    </w:p>
    <w:p w:rsidR="00000000" w:rsidDel="00000000" w:rsidP="00000000" w:rsidRDefault="00000000" w:rsidRPr="00000000" w14:paraId="000000DB">
      <w:pPr>
        <w:spacing w:after="0" w:before="240" w:line="240" w:lineRule="auto"/>
        <w:jc w:val="center"/>
        <w:rPr>
          <w:highlight w:val="white"/>
        </w:rPr>
      </w:pPr>
      <w:r w:rsidDel="00000000" w:rsidR="00000000" w:rsidRPr="00000000">
        <w:rPr>
          <w:rtl w:val="0"/>
        </w:rPr>
      </w:r>
    </w:p>
    <w:p w:rsidR="00000000" w:rsidDel="00000000" w:rsidP="00000000" w:rsidRDefault="00000000" w:rsidRPr="00000000" w14:paraId="000000DC">
      <w:pPr>
        <w:spacing w:after="0" w:before="240" w:line="240" w:lineRule="auto"/>
        <w:jc w:val="center"/>
        <w:rPr>
          <w:highlight w:val="white"/>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6838" w:w="11906"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ianca Rius" w:id="0" w:date="2022-01-27T17:15:07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grid cell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bidi w:val="0"/>
      <w:spacing w:line="276" w:lineRule="auto"/>
      <w:jc w:val="left"/>
    </w:pPr>
    <w:rPr>
      <w:rFonts w:ascii="Arial" w:cs="Arial" w:eastAsia="Arial" w:hAnsi="Arial"/>
      <w:color w:val="auto"/>
      <w:kern w:val="0"/>
      <w:sz w:val="22"/>
      <w:szCs w:val="22"/>
      <w:lang w:bidi="ar-SA" w:eastAsia="pt-BR" w:val="pt-BR"/>
    </w:rPr>
  </w:style>
  <w:style w:type="paragraph" w:styleId="Ttulo1">
    <w:name w:val="Heading 1"/>
    <w:basedOn w:val="Normal"/>
    <w:next w:val="Normal"/>
    <w:qFormat w:val="1"/>
    <w:pPr>
      <w:keepNext w:val="1"/>
      <w:keepLines w:val="1"/>
      <w:spacing w:after="120" w:before="400"/>
      <w:outlineLvl w:val="0"/>
    </w:pPr>
    <w:rPr>
      <w:sz w:val="40"/>
      <w:szCs w:val="40"/>
    </w:rPr>
  </w:style>
  <w:style w:type="paragraph" w:styleId="Ttulo2">
    <w:name w:val="Heading 2"/>
    <w:basedOn w:val="Normal"/>
    <w:next w:val="Normal"/>
    <w:qFormat w:val="1"/>
    <w:pPr>
      <w:keepNext w:val="1"/>
      <w:keepLines w:val="1"/>
      <w:spacing w:after="120" w:before="360"/>
      <w:outlineLvl w:val="1"/>
    </w:pPr>
    <w:rPr>
      <w:sz w:val="32"/>
      <w:szCs w:val="32"/>
    </w:rPr>
  </w:style>
  <w:style w:type="paragraph" w:styleId="Ttulo3">
    <w:name w:val="Heading 3"/>
    <w:basedOn w:val="Normal"/>
    <w:next w:val="Normal"/>
    <w:qFormat w:val="1"/>
    <w:pPr>
      <w:keepNext w:val="1"/>
      <w:keepLines w:val="1"/>
      <w:spacing w:after="80" w:before="320"/>
      <w:outlineLvl w:val="2"/>
    </w:pPr>
    <w:rPr>
      <w:color w:val="434343"/>
      <w:sz w:val="28"/>
      <w:szCs w:val="28"/>
    </w:rPr>
  </w:style>
  <w:style w:type="paragraph" w:styleId="Ttulo4">
    <w:name w:val="Heading 4"/>
    <w:basedOn w:val="Normal"/>
    <w:next w:val="Normal"/>
    <w:qFormat w:val="1"/>
    <w:pPr>
      <w:keepNext w:val="1"/>
      <w:keepLines w:val="1"/>
      <w:spacing w:after="80" w:before="280"/>
      <w:outlineLvl w:val="3"/>
    </w:pPr>
    <w:rPr>
      <w:color w:val="666666"/>
      <w:sz w:val="24"/>
      <w:szCs w:val="24"/>
    </w:rPr>
  </w:style>
  <w:style w:type="paragraph" w:styleId="Ttulo5">
    <w:name w:val="Heading 5"/>
    <w:basedOn w:val="Normal"/>
    <w:next w:val="Normal"/>
    <w:qFormat w:val="1"/>
    <w:pPr>
      <w:keepNext w:val="1"/>
      <w:keepLines w:val="1"/>
      <w:spacing w:after="80" w:before="240"/>
      <w:outlineLvl w:val="4"/>
    </w:pPr>
    <w:rPr>
      <w:color w:val="666666"/>
    </w:rPr>
  </w:style>
  <w:style w:type="paragraph" w:styleId="Ttulo6">
    <w:name w:val="Heading 6"/>
    <w:basedOn w:val="Normal"/>
    <w:next w:val="Normal"/>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PlaceholderText">
    <w:name w:val="Placeholder Text"/>
    <w:basedOn w:val="DefaultParagraphFont"/>
    <w:uiPriority w:val="99"/>
    <w:semiHidden w:val="1"/>
    <w:qFormat w:val="1"/>
    <w:rsid w:val="00112200"/>
    <w:rPr>
      <w:color w:val="808080"/>
    </w:rPr>
  </w:style>
  <w:style w:type="character" w:styleId="ListLabel1">
    <w:name w:val="ListLabel 1"/>
    <w:qFormat w:val="1"/>
    <w:rPr>
      <w:rFonts w:ascii="Times New Roman" w:cs="Arial" w:eastAsia="Arial" w:hAnsi="Times New Roman"/>
      <w:b w:val="1"/>
      <w:sz w:val="24"/>
      <w:szCs w:val="24"/>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Times New Roman" w:cs="Times New Roman" w:eastAsia="Times New Roman" w:hAnsi="Times New Roman"/>
      <w:color w:val="1155cc"/>
      <w:sz w:val="24"/>
      <w:szCs w:val="24"/>
      <w:highlight w:val="white"/>
      <w:u w:val="single"/>
    </w:rPr>
  </w:style>
  <w:style w:type="character" w:styleId="LinkdaInternet">
    <w:name w:val="Link da Internet"/>
    <w:rPr>
      <w:color w:val="000080"/>
      <w:u w:val="single"/>
      <w:lang w:bidi="zxx" w:eastAsia="zxx" w:val="zxx"/>
    </w:rPr>
  </w:style>
  <w:style w:type="character" w:styleId="ListLabel11">
    <w:name w:val="ListLabel 11"/>
    <w:qFormat w:val="1"/>
    <w:rPr>
      <w:rFonts w:ascii="Times New Roman" w:cs="Arial" w:eastAsia="Arial" w:hAnsi="Times New Roman"/>
      <w:b w:val="1"/>
      <w:sz w:val="24"/>
      <w:szCs w:val="24"/>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u w:val="none"/>
    </w:rPr>
  </w:style>
  <w:style w:type="character" w:styleId="ListLabel20">
    <w:name w:val="ListLabel 20"/>
    <w:qFormat w:val="1"/>
    <w:rPr>
      <w:rFonts w:ascii="Times New Roman" w:cs="Times New Roman" w:eastAsia="Times New Roman" w:hAnsi="Times New Roman"/>
      <w:color w:val="1155cc"/>
      <w:sz w:val="24"/>
      <w:szCs w:val="24"/>
      <w:highlight w:val="white"/>
      <w:u w:val="single"/>
    </w:rPr>
  </w:style>
  <w:style w:type="character" w:styleId="ListLabel21">
    <w:name w:val="ListLabel 21"/>
    <w:qFormat w:val="1"/>
    <w:rPr>
      <w:rFonts w:ascii="Times New Roman" w:cs="Arial" w:eastAsia="Arial" w:hAnsi="Times New Roman"/>
      <w:b w:val="1"/>
      <w:sz w:val="24"/>
      <w:szCs w:val="24"/>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u w:val="none"/>
    </w:rPr>
  </w:style>
  <w:style w:type="character" w:styleId="ListLabel29">
    <w:name w:val="ListLabel 29"/>
    <w:qFormat w:val="1"/>
    <w:rPr>
      <w:u w:val="none"/>
    </w:rPr>
  </w:style>
  <w:style w:type="character" w:styleId="ListLabel30">
    <w:name w:val="ListLabel 30"/>
    <w:qFormat w:val="1"/>
    <w:rPr>
      <w:rFonts w:ascii="Times New Roman" w:cs="Times New Roman" w:eastAsia="Times New Roman" w:hAnsi="Times New Roman"/>
      <w:color w:val="1155cc"/>
      <w:sz w:val="24"/>
      <w:szCs w:val="24"/>
      <w:highlight w:val="white"/>
      <w:u w:val="single"/>
    </w:rPr>
  </w:style>
  <w:style w:type="paragraph" w:styleId="Ttulo">
    <w:name w:val="Título"/>
    <w:basedOn w:val="Normal"/>
    <w:next w:val="Corpodetexto"/>
    <w:qFormat w:val="1"/>
    <w:pPr>
      <w:keepNext w:val="1"/>
      <w:spacing w:after="120" w:before="240"/>
    </w:pPr>
    <w:rPr>
      <w:rFonts w:ascii="Liberation Sans" w:cs="Lohit Devanagari" w:eastAsia="Noto Sans CJK SC" w:hAnsi="Liberation Sans"/>
      <w:sz w:val="28"/>
      <w:szCs w:val="28"/>
    </w:rPr>
  </w:style>
  <w:style w:type="paragraph" w:styleId="Corpodetexto">
    <w:name w:val="Body Text"/>
    <w:basedOn w:val="Normal"/>
    <w:pPr>
      <w:spacing w:after="140" w:before="0" w:line="276" w:lineRule="auto"/>
    </w:pPr>
    <w:rPr/>
  </w:style>
  <w:style w:type="paragraph" w:styleId="Lista">
    <w:name w:val="List"/>
    <w:basedOn w:val="Corpode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Ttulododocumento">
    <w:name w:val="Title"/>
    <w:basedOn w:val="Normal"/>
    <w:next w:val="Normal"/>
    <w:qFormat w:val="1"/>
    <w:pPr>
      <w:keepNext w:val="1"/>
      <w:keepLines w:val="1"/>
      <w:spacing w:after="60" w:before="0"/>
    </w:pPr>
    <w:rPr>
      <w:sz w:val="52"/>
      <w:szCs w:val="52"/>
    </w:rPr>
  </w:style>
  <w:style w:type="paragraph" w:styleId="Subttulo">
    <w:name w:val="Subtitle"/>
    <w:basedOn w:val="Normal"/>
    <w:next w:val="Normal"/>
    <w:qFormat w:val="1"/>
    <w:pPr>
      <w:keepNext w:val="1"/>
      <w:keepLines w:val="1"/>
      <w:spacing w:after="320" w:before="0"/>
    </w:pPr>
    <w:rPr>
      <w:color w:val="666666"/>
      <w:sz w:val="30"/>
      <w:szCs w:val="30"/>
    </w:rPr>
  </w:style>
  <w:style w:type="paragraph" w:styleId="ListBullet">
    <w:name w:val="List Bullet"/>
    <w:basedOn w:val="Normal"/>
    <w:uiPriority w:val="99"/>
    <w:unhideWhenUsed w:val="1"/>
    <w:qFormat w:val="1"/>
    <w:rsid w:val="00D00389"/>
    <w:pPr>
      <w:spacing w:after="0" w:before="0"/>
      <w:contextualSpacing w:val="1"/>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5065/D6P26W3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s+gICEs8F41UKjspQETVNe3uHg==">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2021-11-02T16:40:00Z</dcterms:created>
  <dc:creator>Jorge Rius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