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Nfase"/>
          <w:rFonts w:eastAsia="Times New Roman" w:cs="Times New Roman" w:ascii="Times New Roman" w:hAnsi="Times New Roman"/>
          <w:b/>
          <w:bCs/>
          <w:sz w:val="24"/>
          <w:szCs w:val="24"/>
          <w:highlight w:val="yellow"/>
        </w:rPr>
        <w:t>Math formulae</w:t>
      </w:r>
      <w:r>
        <w:rPr>
          <w:rFonts w:eastAsia="Times New Roman" w:cs="Times New Roman" w:ascii="Times New Roman" w:hAnsi="Times New Roman"/>
          <w:b/>
          <w:bCs/>
          <w:sz w:val="24"/>
          <w:szCs w:val="24"/>
          <w:highlight w:val="yellow"/>
        </w:rPr>
        <w:t xml:space="preserve"> </w:t>
      </w:r>
      <w:r>
        <w:rPr>
          <w:rFonts w:eastAsia="Times New Roman" w:cs="Times New Roman" w:ascii="Times New Roman" w:hAnsi="Times New Roman"/>
          <w:b w:val="false"/>
          <w:bCs w:val="false"/>
          <w:sz w:val="24"/>
          <w:szCs w:val="24"/>
          <w:highlight w:val="yellow"/>
        </w:rPr>
        <w:br/>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p>
    <w:p>
      <w:pPr>
        <w:pStyle w:val="Normal"/>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rPr/>
      </w:pPr>
      <w:r>
        <w:rPr>
          <w:rFonts w:eastAsia="Times New Roman" w:cs="Times New Roman" w:ascii="Times New Roman" w:hAnsi="Times New Roman"/>
          <w:b/>
          <w:sz w:val="24"/>
          <w:szCs w:val="24"/>
          <w:highlight w:val="white"/>
        </w:rPr>
        <w:t>Supporting Info</w:t>
      </w:r>
      <w:r>
        <w:rPr>
          <w:rFonts w:eastAsia="Times New Roman" w:cs="Times New Roman" w:ascii="Times New Roman" w:hAnsi="Times New Roman"/>
          <w:b/>
          <w:sz w:val="24"/>
          <w:szCs w:val="24"/>
          <w:highlight w:val="white"/>
        </w:rPr>
        <w:commentReference w:id="0"/>
      </w:r>
      <w:r>
        <w:rPr>
          <w:rFonts w:eastAsia="Times New Roman" w:cs="Times New Roman" w:ascii="Times New Roman" w:hAnsi="Times New Roman"/>
          <w:b/>
          <w:sz w:val="24"/>
          <w:szCs w:val="24"/>
          <w:highlight w:val="white"/>
        </w:rPr>
        <w:t>rmation</w:t>
      </w:r>
      <w:r>
        <w:rPr>
          <w:rFonts w:eastAsia="Times New Roman" w:cs="Times New Roman" w:ascii="Times New Roman" w:hAnsi="Times New Roman"/>
          <w:sz w:val="24"/>
          <w:szCs w:val="24"/>
          <w:highlight w:val="white"/>
        </w:rPr>
        <w:t xml:space="preserve"> </w:t>
        <w:tab/>
        <w:t xml:space="preserve"> </w:t>
        <w:tab/>
        <w:t xml:space="preserve"> </w:t>
        <w:tab/>
      </w:r>
    </w:p>
    <w:p>
      <w:pPr>
        <w:pStyle w:val="Normal"/>
        <w:spacing w:lineRule="auto" w:line="24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Higher functional diversity improves modeling of Amazon forest carbon storage</w:t>
      </w:r>
    </w:p>
    <w:p>
      <w:pPr>
        <w:pStyle w:val="Normal"/>
        <w:spacing w:lineRule="auto" w:line="240" w:before="240" w:after="0"/>
        <w:rPr/>
      </w:pPr>
      <w:r>
        <w:rPr>
          <w:rFonts w:eastAsia="Times New Roman" w:cs="Times New Roman" w:ascii="Times New Roman" w:hAnsi="Times New Roman"/>
          <w:b/>
          <w:sz w:val="24"/>
          <w:szCs w:val="24"/>
          <w:highlight w:val="white"/>
        </w:rPr>
        <w:t>Authors:</w:t>
      </w:r>
      <w:r>
        <w:rPr>
          <w:rFonts w:eastAsia="Times New Roman" w:cs="Times New Roman" w:ascii="Times New Roman" w:hAnsi="Times New Roman"/>
          <w:sz w:val="24"/>
          <w:szCs w:val="24"/>
          <w:highlight w:val="white"/>
        </w:rPr>
        <w:t xml:space="preserve"> Bianca Fazio Rius, João Paulo Darela Filho, Katrin Fleischer, Florian Hofhansl, Carolina Casagrande Blanco, Anja Rammig, Tomas Domingues, David Montenegro Lapola</w:t>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Supporting information SI.1 - </w:t>
      </w:r>
      <w:r>
        <w:rPr>
          <w:rFonts w:eastAsia="Times New Roman" w:cs="Times New Roman" w:ascii="Times New Roman" w:hAnsi="Times New Roman"/>
          <w:b/>
          <w:sz w:val="24"/>
          <w:szCs w:val="24"/>
          <w:highlight w:val="white"/>
        </w:rPr>
        <w:t>Description of CAETÊ (</w:t>
      </w:r>
      <w:r>
        <w:rPr>
          <w:rFonts w:eastAsia="Times New Roman" w:cs="Times New Roman" w:ascii="Times New Roman" w:hAnsi="Times New Roman"/>
          <w:b/>
          <w:sz w:val="24"/>
          <w:szCs w:val="24"/>
          <w:highlight w:val="white"/>
          <w:u w:val="single"/>
        </w:rPr>
        <w:t>Ca</w:t>
      </w:r>
      <w:r>
        <w:rPr>
          <w:rFonts w:eastAsia="Times New Roman" w:cs="Times New Roman" w:ascii="Times New Roman" w:hAnsi="Times New Roman"/>
          <w:b/>
          <w:sz w:val="24"/>
          <w:szCs w:val="24"/>
          <w:highlight w:val="white"/>
        </w:rPr>
        <w:t xml:space="preserve">rbon and </w:t>
      </w:r>
      <w:r>
        <w:rPr>
          <w:rFonts w:eastAsia="Times New Roman" w:cs="Times New Roman" w:ascii="Times New Roman" w:hAnsi="Times New Roman"/>
          <w:b/>
          <w:sz w:val="24"/>
          <w:szCs w:val="24"/>
          <w:highlight w:val="white"/>
          <w:u w:val="single"/>
        </w:rPr>
        <w:t>E</w:t>
      </w:r>
      <w:r>
        <w:rPr>
          <w:rFonts w:eastAsia="Times New Roman" w:cs="Times New Roman" w:ascii="Times New Roman" w:hAnsi="Times New Roman"/>
          <w:b/>
          <w:sz w:val="24"/>
          <w:szCs w:val="24"/>
          <w:highlight w:val="white"/>
        </w:rPr>
        <w:t xml:space="preserve">cosystem functional </w:t>
      </w:r>
      <w:r>
        <w:rPr>
          <w:rFonts w:eastAsia="Times New Roman" w:cs="Times New Roman" w:ascii="Times New Roman" w:hAnsi="Times New Roman"/>
          <w:b/>
          <w:sz w:val="24"/>
          <w:szCs w:val="24"/>
          <w:highlight w:val="white"/>
          <w:u w:val="single"/>
        </w:rPr>
        <w:t>T</w:t>
      </w:r>
      <w:r>
        <w:rPr>
          <w:rFonts w:eastAsia="Times New Roman" w:cs="Times New Roman" w:ascii="Times New Roman" w:hAnsi="Times New Roman"/>
          <w:b/>
          <w:sz w:val="24"/>
          <w:szCs w:val="24"/>
          <w:highlight w:val="white"/>
        </w:rPr>
        <w:t xml:space="preserve">rait </w:t>
      </w:r>
      <w:r>
        <w:rPr>
          <w:rFonts w:eastAsia="Times New Roman" w:cs="Times New Roman" w:ascii="Times New Roman" w:hAnsi="Times New Roman"/>
          <w:b/>
          <w:sz w:val="24"/>
          <w:szCs w:val="24"/>
          <w:highlight w:val="white"/>
          <w:u w:val="single"/>
        </w:rPr>
        <w:t>E</w:t>
      </w:r>
      <w:r>
        <w:rPr>
          <w:rFonts w:eastAsia="Times New Roman" w:cs="Times New Roman" w:ascii="Times New Roman" w:hAnsi="Times New Roman"/>
          <w:b/>
          <w:sz w:val="24"/>
          <w:szCs w:val="24"/>
          <w:highlight w:val="white"/>
        </w:rPr>
        <w:t>valuation Model)</w:t>
      </w:r>
    </w:p>
    <w:p>
      <w:pPr>
        <w:pStyle w:val="Normal"/>
        <w:spacing w:lineRule="auto" w:line="480"/>
        <w:jc w:val="both"/>
        <w:rPr/>
      </w:pPr>
      <w:r>
        <w:rPr>
          <w:rFonts w:eastAsia="Times New Roman" w:cs="Times New Roman" w:ascii="Times New Roman" w:hAnsi="Times New Roman"/>
          <w:sz w:val="24"/>
          <w:szCs w:val="24"/>
          <w:highlight w:val="white"/>
        </w:rPr>
        <w:t xml:space="preserve">Here we describe some additional information of the model CAETÊ, including all the ecophysiological equations. The symbols used for each variable, its description, unit and associated equations can be found in Table SI.5.  The constant parameters with its respective </w:t>
      </w:r>
      <w:r>
        <w:rPr>
          <w:rFonts w:eastAsia="Times New Roman" w:cs="Times New Roman" w:ascii="Times New Roman" w:hAnsi="Times New Roman"/>
          <w:sz w:val="24"/>
          <w:szCs w:val="24"/>
          <w:highlight w:val="white"/>
          <w:u w:val="single"/>
        </w:rPr>
        <w:t>valu</w:t>
      </w:r>
      <w:bookmarkStart w:id="0" w:name="_GoBack"/>
      <w:bookmarkEnd w:id="0"/>
      <w:r>
        <w:rPr>
          <w:rFonts w:eastAsia="Times New Roman" w:cs="Times New Roman" w:ascii="Times New Roman" w:hAnsi="Times New Roman"/>
          <w:sz w:val="24"/>
          <w:szCs w:val="24"/>
          <w:highlight w:val="white"/>
          <w:u w:val="single"/>
        </w:rPr>
        <w:t>es</w:t>
      </w:r>
      <w:r>
        <w:rPr>
          <w:rFonts w:eastAsia="Times New Roman" w:cs="Times New Roman" w:ascii="Times New Roman" w:hAnsi="Times New Roman"/>
          <w:sz w:val="24"/>
          <w:szCs w:val="24"/>
          <w:highlight w:val="white"/>
        </w:rPr>
        <w:t xml:space="preserve"> are shown in Table SI.6. Hereafter, the symbols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w:t>
      </w:r>
      <w:r>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highlight w:val="white"/>
        </w:rPr>
        <w:t xml:space="preserve"> and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correspond, respectively, to a PFT/PLS, a grid cell and a plant compartment [leaves, aboveground woody tissues (hereafter ABGW) and fine roots].</w:t>
      </w:r>
    </w:p>
    <w:p>
      <w:pPr>
        <w:pStyle w:val="Normal"/>
        <w:spacing w:lineRule="auto" w:line="48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SI.1.1. Model structure</w:t>
      </w:r>
    </w:p>
    <w:p>
      <w:pPr>
        <w:pStyle w:val="Normal"/>
        <w:numPr>
          <w:ilvl w:val="0"/>
          <w:numId w:val="2"/>
        </w:numPr>
        <w:spacing w:lineRule="auto" w:line="480"/>
        <w:jc w:val="both"/>
        <w:rPr/>
      </w:pPr>
      <w:r>
        <w:rPr>
          <w:rFonts w:eastAsia="Times New Roman" w:cs="Times New Roman" w:ascii="Times New Roman" w:hAnsi="Times New Roman"/>
          <w:sz w:val="24"/>
          <w:szCs w:val="24"/>
          <w:highlight w:val="white"/>
        </w:rPr>
        <w:t>Creating and sampling plant life strategies (PLSs)</w:t>
      </w:r>
      <w:r>
        <w:rPr>
          <w:rFonts w:eastAsia="Times New Roman" w:cs="Times New Roman" w:ascii="Times New Roman" w:hAnsi="Times New Roman"/>
          <w:highlight w:val="white"/>
        </w:rPr>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In order to create the hypervolume that contains all the possible combinations of functional traits and, hence, the PLSs, each trait owns a range of values that determines the minimum and the maximum value that will be sampled (Table SI.3). From this initial range, trait values are randomly and uniformly sampled. 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sampled and seeded in each grid cell. The number of sampled PLSs was defined through a sensitivity test (see Supporting Information SI.2.)</w:t>
      </w:r>
    </w:p>
    <w:p>
      <w:pPr>
        <w:pStyle w:val="Normal"/>
        <w:numPr>
          <w:ilvl w:val="0"/>
          <w:numId w:val="2"/>
        </w:numPr>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Grid cell occupation and survivorship</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In the model CAETÊ the abundance of a strategy (a PLS or a PFT) is the fraction of the grid cell that it occupies based on the carbon stock contribution of this strategy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oMath>
      <w:r>
        <w:rPr>
          <w:rFonts w:eastAsia="Times New Roman" w:cs="Times New Roman" w:ascii="Times New Roman" w:hAnsi="Times New Roman"/>
          <w:sz w:val="24"/>
          <w:szCs w:val="24"/>
          <w:highlight w:val="white"/>
        </w:rPr>
        <w:t>) in relation to the total carbon stock in a grid cell (</w:t>
      </w: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Therefore, the relative abundance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rFonts w:eastAsia="Times New Roman" w:cs="Times New Roman" w:ascii="Times New Roman" w:hAnsi="Times New Roman"/>
          <w:sz w:val="24"/>
          <w:szCs w:val="24"/>
          <w:highlight w:val="white"/>
        </w:rPr>
        <w:t>) of a PFT/PLS in a grid cell is given by:</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num>
                <m:den>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den>
              </m:f>
            </m:oMath>
          </w:p>
        </w:tc>
        <w:tc>
          <w:tcPr>
            <w:tcW w:w="301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r>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e>
              </m:nary>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sz w:val="24"/>
          <w:szCs w:val="24"/>
          <w:highlight w:val="white"/>
        </w:rPr>
        <w:t xml:space="preserve"> is the number of PFT/PLS in that grid cell. </w:t>
      </w:r>
    </w:p>
    <w:p>
      <w:pPr>
        <w:pStyle w:val="Normal"/>
        <w:spacing w:lineRule="auto" w:line="480"/>
        <w:jc w:val="both"/>
        <w:rPr/>
      </w:pPr>
      <w:r>
        <w:rPr>
          <w:rFonts w:eastAsia="Times New Roman" w:cs="Times New Roman" w:ascii="Times New Roman" w:hAnsi="Times New Roman"/>
          <w:sz w:val="24"/>
          <w:szCs w:val="24"/>
          <w:highlight w:val="white"/>
        </w:rPr>
        <w:t>This procedure has support on the biomass-ratio hypothesis (Grime, 1998) that predicts that the immediate effects of a species is proportional to its relative contribution to the total biomass of the community. Then, from the relative abundances it is possible to aggregate the biogeochemical variables from a PFT/PLS scale to the grid cell scale. For example, the net primary production (</w:t>
      </w: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oMath>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white"/>
        </w:rPr>
        <w:t xml:space="preserve"> of a grid cell </w:t>
      </w:r>
      <w:r>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highlight w:val="white"/>
        </w:rPr>
        <w:t xml:space="preserve"> is equal to the sum of the </w:t>
      </w:r>
      <w:r>
        <w:rPr/>
      </w:r>
      <m:oMath xmlns:m="http://schemas.openxmlformats.org/officeDocument/2006/math">
        <m:sSub>
          <m:e>
            <m:r>
              <w:rPr>
                <w:rFonts w:ascii="Cambria Math" w:hAnsi="Cambria Math"/>
              </w:rPr>
              <m:t xml:space="preserve">NPP</m:t>
            </m:r>
          </m:e>
          <m:sub>
            <m:sSub>
              <m:e>
                <m:r>
                  <w:rPr>
                    <w:rFonts w:ascii="Cambria Math" w:hAnsi="Cambria Math"/>
                  </w:rPr>
                  <m:t xml:space="preserve">i</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of all PFTs/PLSs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that survived (</w:t>
      </w:r>
      <w:r>
        <w:rPr/>
      </w:r>
      <m:oMath xmlns:m="http://schemas.openxmlformats.org/officeDocument/2006/math">
        <m:r>
          <w:rPr>
            <w:rFonts w:ascii="Cambria Math" w:hAnsi="Cambria Math"/>
          </w:rPr>
          <m:t xml:space="preserve">S</m:t>
        </m:r>
      </m:oMath>
      <w:r>
        <w:rPr>
          <w:rFonts w:eastAsia="Times New Roman" w:cs="Times New Roman" w:ascii="Times New Roman" w:hAnsi="Times New Roman"/>
          <w:sz w:val="24"/>
          <w:szCs w:val="24"/>
          <w:highlight w:val="white"/>
        </w:rPr>
        <w:t>) in that grid cell, weighted by their respective relative abundance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1425"/>
        <w:gridCol w:w="5864"/>
        <w:gridCol w:w="1726"/>
      </w:tblGrid>
      <w:tr>
        <w:trPr/>
        <w:tc>
          <w:tcPr>
            <w:tcW w:w="142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864"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d>
                    <m:dPr>
                      <m:begChr m:val="("/>
                      <m:endChr m:val=")"/>
                    </m:dPr>
                    <m:e>
                      <m:r>
                        <w:rPr>
                          <w:rFonts w:ascii="Cambria Math" w:hAnsi="Cambria Math"/>
                        </w:rPr>
                        <m:t xml:space="preserve">NP</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e>
                  </m:d>
                </m:e>
              </m:nary>
            </m:oMath>
          </w:p>
        </w:tc>
        <w:tc>
          <w:tcPr>
            <w:tcW w:w="1726"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This approach is also necessary because the competition scheme in CAETÊ model is still not mechanistic. However, the differential capture of carbon, water and light through the differential combination of functional traits is capable of leading to difference of abundances (Grime, 1998) between the PLSs (for the trait-based modeling approach) and between the PFTs (for the PFT modeling approach) in a grid cell. In that sense, the competition is indirectly considered by deriving the relative abundances (Grime, 1998). A PFT/PLS is considered as a survivor if it presents a positive carbon balance and also if it presents, concomitantly, at least 100 g of carbon in fine roots and in leaves; otherwise, the carbon in all the compartments is directed to the litter and to the decomposition process (see Lapola, Oyama &amp; Nobre , 2009).</w:t>
      </w:r>
    </w:p>
    <w:p>
      <w:pPr>
        <w:pStyle w:val="Normal"/>
        <w:numPr>
          <w:ilvl w:val="0"/>
          <w:numId w:val="2"/>
        </w:numPr>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Spinup </w:t>
        <w:tab/>
      </w:r>
    </w:p>
    <w:p>
      <w:pPr>
        <w:pStyle w:val="Normal"/>
        <w:spacing w:lineRule="auto" w:line="480" w:before="240" w:after="0"/>
        <w:jc w:val="both"/>
        <w:rPr/>
      </w:pPr>
      <w:r>
        <w:rPr>
          <w:rFonts w:eastAsia="Times New Roman" w:cs="Times New Roman" w:ascii="Times New Roman" w:hAnsi="Times New Roman"/>
          <w:sz w:val="24"/>
          <w:szCs w:val="24"/>
          <w:highlight w:val="white"/>
        </w:rPr>
        <w:t>Before the model initialization a spinup simulation was performed to determine the initial carbon content on plant compartments. This spinup was run until the stability attainment of the total carbon stock (</w:t>
      </w:r>
      <w:r>
        <w:rPr>
          <w:rFonts w:eastAsia="Times New Roman" w:cs="Times New Roman" w:ascii="Times New Roman" w:hAnsi="Times New Roman"/>
          <w:i/>
          <w:sz w:val="24"/>
          <w:szCs w:val="24"/>
          <w:highlight w:val="white"/>
        </w:rPr>
        <w:t xml:space="preserve">i.e., </w:t>
      </w:r>
      <w:r>
        <w:rPr>
          <w:rFonts w:eastAsia="Times New Roman" w:cs="Times New Roman" w:ascii="Times New Roman" w:hAnsi="Times New Roman"/>
          <w:sz w:val="24"/>
          <w:szCs w:val="24"/>
          <w:highlight w:val="white"/>
        </w:rPr>
        <w:t xml:space="preserve">the sum of carbon in all plant compartments) in all the grid cells, with a sensibility of 10% of difference between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1</m:t>
            </m:r>
          </m:sub>
        </m:sSub>
      </m:oMath>
      <w:r>
        <w:rPr>
          <w:rFonts w:eastAsia="Times New Roman" w:cs="Times New Roman" w:ascii="Times New Roman" w:hAnsi="Times New Roman"/>
          <w:sz w:val="24"/>
          <w:szCs w:val="24"/>
          <w:highlight w:val="white"/>
        </w:rPr>
        <w:t>. Thus, the initial amount of carbon (</w:t>
      </w:r>
      <w:r>
        <w:rPr/>
      </w:r>
      <m:oMath xmlns:m="http://schemas.openxmlformats.org/officeDocument/2006/math">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in each plant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in an specific PFT or PLS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in a given time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1215"/>
        <w:gridCol w:w="6345"/>
        <w:gridCol w:w="1455"/>
      </w:tblGrid>
      <w:tr>
        <w:trPr/>
        <w:tc>
          <w:tcPr>
            <w:tcW w:w="121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345" w:type="dxa"/>
            <w:tcBorders/>
            <w:shd w:fill="auto" w:val="clear"/>
          </w:tcPr>
          <w:p>
            <w:pPr>
              <w:pStyle w:val="Normal"/>
              <w:widowControl w:val="false"/>
              <w:pBdr/>
              <w:spacing w:lineRule="auto" w:line="240"/>
              <w:jc w:val="center"/>
              <w:rPr/>
            </w:pPr>
            <w:r>
              <w:rPr/>
            </w:r>
            <m:oMath xmlns:m="http://schemas.openxmlformats.org/officeDocument/2006/math">
              <m:f>
                <m:fPr>
                  <m:type m:val="lin"/>
                </m:fPr>
                <m:num>
                  <m:sSub>
                    <m:e>
                      <m:r>
                        <w:rPr>
                          <w:rFonts w:ascii="Cambria Math" w:hAnsi="Cambria Math"/>
                        </w:rPr>
                        <m:t xml:space="preserve">∂</m:t>
                      </m:r>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num>
                <m:den>
                  <m:r>
                    <w:rPr>
                      <w:rFonts w:ascii="Cambria Math" w:hAnsi="Cambria Math"/>
                    </w:rPr>
                    <m:t xml:space="preserve">∂</m:t>
                  </m:r>
                </m:den>
              </m:f>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r>
                <w:rPr>
                  <w:rFonts w:ascii="Cambria Math" w:hAnsi="Cambria Math"/>
                </w:rPr>
                <m:t xml:space="preserve">NP</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C</m:t>
                      </m:r>
                    </m:e>
                    <m:sub>
                      <m:r>
                        <w:rPr>
                          <w:rFonts w:ascii="Cambria Math" w:hAnsi="Cambria Math"/>
                        </w:rPr>
                        <m:t xml:space="preserve">ini</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den>
              </m:f>
            </m:oMath>
          </w:p>
        </w:tc>
        <w:tc>
          <w:tcPr>
            <w:tcW w:w="1455"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α</m:t>
            </m:r>
          </m:e>
          <m:sub>
            <m:sSub>
              <m:e>
                <m:r>
                  <w:rPr>
                    <w:rFonts w:ascii="Cambria Math" w:hAnsi="Cambria Math"/>
                  </w:rPr>
                  <m:t xml:space="preserve">i</m:t>
                </m:r>
              </m:e>
              <m:sub>
                <m:r>
                  <w:rPr>
                    <w:rFonts w:ascii="Cambria Math" w:hAnsi="Cambria Math"/>
                  </w:rPr>
                  <m:t xml:space="preserve">z</m:t>
                </m:r>
              </m:sub>
            </m:sSub>
          </m:sub>
        </m:sSub>
      </m:oMath>
      <w:r>
        <w:rPr>
          <w:rFonts w:eastAsia="Times New Roman" w:cs="Times New Roman" w:ascii="Times New Roman" w:hAnsi="Times New Roman"/>
          <w:sz w:val="24"/>
          <w:szCs w:val="24"/>
          <w:highlight w:val="white"/>
        </w:rPr>
        <w:t xml:space="preserve"> (Table SI.2 and SI.3) is the fraction of </w:t>
      </w:r>
      <w:r>
        <w:rPr/>
      </w:r>
      <m:oMath xmlns:m="http://schemas.openxmlformats.org/officeDocument/2006/math">
        <m:r>
          <w:rPr>
            <w:rFonts w:ascii="Cambria Math" w:hAnsi="Cambria Math"/>
          </w:rPr>
          <m:t xml:space="preserve">NPP</m:t>
        </m:r>
      </m:oMath>
      <w:r>
        <w:rPr>
          <w:rFonts w:eastAsia="Times New Roman" w:cs="Times New Roman" w:ascii="Times New Roman" w:hAnsi="Times New Roman"/>
          <w:sz w:val="24"/>
          <w:szCs w:val="24"/>
          <w:highlight w:val="white"/>
        </w:rPr>
        <w:t xml:space="preserve">allocated to a plant compartment in each PFT/PLS and </w:t>
      </w:r>
      <w:r>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oMath>
      <w:r>
        <w:rPr>
          <w:rFonts w:eastAsia="Times New Roman" w:cs="Times New Roman" w:ascii="Times New Roman" w:hAnsi="Times New Roman"/>
          <w:sz w:val="24"/>
          <w:szCs w:val="24"/>
          <w:highlight w:val="white"/>
        </w:rPr>
        <w:t xml:space="preserve"> (Table SI.2 and SI.3) represents the carbon residence time in a compartment. Here, </w:t>
      </w:r>
      <w:r>
        <w:rPr/>
      </w:r>
      <m:oMath xmlns:m="http://schemas.openxmlformats.org/officeDocument/2006/math">
        <m:r>
          <w:rPr>
            <w:rFonts w:ascii="Cambria Math" w:hAnsi="Cambria Math"/>
          </w:rPr>
          <m:t xml:space="preserve">NPP</m:t>
        </m:r>
      </m:oMath>
      <w:r>
        <w:rPr>
          <w:rFonts w:eastAsia="Times New Roman" w:cs="Times New Roman" w:ascii="Times New Roman" w:hAnsi="Times New Roman"/>
          <w:sz w:val="24"/>
          <w:szCs w:val="24"/>
          <w:highlight w:val="white"/>
        </w:rPr>
        <w:t xml:space="preserve"> is considered as potential (</w:t>
      </w:r>
      <w:r>
        <w:rPr/>
      </w:r>
      <m:oMath xmlns:m="http://schemas.openxmlformats.org/officeDocument/2006/math">
        <m:sSub>
          <m:e>
            <m:r>
              <w:rPr>
                <w:rFonts w:ascii="Cambria Math" w:hAnsi="Cambria Math"/>
              </w:rPr>
              <m:t xml:space="preserve">NPP</m:t>
            </m:r>
          </m:e>
          <m:sub>
            <m:sSub>
              <m:e>
                <m:r>
                  <w:rPr>
                    <w:rFonts w:ascii="Cambria Math" w:hAnsi="Cambria Math"/>
                  </w:rPr>
                  <m:t xml:space="preserve">pot</m:t>
                </m:r>
              </m:e>
              <m:sub>
                <m:r>
                  <w:rPr>
                    <w:rFonts w:ascii="Cambria Math" w:hAnsi="Cambria Math"/>
                  </w:rPr>
                  <m:t xml:space="preserve">y</m:t>
                </m:r>
              </m:sub>
            </m:sSub>
          </m:sub>
        </m:sSub>
      </m:oMath>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white"/>
        </w:rPr>
        <w:t>, calculated from the model CPTEC Potential Vegetation Model 2 (CPTEC-PVM2; Lapola, Oyama, &amp; Nobre, 2009), a precursor model of CAETÊ, using the same climatology applied to CAETÊ running.</w:t>
      </w:r>
      <w:r>
        <w:rPr>
          <w:rFonts w:eastAsia="Times New Roman" w:cs="Times New Roman" w:ascii="Times New Roman" w:hAnsi="Times New Roman"/>
          <w:highlight w:val="white"/>
        </w:rPr>
        <w:br/>
      </w:r>
      <w:r>
        <w:rPr>
          <w:highlight w:val="white"/>
        </w:rPr>
        <w:t xml:space="preserve"> </w:t>
      </w:r>
      <w:r>
        <w:rPr>
          <w:rFonts w:eastAsia="Times New Roman" w:cs="Times New Roman" w:ascii="Times New Roman" w:hAnsi="Times New Roman"/>
          <w:b/>
          <w:sz w:val="24"/>
          <w:szCs w:val="24"/>
          <w:highlight w:val="white"/>
        </w:rPr>
        <w:t>SI.1.2. Input Data</w:t>
      </w:r>
    </w:p>
    <w:p>
      <w:pPr>
        <w:pStyle w:val="Normal"/>
        <w:spacing w:lineRule="auto" w:line="480" w:before="0" w:after="240"/>
        <w:jc w:val="both"/>
        <w:rPr/>
      </w:pPr>
      <w:r>
        <w:rPr>
          <w:rFonts w:eastAsia="Times New Roman" w:cs="Times New Roman" w:ascii="Times New Roman" w:hAnsi="Times New Roman"/>
          <w:sz w:val="24"/>
          <w:szCs w:val="24"/>
          <w:highlight w:val="white"/>
        </w:rPr>
        <w:t>The following climatic data were used as inputs for the model: air surface temperature, precipitation, shortwave radiation, relative humidity and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w:t>
        <w:tab/>
        <w:t>concentration. The first four variables were obtained from mean monthly data for the period between 1980 to 2010. which are available in the Inter-Sectoral Impact Model Intercomparison Project 2 (ISI-MIP2; Warszawski et al., 2014).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concentration was obtained from the CO2.Earth website (Mc. Gee, 2020), employing the mean value of [CO</w:t>
      </w:r>
      <w:r>
        <w:rPr>
          <w:rFonts w:eastAsia="Times New Roman" w:cs="Times New Roman" w:ascii="Times New Roman" w:hAnsi="Times New Roman"/>
          <w:sz w:val="40"/>
          <w:szCs w:val="40"/>
          <w:highlight w:val="white"/>
          <w:vertAlign w:val="subscript"/>
        </w:rPr>
        <w:t>2</w:t>
      </w:r>
      <w:r>
        <w:rPr>
          <w:rFonts w:eastAsia="Times New Roman" w:cs="Times New Roman" w:ascii="Times New Roman" w:hAnsi="Times New Roman"/>
          <w:sz w:val="24"/>
          <w:szCs w:val="24"/>
          <w:highlight w:val="white"/>
        </w:rPr>
        <w:t>] for the same period used for the other climatic data.</w:t>
      </w:r>
    </w:p>
    <w:p>
      <w:pPr>
        <w:pStyle w:val="Normal"/>
        <w:spacing w:lineRule="auto" w:line="480" w:before="0" w:after="24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SI.1.3. Photosynthesis</w:t>
      </w:r>
    </w:p>
    <w:p>
      <w:pPr>
        <w:pStyle w:val="Normal"/>
        <w:spacing w:lineRule="auto" w:line="480"/>
        <w:jc w:val="both"/>
        <w:rPr/>
      </w:pPr>
      <w:r>
        <w:rPr>
          <w:rFonts w:eastAsia="Times New Roman" w:cs="Times New Roman" w:ascii="Times New Roman" w:hAnsi="Times New Roman"/>
          <w:sz w:val="24"/>
          <w:szCs w:val="24"/>
          <w:highlight w:val="white"/>
        </w:rPr>
        <w:t>The photosynthesis equation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and the ones associated with it are based on Farquhar, Caemmerer, &amp; Berry (1980) formulation, which takes into account three limiting factors: rubisco carboxylation ( </w:t>
      </w: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eastAsia="Times New Roman" w:cs="Times New Roman" w:ascii="Times New Roman" w:hAnsi="Times New Roman"/>
          <w:sz w:val="24"/>
          <w:szCs w:val="24"/>
          <w:highlight w:val="white"/>
        </w:rPr>
        <w:t>), light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electron transport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eastAsia="Times New Roman" w:cs="Times New Roman" w:ascii="Times New Roman" w:hAnsi="Times New Roman"/>
          <w:sz w:val="24"/>
          <w:szCs w:val="24"/>
          <w:highlight w:val="white"/>
        </w:rPr>
        <w:t>). We also included water stress limitation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1800"/>
        <w:gridCol w:w="5055"/>
        <w:gridCol w:w="2160"/>
      </w:tblGrid>
      <w:tr>
        <w:trPr/>
        <w:tc>
          <w:tcPr>
            <w:tcW w:w="18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055" w:type="dxa"/>
            <w:tcBorders/>
            <w:shd w:fill="auto" w:val="clear"/>
          </w:tcPr>
          <w:p>
            <w:pPr>
              <w:pStyle w:val="Normal"/>
              <w:widowControl w:val="false"/>
              <w:spacing w:lineRule="auto" w:line="240"/>
              <w:jc w:val="center"/>
              <w:rPr/>
            </w:pPr>
            <w:r>
              <w:rPr/>
            </w:r>
            <m:oMath xmlns:m="http://schemas.openxmlformats.org/officeDocument/2006/math">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31557600</m:t>
              </m:r>
              <m:r>
                <w:rPr>
                  <w:rFonts w:ascii="Cambria Math" w:hAnsi="Cambria Math"/>
                </w:rPr>
                <m:t xml:space="preserve">∗</m:t>
              </m:r>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p>
        </w:tc>
        <w:tc>
          <w:tcPr>
            <w:tcW w:w="216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is the leaf level gross photosynthesis and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a function for upscaling the leaf level photosynthesis to the canopy level.</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In the following equations </w:t>
      </w:r>
      <w:r>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eastAsia="Times New Roman" w:cs="Times New Roman" w:ascii="Times New Roman" w:hAnsi="Times New Roman"/>
          <w:sz w:val="24"/>
          <w:szCs w:val="24"/>
          <w:highlight w:val="white"/>
        </w:rPr>
        <w:t xml:space="preserve"> are constants summarized in Table SI.6. The </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calculated as the smallest root between the three limiting rates:</w:t>
      </w:r>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and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704"/>
        <w:gridCol w:w="7080"/>
        <w:gridCol w:w="1231"/>
      </w:tblGrid>
      <w:tr>
        <w:trPr/>
        <w:tc>
          <w:tcPr>
            <w:tcW w:w="704"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7080"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J</m:t>
              </m:r>
              <m:r>
                <w:rPr>
                  <w:rFonts w:ascii="Cambria Math" w:hAnsi="Cambria Math"/>
                </w:rPr>
                <m:t xml:space="preserve">²</m:t>
              </m:r>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w:p>
        </w:tc>
        <w:tc>
          <w:tcPr>
            <w:tcW w:w="123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r>
    </w:tbl>
    <w:p>
      <w:pPr>
        <w:pStyle w:val="Normal"/>
        <w:spacing w:lineRule="auto" w:line="480" w:before="240" w:after="0"/>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the minimum between </w:t>
      </w: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1500"/>
        <w:gridCol w:w="5639"/>
        <w:gridCol w:w="1876"/>
      </w:tblGrid>
      <w:tr>
        <w:trPr/>
        <w:tc>
          <w:tcPr>
            <w:tcW w:w="15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39" w:type="dxa"/>
            <w:tcBorders/>
            <w:shd w:fill="auto" w:val="clear"/>
          </w:tcPr>
          <w:p>
            <w:pPr>
              <w:pStyle w:val="Normal"/>
              <w:widowControl w:val="false"/>
              <w:spacing w:lineRule="auto" w:line="240"/>
              <w:jc w:val="center"/>
              <w:rPr/>
            </w:pPr>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²</m:t>
              </m:r>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d>
                <m:dPr>
                  <m:begChr m:val="("/>
                  <m:endChr m:val=")"/>
                </m:dPr>
                <m:e>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e>
              </m:d>
              <m:r>
                <w:rPr>
                  <w:rFonts w:ascii="Cambria Math" w:hAnsi="Cambria Math"/>
                </w:rPr>
                <m:t xml:space="preserve">+</m:t>
              </m:r>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oMath>
          </w:p>
        </w:tc>
        <w:tc>
          <w:tcPr>
            <w:tcW w:w="1876"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(7)</w:t>
            </w:r>
          </w:p>
        </w:tc>
      </w:tr>
    </w:tbl>
    <w:p>
      <w:pPr>
        <w:pStyle w:val="Normal"/>
        <w:spacing w:lineRule="auto" w:line="480" w:before="240" w:after="0"/>
        <w:jc w:val="both"/>
        <w:rPr/>
      </w:pP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photosynthesis rate limited by the Rubisco carboxylation capacity:</w:t>
      </w:r>
    </w:p>
    <w:tbl>
      <w:tblPr>
        <w:tblW w:w="9015" w:type="dxa"/>
        <w:jc w:val="left"/>
        <w:tblInd w:w="0" w:type="dxa"/>
        <w:tblBorders/>
        <w:tblCellMar>
          <w:top w:w="100" w:type="dxa"/>
          <w:left w:w="100" w:type="dxa"/>
          <w:bottom w:w="100" w:type="dxa"/>
          <w:right w:w="100" w:type="dxa"/>
        </w:tblCellMar>
      </w:tblPr>
      <w:tblGrid>
        <w:gridCol w:w="1425"/>
        <w:gridCol w:w="5970"/>
        <w:gridCol w:w="1620"/>
      </w:tblGrid>
      <w:tr>
        <w:trPr/>
        <w:tc>
          <w:tcPr>
            <w:tcW w:w="142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970"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d>
                <m:dPr>
                  <m:begChr m:val="("/>
                  <m:endChr m:val=")"/>
                </m:dPr>
                <m:e>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m:t>
                  </m:r>
                  <m:f>
                    <m:fPr>
                      <m:type m:val="lin"/>
                    </m:fPr>
                    <m:num>
                      <m:sSub>
                        <m:e>
                          <m:r>
                            <w:rPr>
                              <w:rFonts w:ascii="Cambria Math" w:hAnsi="Cambria Math"/>
                            </w:rPr>
                            <m:t xml:space="preserve">Γ</m:t>
                          </m:r>
                        </m:e>
                        <m:sub>
                          <m:r>
                            <w:rPr>
                              <w:rFonts w:ascii="Cambria Math" w:hAnsi="Cambria Math"/>
                            </w:rPr>
                            <m:t xml:space="preserve">i</m:t>
                          </m:r>
                        </m:sub>
                      </m:sSub>
                    </m:num>
                    <m:den>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den>
                  </m:f>
                  <m:r>
                    <w:rPr>
                      <w:rFonts w:ascii="Cambria Math" w:hAnsi="Cambria Math"/>
                    </w:rPr>
                    <m:t xml:space="preserve">+</m:t>
                  </m:r>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den>
                          </m:f>
                        </m:e>
                      </m:d>
                    </m:e>
                  </m:d>
                </m:e>
              </m:d>
            </m:oMath>
          </w:p>
        </w:tc>
        <w:tc>
          <w:tcPr>
            <w:tcW w:w="162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(8)</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is the rate of Rubisco carboxylation, </w:t>
      </w:r>
      <w:r>
        <w:rPr/>
      </w:r>
      <m:oMath xmlns:m="http://schemas.openxmlformats.org/officeDocument/2006/math">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the partial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pressure at leaf interior, </w:t>
      </w:r>
      <w:r>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is the photorespiration compensation point, </w:t>
      </w:r>
      <w:r>
        <w:rPr/>
      </w:r>
      <m:oMath xmlns:m="http://schemas.openxmlformats.org/officeDocument/2006/math">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Michaelis-Menten constant for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the Michaelis-Menten constant for 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keepNext w:val="tru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keepNext w:val="true"/>
              <w:spacing w:lineRule="auto" w:line="240"/>
              <w:jc w:val="center"/>
              <w:rPr/>
            </w:pPr>
            <w:r>
              <w:rPr/>
            </w:r>
            <m:oMath xmlns:m="http://schemas.openxmlformats.org/officeDocument/2006/math">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12</m:t>
                  </m:r>
                </m:sub>
              </m:sSub>
            </m:oMath>
            <w:r>
              <w:rPr>
                <w:rFonts w:eastAsia="Times New Roman" w:cs="Times New Roman" w:ascii="Times New Roman" w:hAnsi="Times New Roman"/>
                <w:sz w:val="24"/>
                <w:szCs w:val="24"/>
                <w:highlight w:val="white"/>
              </w:rPr>
              <w:t>]</w:t>
            </w:r>
          </w:p>
        </w:tc>
        <w:tc>
          <w:tcPr>
            <w:tcW w:w="3010" w:type="dxa"/>
            <w:tcBorders/>
            <w:shd w:fill="auto" w:val="clear"/>
          </w:tcPr>
          <w:p>
            <w:pPr>
              <w:pStyle w:val="Normal"/>
              <w:keepNext w:val="tru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(9)</w:t>
            </w:r>
          </w:p>
        </w:tc>
      </w:tr>
    </w:tbl>
    <w:p>
      <w:pPr>
        <w:pStyle w:val="Normal"/>
        <w:keepNext w:val="tru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keepNext w:val="tru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keepNext w:val="true"/>
              <w:spacing w:lineRule="auto" w:line="240"/>
              <w:jc w:val="center"/>
              <w:rPr/>
            </w:pPr>
            <w:r>
              <w:rPr/>
            </w:r>
            <m:oMath xmlns:m="http://schemas.openxmlformats.org/officeDocument/2006/math">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14</m:t>
                  </m:r>
                </m:sub>
              </m:sSub>
            </m:oMath>
            <w:r>
              <w:rPr>
                <w:rFonts w:eastAsia="Times New Roman" w:cs="Times New Roman" w:ascii="Times New Roman" w:hAnsi="Times New Roman"/>
                <w:sz w:val="24"/>
                <w:szCs w:val="24"/>
                <w:highlight w:val="white"/>
              </w:rPr>
              <w:t>]</w:t>
            </w:r>
          </w:p>
        </w:tc>
        <w:tc>
          <w:tcPr>
            <w:tcW w:w="3010" w:type="dxa"/>
            <w:tcBorders/>
            <w:shd w:fill="auto" w:val="clear"/>
          </w:tcPr>
          <w:p>
            <w:pPr>
              <w:pStyle w:val="Normal"/>
              <w:keepNext w:val="tru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(10)</w:t>
            </w:r>
          </w:p>
        </w:tc>
      </w:tr>
    </w:tbl>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W w:w="9015" w:type="dxa"/>
        <w:jc w:val="left"/>
        <w:tblInd w:w="0" w:type="dxa"/>
        <w:tblBorders/>
        <w:tblCellMar>
          <w:top w:w="100" w:type="dxa"/>
          <w:left w:w="100" w:type="dxa"/>
          <w:bottom w:w="100" w:type="dxa"/>
          <w:right w:w="100" w:type="dxa"/>
        </w:tblCellMar>
      </w:tblPr>
      <w:tblGrid>
        <w:gridCol w:w="1050"/>
        <w:gridCol w:w="7095"/>
        <w:gridCol w:w="870"/>
      </w:tblGrid>
      <w:tr>
        <w:trPr/>
        <w:tc>
          <w:tcPr>
            <w:tcW w:w="105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7095"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16</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17</m:t>
                              </m:r>
                            </m:sub>
                          </m:sSub>
                        </m:den>
                      </m:f>
                    </m:e>
                  </m:d>
                </m:e>
              </m:d>
              <m:r>
                <w:rPr>
                  <w:rFonts w:ascii="Cambria Math" w:hAnsi="Cambria Math"/>
                </w:rPr>
                <m:t xml:space="preserve">∗</m:t>
              </m:r>
              <m:d>
                <m:dPr>
                  <m:begChr m:val="("/>
                  <m:endChr m:val=")"/>
                </m:dPr>
                <m:e>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oMath>
          </w:p>
        </w:tc>
        <w:tc>
          <w:tcPr>
            <w:tcW w:w="8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(11)</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is the leaf level moisture deficit and </w:t>
      </w:r>
      <w:r>
        <w:rPr/>
      </w:r>
      <m:oMath xmlns:m="http://schemas.openxmlformats.org/officeDocument/2006/math">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is the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concentration (input).</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pPr>
            <w:r>
              <w:rPr/>
            </w:r>
            <m:oMath xmlns:m="http://schemas.openxmlformats.org/officeDocument/2006/math">
              <m:sSubSup>
                <m:e>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k</m:t>
                          </m:r>
                        </m:e>
                        <m:sub>
                          <m:r>
                            <w:rPr>
                              <w:rFonts w:ascii="Cambria Math" w:hAnsi="Cambria Math"/>
                            </w:rPr>
                            <m:t xml:space="preserve">8</m:t>
                          </m:r>
                        </m:sub>
                      </m:sSub>
                    </m:den>
                  </m:f>
                  <m:r>
                    <w:rPr>
                      <w:rFonts w:ascii="Cambria Math" w:hAnsi="Cambria Math"/>
                    </w:rPr>
                    <m:t xml:space="preserve">k</m:t>
                  </m:r>
                </m:e>
                <m:sub>
                  <m:r>
                    <w:rPr>
                      <w:rFonts w:ascii="Cambria Math" w:hAnsi="Cambria Math"/>
                    </w:rPr>
                    <m:t xml:space="preserve">9</m:t>
                  </m:r>
                </m:sub>
                <m:sup>
                  <m:sSub>
                    <m:e>
                      <m:r>
                        <w:rPr>
                          <w:rFonts w:ascii="Cambria Math" w:hAnsi="Cambria Math"/>
                        </w:rPr>
                        <m:t xml:space="preserve">k</m:t>
                      </m:r>
                    </m:e>
                    <m:sub>
                      <m:r>
                        <w:rPr>
                          <w:rFonts w:ascii="Cambria Math" w:hAnsi="Cambria Math"/>
                        </w:rPr>
                        <m:t xml:space="preserve">10</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oMath>
          </w:p>
        </w:tc>
        <w:tc>
          <w:tcPr>
            <w:tcW w:w="301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(12)</w:t>
            </w:r>
          </w:p>
        </w:tc>
      </w:tr>
    </w:tbl>
    <w:p>
      <w:pPr>
        <w:pStyle w:val="Normal"/>
        <w:spacing w:lineRule="auto" w:line="480" w:before="240" w:after="0"/>
        <w:jc w:val="both"/>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eastAsia="Times New Roman" w:cs="Times New Roman" w:ascii="Times New Roman" w:hAnsi="Times New Roman"/>
          <w:sz w:val="24"/>
          <w:szCs w:val="24"/>
          <w:highlight w:val="white"/>
        </w:rPr>
        <w:t>is obtained by the actual mixing ratio on leaf level and the saturated mixing ratio (</w:t>
      </w: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0.315</m:t>
              </m:r>
              <m:sSub>
                <m:e>
                  <m:r>
                    <w:rPr>
                      <w:rFonts w:ascii="Cambria Math" w:hAnsi="Cambria Math"/>
                    </w:rPr>
                    <m:t xml:space="preserve">r</m:t>
                  </m:r>
                </m:e>
                <m:sub>
                  <m:r>
                    <w:rPr>
                      <w:rFonts w:ascii="Cambria Math" w:hAnsi="Cambria Math"/>
                    </w:rPr>
                    <m:t xml:space="preserve">ma</m:t>
                  </m:r>
                  <m:sSub>
                    <m:e>
                      <m:r>
                        <w:rPr>
                          <w:rFonts w:ascii="Cambria Math" w:hAnsi="Cambria Math"/>
                        </w:rPr>
                        <m:t xml:space="preserve">x</m:t>
                      </m:r>
                    </m:e>
                    <m:sub>
                      <m:r>
                        <w:rPr>
                          <w:rFonts w:ascii="Cambria Math" w:hAnsi="Cambria Math"/>
                        </w:rPr>
                        <m:t xml:space="preserve">i</m:t>
                      </m:r>
                    </m:sub>
                  </m:sSub>
                </m:sub>
              </m:sSub>
            </m:oMath>
          </w:p>
        </w:tc>
        <w:tc>
          <w:tcPr>
            <w:tcW w:w="301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(13)</w:t>
            </w:r>
          </w:p>
        </w:tc>
      </w:tr>
    </w:tbl>
    <w:p>
      <w:pPr>
        <w:pStyle w:val="Normal"/>
        <w:spacing w:lineRule="auto" w:line="480" w:before="240" w:after="0"/>
        <w:jc w:val="both"/>
        <w:rPr/>
      </w:pP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a function of partial pressure of water vapor (</w:t>
      </w:r>
      <w:r>
        <w:rPr/>
      </w:r>
      <m:oMath xmlns:m="http://schemas.openxmlformats.org/officeDocument/2006/math">
        <m:sSub>
          <m:e>
            <m:r>
              <w:rPr>
                <w:rFonts w:ascii="Cambria Math" w:hAnsi="Cambria Math"/>
              </w:rPr>
              <m:t xml:space="preserve">w</m:t>
            </m:r>
          </m:e>
          <m:sub>
            <m:sSub>
              <m:e>
                <m:r>
                  <w:rPr>
                    <w:rFonts w:ascii="Cambria Math" w:hAnsi="Cambria Math"/>
                  </w:rPr>
                  <m:t xml:space="preserve">press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the surface pressure (</w:t>
      </w:r>
      <w:r>
        <w:rPr/>
      </w:r>
      <m:oMath xmlns:m="http://schemas.openxmlformats.org/officeDocument/2006/math">
        <m:sSub>
          <m:e>
            <m:r>
              <w:rPr>
                <w:rFonts w:ascii="Cambria Math" w:hAnsi="Cambria Math"/>
              </w:rPr>
              <m:t xml:space="preserve">P</m:t>
            </m:r>
          </m:e>
          <m:sub>
            <m:sSub>
              <m:e>
                <m:r>
                  <w:rPr>
                    <w:rFonts w:ascii="Cambria Math" w:hAnsi="Cambria Math"/>
                  </w:rPr>
                  <m:t xml:space="preserve">surf</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w:t>
      </w:r>
    </w:p>
    <w:p>
      <w:pPr>
        <w:pStyle w:val="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W w:w="9015" w:type="dxa"/>
        <w:jc w:val="left"/>
        <w:tblInd w:w="0" w:type="dxa"/>
        <w:tblBorders/>
        <w:tblCellMar>
          <w:top w:w="100" w:type="dxa"/>
          <w:left w:w="100" w:type="dxa"/>
          <w:bottom w:w="100" w:type="dxa"/>
          <w:right w:w="100" w:type="dxa"/>
        </w:tblCellMar>
      </w:tblPr>
      <w:tblGrid>
        <w:gridCol w:w="1800"/>
        <w:gridCol w:w="5745"/>
        <w:gridCol w:w="1470"/>
      </w:tblGrid>
      <w:tr>
        <w:trPr/>
        <w:tc>
          <w:tcPr>
            <w:tcW w:w="1800"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745"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0.622</m:t>
              </m:r>
            </m:oMath>
          </w:p>
        </w:tc>
        <w:tc>
          <w:tcPr>
            <w:tcW w:w="147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(14)</w:t>
            </w:r>
          </w:p>
        </w:tc>
      </w:tr>
    </w:tbl>
    <w:p>
      <w:pPr>
        <w:pStyle w:val="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W w:w="9015" w:type="dxa"/>
        <w:jc w:val="left"/>
        <w:tblInd w:w="0" w:type="dxa"/>
        <w:tblBorders/>
        <w:tblCellMar>
          <w:top w:w="100" w:type="dxa"/>
          <w:left w:w="100" w:type="dxa"/>
          <w:bottom w:w="100" w:type="dxa"/>
          <w:right w:w="100" w:type="dxa"/>
        </w:tblCellMar>
      </w:tblPr>
      <w:tblGrid>
        <w:gridCol w:w="239"/>
        <w:gridCol w:w="8100"/>
        <w:gridCol w:w="676"/>
      </w:tblGrid>
      <w:tr>
        <w:trPr/>
        <w:tc>
          <w:tcPr>
            <w:tcW w:w="23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8100"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w</m:t>
                  </m:r>
                </m:e>
                <m:sub>
                  <m:sSub>
                    <m:e>
                      <m:r>
                        <w:rPr>
                          <w:rFonts w:ascii="Cambria Math" w:hAnsi="Cambria Math"/>
                        </w:rPr>
                        <m:t xml:space="preserve">press</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6.1121</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18.678</m:t>
                  </m:r>
                  <m:r>
                    <w:rPr>
                      <w:rFonts w:ascii="Cambria Math" w:hAnsi="Cambria Math"/>
                    </w:rPr>
                    <m:t xml:space="preserve">−</m:t>
                  </m:r>
                  <m:d>
                    <m:dPr>
                      <m:begChr m:val="("/>
                      <m:endChr m:val=")"/>
                    </m:dPr>
                    <m:e>
                      <m:f>
                        <m:fPr>
                          <m:type m:val="lin"/>
                        </m:fPr>
                        <m:num>
                          <m:sSub>
                            <m:e>
                              <m:r>
                                <w:rPr>
                                  <w:rFonts w:ascii="Cambria Math" w:hAnsi="Cambria Math"/>
                                </w:rPr>
                                <m:t xml:space="preserve">T</m:t>
                              </m:r>
                            </m:e>
                            <m:sub>
                              <m:r>
                                <w:rPr>
                                  <w:rFonts w:ascii="Cambria Math" w:hAnsi="Cambria Math"/>
                                </w:rPr>
                                <m:t xml:space="preserve">y</m:t>
                              </m:r>
                            </m:sub>
                          </m:sSub>
                        </m:num>
                        <m:den>
                          <m:r>
                            <w:rPr>
                              <w:rFonts w:ascii="Cambria Math" w:hAnsi="Cambria Math"/>
                            </w:rPr>
                            <m:t xml:space="preserve">234.5</m:t>
                          </m:r>
                        </m:den>
                      </m:f>
                    </m:e>
                  </m:d>
                </m:e>
              </m:d>
              <m:r>
                <w:rPr>
                  <w:rFonts w:ascii="Cambria Math" w:hAnsi="Cambria Math"/>
                </w:rPr>
                <m:t xml:space="preserve">∗</m:t>
              </m:r>
              <m:d>
                <m:dPr>
                  <m:begChr m:val="["/>
                  <m:endChr m:val="]"/>
                </m:dPr>
                <m:e>
                  <m:f>
                    <m:fPr>
                      <m:type m:val="lin"/>
                    </m:fPr>
                    <m:num>
                      <m:sSub>
                        <m:e>
                          <m:r>
                            <w:rPr>
                              <w:rFonts w:ascii="Cambria Math" w:hAnsi="Cambria Math"/>
                            </w:rPr>
                            <m:t xml:space="preserve">T</m:t>
                          </m:r>
                        </m:e>
                        <m:sub>
                          <m:r>
                            <w:rPr>
                              <w:rFonts w:ascii="Cambria Math" w:hAnsi="Cambria Math"/>
                            </w:rPr>
                            <m:t xml:space="preserve">y</m:t>
                          </m:r>
                        </m:sub>
                      </m:sSub>
                    </m:num>
                    <m:den>
                      <m:d>
                        <m:dPr>
                          <m:begChr m:val="("/>
                          <m:endChr m:val=")"/>
                        </m:dPr>
                        <m:e>
                          <m:r>
                            <w:rPr>
                              <w:rFonts w:ascii="Cambria Math" w:hAnsi="Cambria Math"/>
                            </w:rPr>
                            <m:t xml:space="preserve">257.14</m:t>
                          </m:r>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en>
                  </m:f>
                </m:e>
              </m:d>
              <m:r>
                <w:rPr>
                  <w:rFonts w:ascii="Cambria Math" w:hAnsi="Cambria Math"/>
                </w:rPr>
                <m:t xml:space="preserve">}</m:t>
              </m:r>
            </m:oMath>
          </w:p>
        </w:tc>
        <w:tc>
          <w:tcPr>
            <w:tcW w:w="67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(15)</w:t>
            </w:r>
          </w:p>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bl>
    <w:p>
      <w:pPr>
        <w:pStyle w:val="Normal"/>
        <w:spacing w:lineRule="auto" w:line="480"/>
        <w:jc w:val="both"/>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photosynthetic rate limited by light as a function of the incident photosynthetically active radiation [</w:t>
      </w:r>
      <w:r>
        <w:rPr/>
      </w:r>
      <m:oMath xmlns:m="http://schemas.openxmlformats.org/officeDocument/2006/math">
        <m:sSub>
          <m:e>
            <m:r>
              <w:rPr>
                <w:rFonts w:ascii="Cambria Math" w:hAnsi="Cambria Math"/>
              </w:rPr>
              <m:t xml:space="preserve">IPAR</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here we considered </w:t>
      </w:r>
      <w:r>
        <w:rPr/>
      </w:r>
      <m:oMath xmlns:m="http://schemas.openxmlformats.org/officeDocument/2006/math">
        <m:r>
          <w:rPr>
            <w:rFonts w:ascii="Cambria Math" w:hAnsi="Cambria Math"/>
          </w:rPr>
          <m:t xml:space="preserve">IPAR</m:t>
        </m:r>
      </m:oMath>
      <w:r>
        <w:rPr>
          <w:rFonts w:eastAsia="Times New Roman" w:cs="Times New Roman" w:ascii="Times New Roman" w:hAnsi="Times New Roman"/>
          <w:sz w:val="24"/>
          <w:szCs w:val="24"/>
          <w:highlight w:val="white"/>
        </w:rPr>
        <w:t xml:space="preserve"> as 50% of the shortwave radiation (input)]:</w:t>
      </w:r>
    </w:p>
    <w:tbl>
      <w:tblPr>
        <w:tblW w:w="9015" w:type="dxa"/>
        <w:jc w:val="left"/>
        <w:tblInd w:w="0" w:type="dxa"/>
        <w:tblBorders/>
        <w:tblCellMar>
          <w:top w:w="100" w:type="dxa"/>
          <w:left w:w="100" w:type="dxa"/>
          <w:bottom w:w="100" w:type="dxa"/>
          <w:right w:w="100" w:type="dxa"/>
        </w:tblCellMar>
      </w:tblPr>
      <w:tblGrid>
        <w:gridCol w:w="1364"/>
        <w:gridCol w:w="6030"/>
        <w:gridCol w:w="1621"/>
      </w:tblGrid>
      <w:tr>
        <w:trPr/>
        <w:tc>
          <w:tcPr>
            <w:tcW w:w="1364"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30"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5</m:t>
                      </m:r>
                    </m:sub>
                  </m:sSub>
                </m:e>
              </m:d>
              <m:r>
                <w:rPr>
                  <w:rFonts w:ascii="Cambria Math" w:hAnsi="Cambria Math"/>
                </w:rPr>
                <m:t xml:space="preserve">IPA</m:t>
              </m:r>
              <m:sSub>
                <m:e>
                  <m:r>
                    <w:rPr>
                      <w:rFonts w:ascii="Cambria Math" w:hAnsi="Cambria Math"/>
                    </w:rPr>
                    <m:t xml:space="preserve">R</m:t>
                  </m:r>
                </m:e>
                <m:sub>
                  <m:r>
                    <w:rPr>
                      <w:rFonts w:ascii="Cambria Math" w:hAnsi="Cambria Math"/>
                    </w:rPr>
                    <m:t xml:space="preserve">i</m:t>
                  </m:r>
                </m:sub>
              </m:sSub>
            </m:oMath>
          </w:p>
        </w:tc>
        <w:tc>
          <w:tcPr>
            <w:tcW w:w="162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(16)</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The photosynthetic rate limited by the electron transport </w:t>
      </w:r>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E</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given by:</w:t>
      </w:r>
    </w:p>
    <w:tbl>
      <w:tblPr>
        <w:tblW w:w="9015" w:type="dxa"/>
        <w:jc w:val="left"/>
        <w:tblInd w:w="0" w:type="dxa"/>
        <w:tblBorders/>
        <w:tblCellMar>
          <w:top w:w="100" w:type="dxa"/>
          <w:left w:w="100" w:type="dxa"/>
          <w:bottom w:w="100" w:type="dxa"/>
          <w:right w:w="100" w:type="dxa"/>
        </w:tblCellMar>
      </w:tblPr>
      <w:tblGrid>
        <w:gridCol w:w="1755"/>
        <w:gridCol w:w="6029"/>
        <w:gridCol w:w="1231"/>
      </w:tblGrid>
      <w:tr>
        <w:trPr>
          <w:trHeight w:val="225" w:hRule="atLeast"/>
        </w:trPr>
        <w:tc>
          <w:tcPr>
            <w:tcW w:w="175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29"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J</m:t>
                  </m:r>
                </m:e>
                <m:sub>
                  <m:sSub>
                    <m:e>
                      <m:r>
                        <w:rPr>
                          <w:rFonts w:ascii="Cambria Math" w:hAnsi="Cambria Math"/>
                        </w:rPr>
                        <m:t xml:space="preserve">E</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7</m:t>
                  </m:r>
                </m:sub>
              </m:sSub>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oMath>
          </w:p>
        </w:tc>
        <w:tc>
          <w:tcPr>
            <w:tcW w:w="1231"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(17)</w:t>
            </w:r>
          </w:p>
        </w:tc>
      </w:tr>
      <w:tr>
        <w:trPr/>
        <w:tc>
          <w:tcPr>
            <w:tcW w:w="175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29"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V</m:t>
                  </m:r>
                </m:e>
                <m:sub>
                  <m:sSub>
                    <m:e>
                      <m:r>
                        <w:rPr>
                          <w:rFonts w:ascii="Cambria Math" w:hAnsi="Cambria Math"/>
                        </w:rPr>
                        <m:t xml:space="preserve">cmax</m:t>
                      </m:r>
                    </m:e>
                    <m:sub>
                      <m:r>
                        <w:rPr>
                          <w:rFonts w:ascii="Cambria Math" w:hAnsi="Cambria Math"/>
                        </w:rPr>
                        <m:t xml:space="preserve">i</m:t>
                      </m:r>
                    </m:sub>
                  </m:sSub>
                </m:sub>
              </m:sSub>
              <m:f>
                <m:fPr>
                  <m:type m:val="lin"/>
                </m:fPr>
                <m:num>
                  <m:d>
                    <m:dPr>
                      <m:begChr m:val="("/>
                      <m:endChr m:val=")"/>
                    </m:dPr>
                    <m:e>
                      <m:sSubSup>
                        <m:e>
                          <m:r>
                            <w:rPr>
                              <w:rFonts w:ascii="Cambria Math" w:hAnsi="Cambria Math"/>
                            </w:rPr>
                            <m:t xml:space="preserve">k</m:t>
                          </m:r>
                        </m:e>
                        <m:sub>
                          <m:r>
                            <w:rPr>
                              <w:rFonts w:ascii="Cambria Math" w:hAnsi="Cambria Math"/>
                            </w:rPr>
                            <m:t xml:space="preserve">18</m:t>
                          </m:r>
                        </m:sub>
                        <m:sup>
                          <m:sSub>
                            <m:e>
                              <m:r>
                                <w:rPr>
                                  <w:rFonts w:ascii="Cambria Math" w:hAnsi="Cambria Math"/>
                                </w:rPr>
                                <m:t xml:space="preserve">k</m:t>
                              </m:r>
                            </m:e>
                            <m:sub>
                              <m:r>
                                <w:rPr>
                                  <w:rFonts w:ascii="Cambria Math" w:hAnsi="Cambria Math"/>
                                </w:rPr>
                                <m:t xml:space="preserve">10</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e>
                  </m:d>
                </m:num>
                <m:den>
                  <m:r>
                    <w:rPr>
                      <w:rFonts w:ascii="Cambria Math" w:hAnsi="Cambria Math"/>
                    </w:rPr>
                    <m:t xml:space="preserve">1</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k</m:t>
                      </m:r>
                    </m:e>
                    <m:sub>
                      <m:r>
                        <w:rPr>
                          <w:rFonts w:ascii="Cambria Math" w:hAnsi="Cambria Math"/>
                        </w:rPr>
                        <m:t xml:space="preserve">19</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20</m:t>
                          </m:r>
                        </m:sub>
                      </m:sSub>
                    </m:e>
                  </m:d>
                </m:e>
              </m:d>
            </m:oMath>
          </w:p>
        </w:tc>
        <w:tc>
          <w:tcPr>
            <w:tcW w:w="1231"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(18)</w:t>
            </w:r>
          </w:p>
        </w:tc>
      </w:tr>
    </w:tbl>
    <w:p>
      <w:pPr>
        <w:pStyle w:val="Normal"/>
        <w:spacing w:lineRule="auto" w:line="480" w:before="240" w:after="0"/>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V</m:t>
            </m:r>
          </m:e>
          <m:sub>
            <m:sSub>
              <m:e>
                <m:r>
                  <w:rPr>
                    <w:rFonts w:ascii="Cambria Math" w:hAnsi="Cambria Math"/>
                  </w:rPr>
                  <m:t xml:space="preserve">cmax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(Table SI.6)  is the maximum rate of Rubisco carboxylation and </w:t>
      </w:r>
      <w:r>
        <w:rPr/>
      </w:r>
      <m:oMath xmlns:m="http://schemas.openxmlformats.org/officeDocument/2006/math">
        <m:sSub>
          <m:e>
            <m:r>
              <w:rPr>
                <w:rFonts w:ascii="Cambria Math" w:hAnsi="Cambria Math"/>
              </w:rPr>
              <m:t xml:space="preserve">T</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(input) is temperature.</w:t>
      </w:r>
    </w:p>
    <w:p>
      <w:pPr>
        <w:pStyle w:val="Normal"/>
        <w:spacing w:lineRule="auto" w:line="480"/>
        <w:jc w:val="both"/>
        <w:rPr/>
      </w:pPr>
      <w:r>
        <w:rPr>
          <w:rFonts w:eastAsia="Times New Roman" w:cs="Times New Roman" w:ascii="Times New Roman" w:hAnsi="Times New Roman"/>
          <w:sz w:val="24"/>
          <w:szCs w:val="24"/>
          <w:highlight w:val="white"/>
        </w:rPr>
        <w:t xml:space="preserve">The function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used in the canopy scaling of photosynthesis. Since we assume a canopy division in sun and shade parts this function is subdivided in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oMath>
      <w:r>
        <w:rPr>
          <w:rFonts w:eastAsia="Times New Roman" w:cs="Times New Roman" w:ascii="Times New Roman" w:hAnsi="Times New Roman"/>
          <w:sz w:val="24"/>
          <w:szCs w:val="24"/>
          <w:highlight w:val="white"/>
        </w:rPr>
        <w:t xml:space="preserve"> and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oMath>
      <w:r>
        <w:rPr>
          <w:rFonts w:eastAsia="Times New Roman" w:cs="Times New Roman" w:ascii="Times New Roman" w:hAnsi="Times New Roman"/>
          <w:sz w:val="24"/>
          <w:szCs w:val="24"/>
          <w:highlight w:val="white"/>
        </w:rPr>
        <w:t>. The sun part aims to represent the canopy portion in which solar radiation reaches it directly in a 90º angle, while the shade part receives diffuse radiation in a 20º angle.</w:t>
      </w:r>
    </w:p>
    <w:tbl>
      <w:tblPr>
        <w:tblW w:w="9015" w:type="dxa"/>
        <w:jc w:val="left"/>
        <w:tblInd w:w="0" w:type="dxa"/>
        <w:tblBorders/>
        <w:tblCellMar>
          <w:top w:w="100" w:type="dxa"/>
          <w:left w:w="100" w:type="dxa"/>
          <w:bottom w:w="100" w:type="dxa"/>
          <w:right w:w="100" w:type="dxa"/>
        </w:tblCellMar>
      </w:tblPr>
      <w:tblGrid>
        <w:gridCol w:w="2114"/>
        <w:gridCol w:w="4395"/>
        <w:gridCol w:w="2506"/>
      </w:tblGrid>
      <w:tr>
        <w:trPr/>
        <w:tc>
          <w:tcPr>
            <w:tcW w:w="2114"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395" w:type="dxa"/>
            <w:tcBorders/>
            <w:shd w:fill="auto" w:val="clear"/>
          </w:tcPr>
          <w:p>
            <w:pPr>
              <w:pStyle w:val="Normal"/>
              <w:widowControl w:val="false"/>
              <w:pBdr/>
              <w:spacing w:lineRule="auto" w:line="240"/>
              <w:jc w:val="center"/>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su</m:t>
                              </m:r>
                              <m:sSub>
                                <m:e>
                                  <m:r>
                                    <w:rPr>
                                      <w:rFonts w:ascii="Cambria Math" w:hAnsi="Cambria Math"/>
                                    </w:rPr>
                                    <m:t xml:space="preserve">n</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21</m:t>
                      </m:r>
                    </m:sub>
                  </m:sSub>
                </m:den>
              </m:f>
            </m:oMath>
          </w:p>
        </w:tc>
        <w:tc>
          <w:tcPr>
            <w:tcW w:w="250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(19)</w:t>
            </w:r>
          </w:p>
        </w:tc>
      </w:tr>
      <w:tr>
        <w:trPr/>
        <w:tc>
          <w:tcPr>
            <w:tcW w:w="2114"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395" w:type="dxa"/>
            <w:tcBorders/>
            <w:shd w:fill="auto" w:val="clear"/>
          </w:tcPr>
          <w:p>
            <w:pPr>
              <w:pStyle w:val="Normal"/>
              <w:widowControl w:val="false"/>
              <w:pBdr/>
              <w:spacing w:lineRule="auto" w:line="240"/>
              <w:jc w:val="center"/>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22</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shad</m:t>
                              </m:r>
                              <m:sSub>
                                <m:e>
                                  <m:r>
                                    <w:rPr>
                                      <w:rFonts w:ascii="Cambria Math" w:hAnsi="Cambria Math"/>
                                    </w:rPr>
                                    <m:t xml:space="preserve">e</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22</m:t>
                      </m:r>
                    </m:sub>
                  </m:sSub>
                </m:den>
              </m:f>
            </m:oMath>
          </w:p>
        </w:tc>
        <w:tc>
          <w:tcPr>
            <w:tcW w:w="250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(20)</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LAI</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is the leaf area index also splitted in </w:t>
      </w: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and </w:t>
      </w: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in order to follow the canopy subdivision. Then, following Beer-Lambert’s Law (see De Pury &amp; Farquhar, 1997):</w:t>
      </w:r>
    </w:p>
    <w:tbl>
      <w:tblPr>
        <w:tblW w:w="9015" w:type="dxa"/>
        <w:jc w:val="left"/>
        <w:tblInd w:w="0" w:type="dxa"/>
        <w:tblBorders/>
        <w:tblCellMar>
          <w:top w:w="100" w:type="dxa"/>
          <w:left w:w="100" w:type="dxa"/>
          <w:bottom w:w="100" w:type="dxa"/>
          <w:right w:w="100" w:type="dxa"/>
        </w:tblCellMar>
      </w:tblPr>
      <w:tblGrid>
        <w:gridCol w:w="1470"/>
        <w:gridCol w:w="6075"/>
        <w:gridCol w:w="1470"/>
      </w:tblGrid>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LAI</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SL</m:t>
              </m:r>
              <m:sSub>
                <m:e>
                  <m:r>
                    <w:rPr>
                      <w:rFonts w:ascii="Cambria Math" w:hAnsi="Cambria Math"/>
                    </w:rPr>
                    <m:t xml:space="preserve">A</m:t>
                  </m:r>
                </m:e>
                <m:sub>
                  <m:r>
                    <w:rPr>
                      <w:rFonts w:ascii="Cambria Math" w:hAnsi="Cambria Math"/>
                    </w:rPr>
                    <m:t xml:space="preserve">i</m:t>
                  </m:r>
                </m:sub>
              </m:sSub>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(21)</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The calculation of </w:t>
      </w:r>
      <w:r>
        <w:rPr/>
      </w:r>
      <m:oMath xmlns:m="http://schemas.openxmlformats.org/officeDocument/2006/math">
        <m:sSub>
          <m:e>
            <m:r>
              <w:rPr>
                <w:rFonts w:ascii="Cambria Math" w:hAnsi="Cambria Math"/>
              </w:rPr>
              <m:t xml:space="preserve">SLA</m:t>
            </m:r>
          </m:e>
          <m:sub>
            <m:r>
              <w:rPr>
                <w:rFonts w:ascii="Cambria Math" w:hAnsi="Cambria Math"/>
              </w:rPr>
              <m:t xml:space="preserve">i</m:t>
            </m:r>
          </m:sub>
        </m:sSub>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(specific leaf area) is based on the approach used by Pavlick et al. (2013): </w:t>
      </w:r>
    </w:p>
    <w:tbl>
      <w:tblPr>
        <w:tblW w:w="9015" w:type="dxa"/>
        <w:jc w:val="left"/>
        <w:tblInd w:w="0" w:type="dxa"/>
        <w:tblBorders/>
        <w:tblCellMar>
          <w:top w:w="100" w:type="dxa"/>
          <w:left w:w="100" w:type="dxa"/>
          <w:bottom w:w="100" w:type="dxa"/>
          <w:right w:w="100" w:type="dxa"/>
        </w:tblCellMar>
      </w:tblPr>
      <w:tblGrid>
        <w:gridCol w:w="1470"/>
        <w:gridCol w:w="6075"/>
        <w:gridCol w:w="1470"/>
      </w:tblGrid>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SLA</m:t>
                  </m:r>
                </m:e>
                <m:sub>
                  <m:r>
                    <w:rPr>
                      <w:rFonts w:ascii="Cambria Math" w:hAnsi="Cambria Math"/>
                    </w:rPr>
                    <m:t xml:space="preserve">i</m:t>
                  </m:r>
                </m:sub>
              </m:sSub>
              <m:r>
                <w:rPr>
                  <w:rFonts w:ascii="Cambria Math" w:hAnsi="Cambria Math"/>
                </w:rPr>
                <m:t xml:space="preserve">=</m:t>
              </m:r>
              <m:r>
                <w:rPr>
                  <w:rFonts w:ascii="Cambria Math" w:hAnsi="Cambria Math"/>
                </w:rPr>
                <m:t xml:space="preserve">30</m:t>
              </m:r>
              <m:d>
                <m:dPr>
                  <m:begChr m:val="("/>
                  <m:endChr m:val=")"/>
                </m:dPr>
                <m:e>
                  <m:f>
                    <m:fPr>
                      <m:type m:val="lin"/>
                    </m:fPr>
                    <m:num>
                      <m:r>
                        <w:rPr>
                          <w:rFonts w:ascii="Cambria Math" w:hAnsi="Cambria Math"/>
                        </w:rPr>
                        <m:t xml:space="preserve">4380</m:t>
                      </m:r>
                    </m:num>
                    <m:den>
                      <m:sSub>
                        <m:e>
                          <m:r>
                            <w:rPr>
                              <w:rFonts w:ascii="Cambria Math" w:hAnsi="Cambria Math"/>
                            </w:rPr>
                            <m:t xml:space="preserve">τ</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den>
                  </m:f>
                </m:e>
              </m:d>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0.46</m:t>
                  </m:r>
                </m:e>
              </m:d>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(22)</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τ</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(Table SI.2 and SI.3) is the carbon residence time on leaves for a PFT/PLS. This equation uses an empirical relationship derived from Reich, Walters, &amp; Ellsworth (1997) and aims to compute the so-called leaf economic spectrum (Wright et al., 2004).</w:t>
      </w:r>
    </w:p>
    <w:tbl>
      <w:tblPr>
        <w:tblW w:w="9015" w:type="dxa"/>
        <w:jc w:val="left"/>
        <w:tblInd w:w="0" w:type="dxa"/>
        <w:tblBorders/>
        <w:tblCellMar>
          <w:top w:w="100" w:type="dxa"/>
          <w:left w:w="100" w:type="dxa"/>
          <w:bottom w:w="100" w:type="dxa"/>
          <w:right w:w="100" w:type="dxa"/>
        </w:tblCellMar>
      </w:tblPr>
      <w:tblGrid>
        <w:gridCol w:w="1470"/>
        <w:gridCol w:w="6075"/>
        <w:gridCol w:w="1470"/>
      </w:tblGrid>
      <w:tr>
        <w:trPr/>
        <w:tc>
          <w:tcPr>
            <w:tcW w:w="1470"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f>
                <m:fPr>
                  <m:type m:val="lin"/>
                </m:fPr>
                <m:num>
                  <m:d>
                    <m:dPr>
                      <m:begChr m:val="("/>
                      <m:endChr m:val=")"/>
                    </m:dPr>
                    <m:e>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i</m:t>
                          </m:r>
                        </m:sub>
                      </m:sSub>
                    </m:e>
                  </m:d>
                </m:num>
                <m:den>
                  <m:sSub>
                    <m:e>
                      <m:r>
                        <w:rPr>
                          <w:rFonts w:ascii="Cambria Math" w:hAnsi="Cambria Math"/>
                        </w:rPr>
                        <m:t xml:space="preserve">k</m:t>
                      </m:r>
                    </m:e>
                    <m:sub>
                      <m:r>
                        <w:rPr>
                          <w:rFonts w:ascii="Cambria Math" w:hAnsi="Cambria Math"/>
                        </w:rPr>
                        <m:t xml:space="preserve">21</m:t>
                      </m:r>
                    </m:sub>
                  </m:sSub>
                </m:den>
              </m:f>
            </m:oMath>
          </w:p>
        </w:tc>
        <w:tc>
          <w:tcPr>
            <w:tcW w:w="147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(23)</w:t>
            </w:r>
          </w:p>
        </w:tc>
      </w:tr>
      <w:tr>
        <w:trPr/>
        <w:tc>
          <w:tcPr>
            <w:tcW w:w="1470"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pBdr/>
              <w:spacing w:lineRule="auto" w:line="240"/>
              <w:jc w:val="center"/>
              <w:rPr/>
            </w:pP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LA</m:t>
              </m:r>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r>
                <w:rPr>
                  <w:rFonts w:ascii="Cambria Math" w:hAnsi="Cambria Math"/>
                </w:rPr>
                <m:t xml:space="preserve">LA</m:t>
              </m:r>
              <m:sSub>
                <m:e>
                  <m:r>
                    <w:rPr>
                      <w:rFonts w:ascii="Cambria Math" w:hAnsi="Cambria Math"/>
                    </w:rPr>
                    <m:t xml:space="preserve">I</m:t>
                  </m:r>
                </m:e>
                <m:sub>
                  <m:r>
                    <w:rPr>
                      <w:rFonts w:ascii="Cambria Math" w:hAnsi="Cambria Math"/>
                    </w:rPr>
                    <m:t xml:space="preserve">su</m:t>
                  </m:r>
                  <m:sSub>
                    <m:e>
                      <m:r>
                        <w:rPr>
                          <w:rFonts w:ascii="Cambria Math" w:hAnsi="Cambria Math"/>
                        </w:rPr>
                        <m:t xml:space="preserve">n</m:t>
                      </m:r>
                    </m:e>
                    <m:sub>
                      <m:r>
                        <w:rPr>
                          <w:rFonts w:ascii="Cambria Math" w:hAnsi="Cambria Math"/>
                        </w:rPr>
                        <m:t xml:space="preserve">i</m:t>
                      </m:r>
                    </m:sub>
                  </m:sSub>
                </m:sub>
              </m:sSub>
            </m:oMath>
          </w:p>
        </w:tc>
        <w:tc>
          <w:tcPr>
            <w:tcW w:w="147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(24)</w:t>
            </w:r>
          </w:p>
        </w:tc>
      </w:tr>
    </w:tbl>
    <w:p>
      <w:pPr>
        <w:pStyle w:val="Normal"/>
        <w:spacing w:lineRule="auto" w:line="480" w:before="240" w:after="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Ttulo2"/>
        <w:keepNext w:val="false"/>
        <w:keepLines w:val="false"/>
        <w:spacing w:before="0" w:after="80"/>
        <w:rPr/>
      </w:pPr>
      <w:bookmarkStart w:id="1" w:name="_pb871hm9bpn0"/>
      <w:bookmarkEnd w:id="1"/>
      <w:r>
        <w:rPr>
          <w:rFonts w:eastAsia="Times New Roman" w:cs="Times New Roman" w:ascii="Times New Roman" w:hAnsi="Times New Roman"/>
          <w:b/>
          <w:sz w:val="24"/>
          <w:szCs w:val="24"/>
          <w:highlight w:val="white"/>
        </w:rPr>
        <w:t>SI.1.4. Respiration</w:t>
      </w:r>
      <w:r>
        <w:rPr>
          <w:highlight w:val="white"/>
        </w:rPr>
        <w:t xml:space="preserve"> </w:t>
        <w:tab/>
        <w:t xml:space="preserve"> </w:t>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The autotrophic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is splitted in growth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maintenance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following Ryan (1991a; 1991b).</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(25)</w:t>
            </w:r>
          </w:p>
        </w:tc>
      </w:tr>
    </w:tbl>
    <w:p>
      <w:pPr>
        <w:pStyle w:val="Ttulo2"/>
        <w:keepNext w:val="false"/>
        <w:keepLines w:val="false"/>
        <w:spacing w:before="360" w:after="80"/>
        <w:rPr/>
      </w:pPr>
      <w:bookmarkStart w:id="2" w:name="_ti894lljak3p"/>
      <w:bookmarkEnd w:id="2"/>
      <w:r>
        <w:rPr>
          <w:rFonts w:eastAsia="Times New Roman" w:cs="Times New Roman" w:ascii="Times New Roman" w:hAnsi="Times New Roman"/>
          <w:i/>
          <w:sz w:val="24"/>
          <w:szCs w:val="24"/>
          <w:highlight w:val="white"/>
        </w:rPr>
        <w:t>SI.1.4.1. Growth Respiration</w:t>
      </w:r>
      <w:r>
        <w:rPr>
          <w:rFonts w:eastAsia="Times New Roman" w:cs="Times New Roman" w:ascii="Times New Roman" w:hAnsi="Times New Roman"/>
          <w:sz w:val="24"/>
          <w:szCs w:val="24"/>
          <w:highlight w:val="white"/>
        </w:rPr>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The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oMath>
      <w:r>
        <w:rPr>
          <w:rFonts w:eastAsia="Times New Roman" w:cs="Times New Roman" w:ascii="Times New Roman" w:hAnsi="Times New Roman"/>
          <w:sz w:val="24"/>
          <w:szCs w:val="24"/>
          <w:highlight w:val="white"/>
        </w:rPr>
        <w:t xml:space="preserve">) and the carbon content in the same compartment in a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sub>
        </m:sSub>
      </m:oMath>
      <w:r>
        <w:rPr>
          <w:rFonts w:eastAsia="Times New Roman" w:cs="Times New Roman" w:ascii="Times New Roman" w:hAnsi="Times New Roman"/>
          <w:sz w:val="24"/>
          <w:szCs w:val="24"/>
          <w:highlight w:val="white"/>
        </w:rPr>
        <w:t>). Total growth respiration is the sum of growth respiration in all the three plant compartments considered.</w:t>
      </w:r>
    </w:p>
    <w:tbl>
      <w:tblPr>
        <w:tblW w:w="9015" w:type="dxa"/>
        <w:jc w:val="left"/>
        <w:tblInd w:w="0" w:type="dxa"/>
        <w:tblBorders/>
        <w:tblCellMar>
          <w:top w:w="100" w:type="dxa"/>
          <w:left w:w="100" w:type="dxa"/>
          <w:bottom w:w="100" w:type="dxa"/>
          <w:right w:w="100" w:type="dxa"/>
        </w:tblCellMar>
      </w:tblPr>
      <w:tblGrid>
        <w:gridCol w:w="1995"/>
        <w:gridCol w:w="4755"/>
        <w:gridCol w:w="2265"/>
      </w:tblGrid>
      <w:tr>
        <w:trPr/>
        <w:tc>
          <w:tcPr>
            <w:tcW w:w="199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755"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r>
                        <w:rPr>
                          <w:rFonts w:ascii="Cambria Math" w:hAnsi="Cambria Math"/>
                        </w:rPr>
                        <m:t xml:space="preserve">1.25</m:t>
                      </m:r>
                      <m:d>
                        <m:dPr>
                          <m:begChr m:val="("/>
                          <m:endChr m:val=")"/>
                        </m:dPr>
                        <m:e>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r>
                            <w:rPr>
                              <w:rFonts w:ascii="Cambria Math" w:hAnsi="Cambria Math"/>
                            </w:rPr>
                            <m:t xml:space="preserve">−</m:t>
                          </m:r>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sub>
                          </m:sSub>
                        </m:e>
                      </m:d>
                    </m:e>
                  </m:d>
                </m:e>
              </m:nary>
            </m:oMath>
          </w:p>
        </w:tc>
        <w:tc>
          <w:tcPr>
            <w:tcW w:w="2265"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(26)</w:t>
            </w:r>
          </w:p>
        </w:tc>
      </w:tr>
    </w:tbl>
    <w:p>
      <w:pPr>
        <w:pStyle w:val="Normal"/>
        <w:spacing w:before="200" w:after="0"/>
        <w:rPr>
          <w:rFonts w:ascii="Times New Roman" w:hAnsi="Times New Roman" w:eastAsia="Times New Roman" w:cs="Times New Roman"/>
          <w:i/>
          <w:i/>
          <w:sz w:val="24"/>
          <w:szCs w:val="24"/>
          <w:highlight w:val="white"/>
        </w:rPr>
      </w:pPr>
      <w:r>
        <w:rPr>
          <w:rFonts w:eastAsia="Times New Roman" w:cs="Times New Roman" w:ascii="Times New Roman" w:hAnsi="Times New Roman"/>
          <w:i/>
          <w:sz w:val="24"/>
          <w:szCs w:val="24"/>
          <w:highlight w:val="white"/>
        </w:rPr>
        <w:t>SI.1.4.2. Maintenance Respiration</w:t>
      </w:r>
    </w:p>
    <w:p>
      <w:pPr>
        <w:pStyle w:val="Normal"/>
        <w:spacing w:lineRule="auto" w:line="480" w:before="200" w:after="0"/>
        <w:jc w:val="both"/>
        <w:rPr/>
      </w:pPr>
      <w:r>
        <w:rPr>
          <w:highlight w:val="white"/>
        </w:rPr>
        <w:t>T</w:t>
      </w:r>
      <w:r>
        <w:rPr>
          <w:rFonts w:eastAsia="Times New Roman" w:cs="Times New Roman" w:ascii="Times New Roman" w:hAnsi="Times New Roman"/>
          <w:sz w:val="24"/>
          <w:szCs w:val="24"/>
          <w:highlight w:val="white"/>
        </w:rPr>
        <w:t>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supriment is not here considered as a limiting factor.</w:t>
      </w:r>
    </w:p>
    <w:tbl>
      <w:tblPr>
        <w:tblW w:w="9015" w:type="dxa"/>
        <w:jc w:val="left"/>
        <w:tblInd w:w="0" w:type="dxa"/>
        <w:tblBorders/>
        <w:tblCellMar>
          <w:top w:w="100" w:type="dxa"/>
          <w:left w:w="100" w:type="dxa"/>
          <w:bottom w:w="100" w:type="dxa"/>
          <w:right w:w="100" w:type="dxa"/>
        </w:tblCellMar>
      </w:tblPr>
      <w:tblGrid>
        <w:gridCol w:w="1380"/>
        <w:gridCol w:w="5625"/>
        <w:gridCol w:w="2010"/>
      </w:tblGrid>
      <w:tr>
        <w:trPr/>
        <w:tc>
          <w:tcPr>
            <w:tcW w:w="138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25" w:type="dxa"/>
            <w:tcBorders/>
            <w:shd w:fill="auto" w:val="clear"/>
          </w:tcPr>
          <w:p>
            <w:pPr>
              <w:pStyle w:val="Normal"/>
              <w:widowControl w:val="false"/>
              <w:spacing w:lineRule="auto" w:line="24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r>
                        <w:rPr>
                          <w:rFonts w:ascii="Cambria Math" w:hAnsi="Cambria Math"/>
                        </w:rPr>
                        <m:t xml:space="preserve">n</m:t>
                      </m:r>
                      <m:sSub>
                        <m:e>
                          <m:r>
                            <w:rPr>
                              <w:rFonts w:ascii="Cambria Math" w:hAnsi="Cambria Math"/>
                            </w:rPr>
                            <m:t xml:space="preserve">c</m:t>
                          </m:r>
                        </m:e>
                        <m:sub>
                          <m:r>
                            <w:rPr>
                              <w:rFonts w:ascii="Cambria Math" w:hAnsi="Cambria Math"/>
                            </w:rPr>
                            <m:t xml:space="preserve">z</m:t>
                          </m:r>
                        </m:sub>
                      </m:sSub>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r>
                        <w:rPr>
                          <w:rFonts w:ascii="Cambria Math" w:hAnsi="Cambria Math"/>
                        </w:rPr>
                        <m:t xml:space="preserve">27</m:t>
                      </m:r>
                      <m:r>
                        <w:rPr>
                          <w:rFonts w:ascii="Cambria Math" w:hAnsi="Cambria Math"/>
                        </w:rPr>
                        <m:t xml:space="preserve">exp</m:t>
                      </m:r>
                      <m:d>
                        <m:dPr>
                          <m:begChr m:val="("/>
                          <m:endChr m:val=")"/>
                        </m:dPr>
                        <m:e>
                          <m:r>
                            <w:rPr>
                              <w:rFonts w:ascii="Cambria Math" w:hAnsi="Cambria Math"/>
                            </w:rPr>
                            <m:t xml:space="preserve">0.07</m:t>
                          </m:r>
                          <m:sSub>
                            <m:e>
                              <m:r>
                                <w:rPr>
                                  <w:rFonts w:ascii="Cambria Math" w:hAnsi="Cambria Math"/>
                                </w:rPr>
                                <m:t xml:space="preserve">T</m:t>
                              </m:r>
                            </m:e>
                            <m:sub>
                              <m:r>
                                <w:rPr>
                                  <w:rFonts w:ascii="Cambria Math" w:hAnsi="Cambria Math"/>
                                </w:rPr>
                                <m:t xml:space="preserve">y</m:t>
                              </m:r>
                            </m:sub>
                          </m:sSub>
                        </m:e>
                      </m:d>
                    </m:e>
                  </m:d>
                </m:e>
              </m:nary>
            </m:oMath>
          </w:p>
        </w:tc>
        <w:tc>
          <w:tcPr>
            <w:tcW w:w="2010" w:type="dxa"/>
            <w:tcBorders/>
            <w:shd w:fill="auto" w:val="clear"/>
          </w:tcPr>
          <w:p>
            <w:pPr>
              <w:pStyle w:val="Normal"/>
              <w:widowControl w:val="false"/>
              <w:spacing w:lineRule="auto" w:line="36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(27)</w:t>
            </w:r>
          </w:p>
        </w:tc>
      </w:tr>
    </w:tbl>
    <w:p>
      <w:pPr>
        <w:pStyle w:val="Normal"/>
        <w:spacing w:lineRule="auto" w:line="480" w:before="200" w:after="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nc</m:t>
            </m:r>
          </m:e>
          <m:sub>
            <m:r>
              <w:rPr>
                <w:rFonts w:ascii="Cambria Math" w:hAnsi="Cambria Math"/>
              </w:rPr>
              <m:t xml:space="preserve">z</m:t>
            </m:r>
          </m:sub>
        </m:sSub>
      </m:oMath>
      <w:r>
        <w:rPr>
          <w:rFonts w:eastAsia="Times New Roman" w:cs="Times New Roman" w:ascii="Times New Roman" w:hAnsi="Times New Roman"/>
          <w:sz w:val="24"/>
          <w:szCs w:val="24"/>
          <w:highlight w:val="white"/>
        </w:rPr>
        <w:t xml:space="preserve"> represents the N:C ratio for each plant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y</m:t>
            </m:r>
          </m:sub>
        </m:sSub>
      </m:oMath>
      <w:r>
        <w:rPr>
          <w:rFonts w:eastAsia="Times New Roman" w:cs="Times New Roman" w:ascii="Times New Roman" w:hAnsi="Times New Roman"/>
          <w:sz w:val="24"/>
          <w:szCs w:val="24"/>
          <w:highlight w:val="white"/>
        </w:rPr>
        <w:t>(ºC)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N:C ratio is equal to 0.034, 0.003 and 0.034 for leaves, sapwood and fine roots, respectively (Levis et al.,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w:r>
        <w:rPr/>
      </w:r>
      <m:oMath xmlns:m="http://schemas.openxmlformats.org/officeDocument/2006/math">
        <m:sSub>
          <m:e>
            <m:r>
              <w:rPr>
                <w:rFonts w:ascii="Cambria Math" w:hAnsi="Cambria Math"/>
              </w:rPr>
              <m:t xml:space="preserve">T</m:t>
            </m:r>
          </m:e>
          <m:sub>
            <m:sSub>
              <m:e>
                <m:r>
                  <w:rPr>
                    <w:rFonts w:ascii="Cambria Math" w:hAnsi="Cambria Math"/>
                  </w:rPr>
                  <m:t xml:space="preserve">soil</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see Oyama &amp; Nobre, 2004).</w:t>
      </w:r>
      <w:r>
        <w:rPr>
          <w:highlight w:val="white"/>
        </w:rPr>
        <w:t xml:space="preserve"> </w:t>
        <w:tab/>
      </w:r>
    </w:p>
    <w:p>
      <w:pPr>
        <w:pStyle w:val="Ttulo2"/>
        <w:keepNext w:val="false"/>
        <w:keepLines w:val="false"/>
        <w:spacing w:before="0" w:after="80"/>
        <w:rPr/>
      </w:pPr>
      <w:bookmarkStart w:id="3" w:name="_34ukwen2cqae"/>
      <w:bookmarkEnd w:id="3"/>
      <w:r>
        <w:rPr>
          <w:rFonts w:eastAsia="Times New Roman" w:cs="Times New Roman" w:ascii="Times New Roman" w:hAnsi="Times New Roman"/>
          <w:b/>
          <w:sz w:val="24"/>
          <w:szCs w:val="24"/>
          <w:highlight w:val="white"/>
        </w:rPr>
        <w:t>SI.1.5. Net primary productivity</w:t>
      </w:r>
      <w:r>
        <w:rPr>
          <w:rFonts w:eastAsia="Times New Roman" w:cs="Times New Roman" w:ascii="Times New Roman" w:hAnsi="Times New Roman"/>
          <w:highlight w:val="white"/>
        </w:rPr>
        <w:tab/>
        <w:t xml:space="preserve"> </w:t>
        <w:tab/>
        <w:t xml:space="preserve"> </w:t>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The net primary productivity (</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eastAsia="Times New Roman" w:cs="Times New Roman" w:ascii="Times New Roman" w:hAnsi="Times New Roman"/>
          <w:sz w:val="24"/>
          <w:szCs w:val="24"/>
          <w:highlight w:val="white"/>
        </w:rPr>
        <w:t>) is the carbon available from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discounting the respiratory costs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spacing w:lineRule="auto" w:line="240"/>
              <w:rPr/>
            </w:pPr>
            <w:r>
              <w:rPr/>
            </w:r>
            <m:oMath xmlns:m="http://schemas.openxmlformats.org/officeDocument/2006/math">
              <m:sSub>
                <m:e>
                  <m:r>
                    <w:rPr>
                      <w:rFonts w:ascii="Cambria Math" w:hAnsi="Cambria Math"/>
                    </w:rPr>
                    <m:t xml:space="preserve">NPP</m:t>
                  </m:r>
                </m:e>
                <m:sub>
                  <m:r>
                    <w:rPr>
                      <w:rFonts w:ascii="Cambria Math" w:hAnsi="Cambria Math"/>
                    </w:rPr>
                    <m:t xml:space="preserve">i</m:t>
                  </m:r>
                </m:sub>
              </m:sSub>
              <m:r>
                <w:rPr>
                  <w:rFonts w:ascii="Cambria Math" w:hAnsi="Cambria Math"/>
                </w:rPr>
                <m:t xml:space="preserve">=</m:t>
              </m:r>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(28)</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SI.1.6. Carbon allocation and stock</w:t>
        <w:tab/>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From NPP, carbon is allocated to the three different carbon compartiments (leaves, aboveground woody tissues and fine root) through allocation traits </w:t>
      </w:r>
      <w:r>
        <w:rPr/>
      </w:r>
      <m:oMath xmlns:m="http://schemas.openxmlformats.org/officeDocument/2006/math">
        <m:sSub>
          <m:e>
            <m:r>
              <w:rPr>
                <w:rFonts w:ascii="Cambria Math" w:hAnsi="Cambria Math"/>
              </w:rPr>
              <m:t xml:space="preserve">α</m:t>
            </m:r>
          </m:e>
          <m:sub>
            <m:r>
              <w:rPr>
                <w:rFonts w:ascii="Cambria Math" w:hAnsi="Cambria Math"/>
              </w:rPr>
              <m:t xml:space="preserve">z</m:t>
            </m:r>
          </m:sub>
        </m:sSub>
      </m:oMath>
      <w:r>
        <w:rPr>
          <w:rFonts w:eastAsia="Times New Roman" w:cs="Times New Roman" w:ascii="Times New Roman" w:hAnsi="Times New Roman"/>
          <w:sz w:val="24"/>
          <w:szCs w:val="24"/>
          <w:highlight w:val="white"/>
        </w:rPr>
        <w:t xml:space="preserve"> (Table SI.2 and SI.3) that determines the percentage of </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distributed to each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Residence time traits </w:t>
      </w:r>
      <w:r>
        <w:rPr/>
      </w:r>
      <m:oMath xmlns:m="http://schemas.openxmlformats.org/officeDocument/2006/math">
        <m:sSub>
          <m:e>
            <m:r>
              <w:rPr>
                <w:rFonts w:ascii="Cambria Math" w:hAnsi="Cambria Math"/>
              </w:rPr>
              <m:t xml:space="preserve">τ</m:t>
            </m:r>
          </m:e>
          <m:sub>
            <m:sSub>
              <m:e>
                <m:r>
                  <w:rPr>
                    <w:rFonts w:ascii="Cambria Math" w:hAnsi="Cambria Math"/>
                  </w:rPr>
                  <m:t xml:space="preserve">z</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(Table SI.2 and SI.3) represents how long the carbon stays in each compartment. Together, these functional traits ultimately define the stock of carbon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in each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of a PLS or PFT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in a certain time step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and then, the total plant carbon of that PLS or PFT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Times New Roman" w:cs="Times New Roman" w:ascii="Times New Roman" w:hAnsi="Times New Roman"/>
          <w:sz w:val="24"/>
          <w:szCs w:val="24"/>
          <w:highlight w:val="white"/>
        </w:rPr>
        <w:t>).</w:t>
      </w:r>
    </w:p>
    <w:tbl>
      <w:tblPr>
        <w:tblW w:w="9015" w:type="dxa"/>
        <w:jc w:val="left"/>
        <w:tblInd w:w="0" w:type="dxa"/>
        <w:tblBorders/>
        <w:tblCellMar>
          <w:top w:w="100" w:type="dxa"/>
          <w:left w:w="100" w:type="dxa"/>
          <w:bottom w:w="100" w:type="dxa"/>
          <w:right w:w="100" w:type="dxa"/>
        </w:tblCellMar>
      </w:tblPr>
      <w:tblGrid>
        <w:gridCol w:w="1920"/>
        <w:gridCol w:w="5129"/>
        <w:gridCol w:w="1966"/>
      </w:tblGrid>
      <w:tr>
        <w:trPr/>
        <w:tc>
          <w:tcPr>
            <w:tcW w:w="1920"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129" w:type="dxa"/>
            <w:tcBorders/>
            <w:shd w:fill="auto" w:val="clear"/>
          </w:tcPr>
          <w:p>
            <w:pPr>
              <w:pStyle w:val="Normal"/>
              <w:widowControl w:val="false"/>
              <w:pBdr/>
              <w:spacing w:lineRule="auto" w:line="240"/>
              <w:jc w:val="center"/>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num>
                <m:den>
                  <m:sSub>
                    <m:e>
                      <m:r>
                        <w:rPr>
                          <w:rFonts w:ascii="Cambria Math" w:hAnsi="Cambria Math"/>
                        </w:rPr>
                        <m:t xml:space="preserve">∂</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α</m:t>
                  </m:r>
                </m:e>
                <m:sub>
                  <m:sSub>
                    <m:e>
                      <m:r>
                        <w:rPr>
                          <w:rFonts w:ascii="Cambria Math" w:hAnsi="Cambria Math"/>
                        </w:rPr>
                        <m:t xml:space="preserve">z</m:t>
                      </m:r>
                    </m:e>
                    <m:sub>
                      <m:r>
                        <w:rPr>
                          <w:rFonts w:ascii="Cambria Math" w:hAnsi="Cambria Math"/>
                        </w:rPr>
                        <m:t xml:space="preserve">i</m:t>
                      </m:r>
                    </m:sub>
                  </m:sSub>
                </m:sub>
              </m:sSub>
              <m:r>
                <w:rPr>
                  <w:rFonts w:ascii="Cambria Math" w:hAnsi="Cambria Math"/>
                </w:rPr>
                <m:t xml:space="preserve">NP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num>
                <m:den>
                  <m:sSub>
                    <m:e>
                      <m:r>
                        <w:rPr>
                          <w:rFonts w:ascii="Cambria Math" w:hAnsi="Cambria Math"/>
                        </w:rPr>
                        <m:t xml:space="preserve">τ</m:t>
                      </m:r>
                    </m:e>
                    <m:sub>
                      <m:sSub>
                        <m:e>
                          <m:r>
                            <w:rPr>
                              <w:rFonts w:ascii="Cambria Math" w:hAnsi="Cambria Math"/>
                            </w:rPr>
                            <m:t xml:space="preserve">z</m:t>
                          </m:r>
                        </m:e>
                        <m:sub>
                          <m:r>
                            <w:rPr>
                              <w:rFonts w:ascii="Cambria Math" w:hAnsi="Cambria Math"/>
                            </w:rPr>
                            <m:t xml:space="preserve">i</m:t>
                          </m:r>
                        </m:sub>
                      </m:sSub>
                    </m:sub>
                  </m:sSub>
                </m:den>
              </m:f>
            </m:oMath>
          </w:p>
        </w:tc>
        <w:tc>
          <w:tcPr>
            <w:tcW w:w="196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(29)</w:t>
            </w:r>
          </w:p>
        </w:tc>
      </w:tr>
      <w:tr>
        <w:trPr/>
        <w:tc>
          <w:tcPr>
            <w:tcW w:w="1920"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129"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e>
              </m:nary>
            </m:oMath>
          </w:p>
        </w:tc>
        <w:tc>
          <w:tcPr>
            <w:tcW w:w="196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(30)</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SI.1.7. Stomatal conductance and canopy resistance</w:t>
      </w:r>
    </w:p>
    <w:p>
      <w:pPr>
        <w:pStyle w:val="Normal"/>
        <w:spacing w:lineRule="auto" w:line="480"/>
        <w:rPr/>
      </w:pPr>
      <w:r>
        <w:rPr>
          <w:rFonts w:eastAsia="Times New Roman" w:cs="Times New Roman" w:ascii="Times New Roman" w:hAnsi="Times New Roman"/>
          <w:sz w:val="24"/>
          <w:szCs w:val="24"/>
          <w:highlight w:val="white"/>
        </w:rPr>
        <w:t>Stomatal conductance (</w:t>
      </w:r>
      <w:r>
        <w:rPr/>
      </w:r>
      <m:oMath xmlns:m="http://schemas.openxmlformats.org/officeDocument/2006/math">
        <m:sSub>
          <m:e>
            <m:r>
              <w:rPr>
                <w:rFonts w:ascii="Cambria Math" w:hAnsi="Cambria Math"/>
              </w:rPr>
              <m:t xml:space="preserve">gs</m:t>
            </m:r>
          </m:e>
          <m:sub>
            <m:r>
              <w:rPr>
                <w:rFonts w:ascii="Cambria Math" w:hAnsi="Cambria Math"/>
              </w:rPr>
              <m:t xml:space="preserve">i</m:t>
            </m:r>
          </m:sub>
        </m:sSub>
      </m:oMath>
      <w:r>
        <w:rPr>
          <w:rFonts w:eastAsia="Times New Roman" w:cs="Times New Roman" w:ascii="Times New Roman" w:hAnsi="Times New Roman"/>
          <w:sz w:val="24"/>
          <w:szCs w:val="24"/>
          <w:highlight w:val="white"/>
        </w:rPr>
        <w:t>) and canopy resistance (</w:t>
      </w:r>
      <w:r>
        <w:rPr/>
      </w:r>
      <m:oMath xmlns:m="http://schemas.openxmlformats.org/officeDocument/2006/math">
        <m:sSub>
          <m:e>
            <m:r>
              <w:rPr>
                <w:rFonts w:ascii="Cambria Math" w:hAnsi="Cambria Math"/>
              </w:rPr>
              <m:t xml:space="preserve">C</m:t>
            </m:r>
          </m:e>
          <m:sub>
            <m:sSub>
              <m:e>
                <m:r>
                  <w:rPr>
                    <w:rFonts w:ascii="Cambria Math" w:hAnsi="Cambria Math"/>
                  </w:rPr>
                  <m:t xml:space="preserve">r</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link the carbon cycle (through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with the water balance sub-model (see SI.1.8.):</w:t>
      </w:r>
    </w:p>
    <w:tbl>
      <w:tblPr>
        <w:tblW w:w="9015" w:type="dxa"/>
        <w:jc w:val="left"/>
        <w:tblInd w:w="0" w:type="dxa"/>
        <w:tblBorders/>
        <w:tblCellMar>
          <w:top w:w="100" w:type="dxa"/>
          <w:left w:w="100" w:type="dxa"/>
          <w:bottom w:w="100" w:type="dxa"/>
          <w:right w:w="100" w:type="dxa"/>
        </w:tblCellMar>
      </w:tblPr>
      <w:tblGrid>
        <w:gridCol w:w="1755"/>
        <w:gridCol w:w="5624"/>
        <w:gridCol w:w="1636"/>
      </w:tblGrid>
      <w:tr>
        <w:trPr/>
        <w:tc>
          <w:tcPr>
            <w:tcW w:w="175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tc>
        <w:tc>
          <w:tcPr>
            <w:tcW w:w="5624"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C</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g</m:t>
                  </m:r>
                </m:den>
              </m:f>
              <m:sSub>
                <m:e>
                  <m:r>
                    <w:rPr>
                      <w:rFonts w:ascii="Cambria Math" w:hAnsi="Cambria Math"/>
                    </w:rPr>
                    <m:t xml:space="preserve">s</m:t>
                  </m:r>
                </m:e>
                <m:sub>
                  <m:r>
                    <w:rPr>
                      <w:rFonts w:ascii="Cambria Math" w:hAnsi="Cambria Math"/>
                    </w:rPr>
                    <m:t xml:space="preserve">i</m:t>
                  </m:r>
                </m:sub>
              </m:sSub>
            </m:oMath>
          </w:p>
        </w:tc>
        <w:tc>
          <w:tcPr>
            <w:tcW w:w="163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(31)</w:t>
            </w:r>
          </w:p>
        </w:tc>
      </w:tr>
      <w:tr>
        <w:trPr/>
        <w:tc>
          <w:tcPr>
            <w:tcW w:w="1755"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24" w:type="dxa"/>
            <w:tcBorders/>
            <w:shd w:fill="auto" w:val="clear"/>
          </w:tcPr>
          <w:p>
            <w:pPr>
              <w:pStyle w:val="Normal"/>
              <w:spacing w:lineRule="auto" w:line="240"/>
              <w:jc w:val="center"/>
              <w:rPr/>
            </w:pPr>
            <w:r>
              <w:rPr/>
            </w:r>
            <m:oMath xmlns:m="http://schemas.openxmlformats.org/officeDocument/2006/math">
              <m:r>
                <w:rPr>
                  <w:rFonts w:ascii="Cambria Math" w:hAnsi="Cambria Math"/>
                </w:rPr>
                <m:t xml:space="preserve">g</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0</m:t>
                  </m:r>
                </m:sub>
              </m:sSub>
              <m:r>
                <w:rPr>
                  <w:rFonts w:ascii="Cambria Math" w:hAnsi="Cambria Math"/>
                </w:rPr>
                <m:t xml:space="preserve">+</m:t>
              </m:r>
              <m:r>
                <w:rPr>
                  <w:rFonts w:ascii="Cambria Math" w:hAnsi="Cambria Math"/>
                </w:rPr>
                <m:t xml:space="preserve">1.6</m:t>
              </m:r>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oMath>
          </w:p>
        </w:tc>
        <w:tc>
          <w:tcPr>
            <w:tcW w:w="1636"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(32)</w:t>
            </w:r>
          </w:p>
        </w:tc>
      </w:tr>
    </w:tbl>
    <w:p>
      <w:pPr>
        <w:pStyle w:val="Normal"/>
        <w:spacing w:lineRule="auto" w:line="480" w:before="240" w:after="0"/>
        <w:jc w:val="both"/>
        <w:rPr/>
      </w:pP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rFonts w:eastAsia="Times New Roman" w:cs="Times New Roman" w:ascii="Times New Roman" w:hAnsi="Times New Roman"/>
          <w:sz w:val="24"/>
          <w:szCs w:val="24"/>
          <w:highlight w:val="white"/>
        </w:rPr>
        <w:t xml:space="preserve">is the stomatal conductance with a fix value of 0.001,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Times New Roman" w:cs="Times New Roman" w:ascii="Times New Roman" w:hAnsi="Times New Roman"/>
          <w:sz w:val="24"/>
          <w:szCs w:val="24"/>
          <w:highlight w:val="white"/>
        </w:rPr>
        <w:t xml:space="preserve">is the conductance sensibility to the carbon assimilation (Medlyn et al., 2011) and has a constant value of 3.77. Lastly, </w:t>
      </w:r>
      <w:r>
        <w:rPr/>
      </w:r>
      <m:oMath xmlns:m="http://schemas.openxmlformats.org/officeDocument/2006/math">
        <m:sSub>
          <m:e>
            <m:r>
              <w:rPr>
                <w:rFonts w:ascii="Cambria Math" w:hAnsi="Cambria Math"/>
              </w:rPr>
              <m:t xml:space="preserve">VPD</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is the deficit of vapor pressure on the leaf surface: </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rPr/>
            </w:pPr>
            <w:r>
              <w:rPr/>
            </w:r>
            <m:oMath xmlns:m="http://schemas.openxmlformats.org/officeDocument/2006/math">
              <m:sSub>
                <m:e>
                  <m:r>
                    <w:rPr>
                      <w:rFonts w:ascii="Cambria Math" w:hAnsi="Cambria Math"/>
                    </w:rPr>
                    <m:t xml:space="preserve">VPD</m:t>
                  </m:r>
                </m:e>
                <m:sub>
                  <m:r>
                    <w:rPr>
                      <w:rFonts w:ascii="Cambria Math" w:hAnsi="Cambria Math"/>
                    </w:rPr>
                    <m:t xml:space="preserve">y</m:t>
                  </m:r>
                </m:sub>
              </m:sSub>
              <m:r>
                <w:rPr>
                  <w:rFonts w:ascii="Cambria Math" w:hAnsi="Cambria Math"/>
                </w:rPr>
                <m:t xml:space="preserve">=</m:t>
              </m:r>
              <m:f>
                <m:fPr>
                  <m:type m:val="lin"/>
                </m:fPr>
                <m:num>
                  <m:d>
                    <m:dPr>
                      <m:begChr m:val="("/>
                      <m:endChr m:val=")"/>
                    </m:dPr>
                    <m:e>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sSub>
                        <m:e>
                          <m:r>
                            <w:rPr>
                              <w:rFonts w:ascii="Cambria Math" w:hAnsi="Cambria Math"/>
                            </w:rPr>
                            <m:t xml:space="preserve">h</m:t>
                          </m:r>
                        </m:e>
                        <m:sub>
                          <m:r>
                            <w:rPr>
                              <w:rFonts w:ascii="Cambria Math" w:hAnsi="Cambria Math"/>
                            </w:rPr>
                            <m:t xml:space="preserve">y</m:t>
                          </m:r>
                        </m:sub>
                      </m:sSub>
                    </m:e>
                  </m:d>
                </m:num>
                <m:den>
                  <m:r>
                    <w:rPr>
                      <w:rFonts w:ascii="Cambria Math" w:hAnsi="Cambria Math"/>
                    </w:rPr>
                    <m:t xml:space="preserve">10</m:t>
                  </m:r>
                </m:den>
              </m:f>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(33)</w:t>
            </w:r>
          </w:p>
        </w:tc>
      </w:tr>
    </w:tbl>
    <w:p>
      <w:pPr>
        <w:pStyle w:val="Normal"/>
        <w:spacing w:lineRule="auto" w:line="480" w:before="240" w:after="0"/>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(input) is the relative humidity and </w:t>
      </w:r>
      <w:r>
        <w:rPr/>
      </w:r>
      <m:oMath xmlns:m="http://schemas.openxmlformats.org/officeDocument/2006/math">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is the evapotranspiration (see SI.1.8.).</w:t>
      </w:r>
    </w:p>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SI.1.8. Light capture for distinct PFTs/PLSs</w:t>
      </w:r>
    </w:p>
    <w:p>
      <w:pPr>
        <w:pStyle w:val="Normal"/>
        <w:spacing w:lineRule="auto" w:line="480" w:before="240" w:after="0"/>
        <w:jc w:val="both"/>
        <w:rPr/>
      </w:pPr>
      <w:r>
        <w:rPr>
          <w:rFonts w:eastAsia="Times New Roman" w:cs="Times New Roman" w:ascii="Times New Roman" w:hAnsi="Times New Roman"/>
          <w:sz w:val="24"/>
          <w:szCs w:val="24"/>
          <w:highlight w:val="white"/>
        </w:rPr>
        <w:t>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w:r>
        <w:rPr/>
      </w:r>
      <m:oMath xmlns:m="http://schemas.openxmlformats.org/officeDocument/2006/math">
        <m:sSub>
          <m:e>
            <m:r>
              <w:rPr>
                <w:rFonts w:ascii="Cambria Math" w:hAnsi="Cambria Math"/>
              </w:rPr>
              <m:t xml:space="preserve">C</m:t>
            </m:r>
          </m:e>
          <m:sub>
            <m:sSub>
              <m:e>
                <m:r>
                  <w:rPr>
                    <w:rFonts w:ascii="Cambria Math" w:hAnsi="Cambria Math"/>
                  </w:rPr>
                  <m:t xml:space="preserve">abgw</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we used a simplified approach for the sake of representing the differential light capture between the different PFTs/PLSs in a grid cell. We considered that 5% of the PFTs/PLSs that present the higher relative carbon content on ABGW in a grid cell can capture 100% of the incident </w:t>
      </w:r>
      <w:r>
        <w:rPr/>
      </w:r>
      <m:oMath xmlns:m="http://schemas.openxmlformats.org/officeDocument/2006/math">
        <m:r>
          <w:rPr>
            <w:rFonts w:ascii="Cambria Math" w:hAnsi="Cambria Math"/>
          </w:rPr>
          <m:t xml:space="preserve">IPAR</m:t>
        </m:r>
      </m:oMath>
      <w:r>
        <w:rPr>
          <w:rFonts w:eastAsia="Times New Roman" w:cs="Times New Roman" w:ascii="Times New Roman" w:hAnsi="Times New Roman"/>
          <w:sz w:val="24"/>
          <w:szCs w:val="24"/>
          <w:highlight w:val="white"/>
        </w:rPr>
        <w:t>while the other ones can capture 80% of the IPAR .</w:t>
      </w:r>
    </w:p>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SI.1.9. Water balance sub-model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The CAETÊ uses a sub-model to calculate the water balance in a grid cell scale. This sub-model is based on Oyama &amp; Nobre (2004) and is evaluated over an homogeneous soil layer with a unique water maximum holding capacity (</w:t>
      </w:r>
      <w:r>
        <w:rPr/>
      </w:r>
      <m:oMath xmlns:m="http://schemas.openxmlformats.org/officeDocument/2006/math">
        <m:sSub>
          <m:e>
            <m:r>
              <w:rPr>
                <w:rFonts w:ascii="Cambria Math" w:hAnsi="Cambria Math"/>
              </w:rPr>
              <m:t xml:space="preserve">H</m:t>
            </m:r>
          </m:e>
          <m:sub>
            <m:r>
              <w:rPr>
                <w:rFonts w:ascii="Cambria Math" w:hAnsi="Cambria Math"/>
              </w:rPr>
              <m:t xml:space="preserve">max</m:t>
            </m:r>
          </m:sub>
        </m:sSub>
      </m:oMath>
      <w:r>
        <w:rPr>
          <w:rFonts w:eastAsia="Times New Roman" w:cs="Times New Roman" w:ascii="Times New Roman" w:hAnsi="Times New Roman"/>
          <w:sz w:val="24"/>
          <w:szCs w:val="24"/>
          <w:highlight w:val="white"/>
        </w:rPr>
        <w:t>)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tab/>
      </w:r>
    </w:p>
    <w:p>
      <w:pPr>
        <w:pStyle w:val="Normal"/>
        <w:spacing w:lineRule="auto" w:line="480" w:before="240" w:after="0"/>
        <w:rPr/>
      </w:pPr>
      <w:r>
        <w:rPr>
          <w:rFonts w:eastAsia="Times New Roman" w:cs="Times New Roman" w:ascii="Times New Roman" w:hAnsi="Times New Roman"/>
          <w:i/>
          <w:sz w:val="24"/>
          <w:szCs w:val="24"/>
          <w:highlight w:val="white"/>
        </w:rPr>
        <w:t>SI.1.9.1. Soil water content and saturation</w:t>
      </w:r>
      <w:r>
        <w:rPr>
          <w:rFonts w:eastAsia="Times New Roman" w:cs="Times New Roman" w:ascii="Times New Roman" w:hAnsi="Times New Roman"/>
          <w:b/>
          <w:sz w:val="24"/>
          <w:szCs w:val="24"/>
          <w:highlight w:val="white"/>
        </w:rPr>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The model here employed calculates soil water and snow budgets separately, however given the climatic conditions of the study area we do not present here the soil snow budget formulation [see Oyama &amp; Nobre (2004) for accessing it]. The actual soil water content (</w:t>
      </w:r>
      <w:r>
        <w:rPr/>
      </w:r>
      <m:oMath xmlns:m="http://schemas.openxmlformats.org/officeDocument/2006/math">
        <m:sSub>
          <m:e>
            <m:r>
              <w:rPr>
                <w:rFonts w:ascii="Cambria Math" w:hAnsi="Cambria Math"/>
              </w:rPr>
              <m:t xml:space="preserve">H</m:t>
            </m:r>
          </m:e>
          <m:sub>
            <m:sSub>
              <m:e>
                <m:r>
                  <w:rPr>
                    <w:rFonts w:ascii="Cambria Math" w:hAnsi="Cambria Math"/>
                  </w:rPr>
                  <m:t xml:space="preserve">y</m:t>
                </m:r>
              </m:e>
              <m:sub>
                <m:r>
                  <w:rPr>
                    <w:rFonts w:ascii="Cambria Math" w:hAnsi="Cambria Math"/>
                  </w:rPr>
                  <m:t xml:space="preserve">t</m:t>
                </m:r>
              </m:sub>
            </m:sSub>
          </m:sub>
        </m:sSub>
      </m:oMath>
      <w:r>
        <w:rPr>
          <w:rFonts w:eastAsia="Times New Roman" w:cs="Times New Roman" w:ascii="Times New Roman" w:hAnsi="Times New Roman"/>
          <w:sz w:val="24"/>
          <w:szCs w:val="24"/>
          <w:highlight w:val="white"/>
        </w:rPr>
        <w:t xml:space="preserve">) in a grid cell </w:t>
      </w:r>
      <w:r>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highlight w:val="white"/>
        </w:rPr>
        <w:t xml:space="preserve"> in a certain time 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sz w:val="24"/>
          <w:szCs w:val="24"/>
          <w:highlight w:val="white"/>
        </w:rPr>
        <w:t xml:space="preserve"> depends on the precipritation (</w:t>
      </w:r>
      <w:r>
        <w:rPr/>
      </w:r>
      <m:oMath xmlns:m="http://schemas.openxmlformats.org/officeDocument/2006/math">
        <m:sSub>
          <m:e>
            <m:r>
              <w:rPr>
                <w:rFonts w:ascii="Cambria Math" w:hAnsi="Cambria Math"/>
              </w:rPr>
              <m:t xml:space="preserve">P</m:t>
            </m:r>
          </m:e>
          <m:sub>
            <m:sSub>
              <m:e>
                <m:r>
                  <w:rPr>
                    <w:rFonts w:ascii="Cambria Math" w:hAnsi="Cambria Math"/>
                  </w:rPr>
                  <m:t xml:space="preserve">rec</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the evapotranspiration (</w:t>
      </w:r>
      <w:r>
        <w:rPr/>
      </w:r>
      <m:oMath xmlns:m="http://schemas.openxmlformats.org/officeDocument/2006/math">
        <m:sSub>
          <m:e>
            <m:r>
              <w:rPr>
                <w:rFonts w:ascii="Cambria Math" w:hAnsi="Cambria Math"/>
              </w:rPr>
              <m:t xml:space="preserve">E</m:t>
            </m:r>
          </m:e>
          <m:sub>
            <m:sSub>
              <m:e>
                <m:r>
                  <w:rPr>
                    <w:rFonts w:ascii="Cambria Math" w:hAnsi="Cambria Math"/>
                  </w:rPr>
                  <m:t xml:space="preserve">vap</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see Oyama &amp; Nobre, 2004) and the runoff (</w:t>
      </w:r>
      <w:r>
        <w:rPr/>
      </w:r>
      <m:oMath xmlns:m="http://schemas.openxmlformats.org/officeDocument/2006/math">
        <m:sSub>
          <m:e>
            <m:r>
              <w:rPr>
                <w:rFonts w:ascii="Cambria Math" w:hAnsi="Cambria Math"/>
              </w:rPr>
              <m:t xml:space="preserve">R</m:t>
            </m:r>
          </m:e>
          <m:sub>
            <m:sSub>
              <m:e>
                <m:r>
                  <w:rPr>
                    <w:rFonts w:ascii="Cambria Math" w:hAnsi="Cambria Math"/>
                  </w:rPr>
                  <m:t xml:space="preserve">off</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 see Oyama &amp; Nobre, 2004) on this grid cell:</w:t>
      </w:r>
    </w:p>
    <w:tbl>
      <w:tblPr>
        <w:tblW w:w="9015" w:type="dxa"/>
        <w:jc w:val="left"/>
        <w:tblInd w:w="0" w:type="dxa"/>
        <w:tblBorders/>
        <w:tblCellMar>
          <w:top w:w="100" w:type="dxa"/>
          <w:left w:w="100" w:type="dxa"/>
          <w:bottom w:w="100" w:type="dxa"/>
          <w:right w:w="100" w:type="dxa"/>
        </w:tblCellMar>
      </w:tblPr>
      <w:tblGrid>
        <w:gridCol w:w="1800"/>
        <w:gridCol w:w="5085"/>
        <w:gridCol w:w="2130"/>
      </w:tblGrid>
      <w:tr>
        <w:trPr/>
        <w:tc>
          <w:tcPr>
            <w:tcW w:w="18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085" w:type="dxa"/>
            <w:tcBorders/>
            <w:shd w:fill="auto" w:val="clear"/>
          </w:tcPr>
          <w:p>
            <w:pPr>
              <w:pStyle w:val="Normal"/>
              <w:spacing w:lineRule="auto" w:line="240"/>
              <w:jc w:val="center"/>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m:t>
                  </m:r>
                </m:den>
              </m:f>
              <m:r>
                <w:rPr>
                  <w:rFonts w:ascii="Cambria Math" w:hAnsi="Cambria Math"/>
                </w:rPr>
                <m:t xml:space="preserve">t</m:t>
              </m:r>
              <m:r>
                <w:rPr>
                  <w:rFonts w:ascii="Cambria Math" w:hAnsi="Cambria Math"/>
                </w:rPr>
                <m:t xml:space="preserve">=</m:t>
              </m:r>
              <m:sSub>
                <m:e>
                  <m:r>
                    <w:rPr>
                      <w:rFonts w:ascii="Cambria Math" w:hAnsi="Cambria Math"/>
                    </w:rPr>
                    <m:t xml:space="preserve">P</m:t>
                  </m:r>
                </m:e>
                <m:sub>
                  <m:r>
                    <w:rPr>
                      <w:rFonts w:ascii="Cambria Math" w:hAnsi="Cambria Math"/>
                    </w:rPr>
                    <m:t xml:space="preserve">ℜ</m:t>
                  </m:r>
                  <m:sSub>
                    <m:e>
                      <m:r>
                        <w:rPr>
                          <w:rFonts w:ascii="Cambria Math" w:hAnsi="Cambria Math"/>
                        </w:rPr>
                        <m:t xml:space="preserve">c</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R</m:t>
                  </m:r>
                </m:e>
                <m:sub>
                  <m:r>
                    <w:rPr>
                      <w:rFonts w:ascii="Cambria Math" w:hAnsi="Cambria Math"/>
                    </w:rPr>
                    <m:t xml:space="preserve">of</m:t>
                  </m:r>
                  <m:sSub>
                    <m:e>
                      <m:r>
                        <w:rPr>
                          <w:rFonts w:ascii="Cambria Math" w:hAnsi="Cambria Math"/>
                        </w:rPr>
                        <m:t xml:space="preserve">f</m:t>
                      </m:r>
                    </m:e>
                    <m:sub>
                      <m:r>
                        <w:rPr>
                          <w:rFonts w:ascii="Cambria Math" w:hAnsi="Cambria Math"/>
                        </w:rPr>
                        <m:t xml:space="preserve">y</m:t>
                      </m:r>
                    </m:sub>
                  </m:sSub>
                </m:sub>
              </m:sSub>
            </m:oMath>
          </w:p>
        </w:tc>
        <w:tc>
          <w:tcPr>
            <w:tcW w:w="213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(34)</w:t>
            </w:r>
          </w:p>
        </w:tc>
      </w:tr>
    </w:tbl>
    <w:p>
      <w:pPr>
        <w:pStyle w:val="Normal"/>
        <w:spacing w:lineRule="auto" w:line="480" w:before="240" w:after="0"/>
        <w:jc w:val="both"/>
        <w:rPr/>
      </w:pPr>
      <w:r>
        <w:rPr>
          <w:rFonts w:eastAsia="Times New Roman" w:cs="Times New Roman" w:ascii="Times New Roman" w:hAnsi="Times New Roman"/>
          <w:highlight w:val="white"/>
        </w:rPr>
        <w:t>Then, t</w:t>
      </w:r>
      <w:r>
        <w:rPr>
          <w:rFonts w:eastAsia="Times New Roman" w:cs="Times New Roman" w:ascii="Times New Roman" w:hAnsi="Times New Roman"/>
          <w:sz w:val="24"/>
          <w:szCs w:val="24"/>
          <w:highlight w:val="white"/>
        </w:rPr>
        <w:t>he degree of water soil saturation in the grid cell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can be calculated:</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pP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sSub>
                    <m:e>
                      <m:r>
                        <w:rPr>
                          <w:rFonts w:ascii="Cambria Math" w:hAnsi="Cambria Math"/>
                        </w:rPr>
                        <m:t xml:space="preserve">H</m:t>
                      </m:r>
                    </m:e>
                    <m:sub>
                      <m:r>
                        <w:rPr>
                          <w:rFonts w:ascii="Cambria Math" w:hAnsi="Cambria Math"/>
                        </w:rPr>
                        <m:t xml:space="preserve">max</m:t>
                      </m:r>
                    </m:sub>
                  </m:sSub>
                </m:den>
              </m:f>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(35)</w:t>
            </w:r>
          </w:p>
        </w:tc>
      </w:tr>
    </w:tbl>
    <w:p>
      <w:pPr>
        <w:pStyle w:val="Normal"/>
        <w:spacing w:lineRule="auto" w:line="480" w:before="240" w:after="0"/>
        <w:rPr/>
      </w:pPr>
      <w:r>
        <w:rPr>
          <w:rFonts w:eastAsia="Times New Roman" w:cs="Times New Roman" w:ascii="Times New Roman" w:hAnsi="Times New Roman"/>
          <w:i/>
          <w:sz w:val="24"/>
          <w:szCs w:val="24"/>
          <w:highlight w:val="white"/>
        </w:rPr>
        <w:t>SI.1.9.2. Water stress</w:t>
      </w:r>
      <w:r>
        <w:rPr>
          <w:rFonts w:eastAsia="Times New Roman" w:cs="Times New Roman" w:ascii="Times New Roman" w:hAnsi="Times New Roman"/>
          <w:b/>
          <w:sz w:val="24"/>
          <w:szCs w:val="24"/>
          <w:highlight w:val="white"/>
        </w:rPr>
        <w:t xml:space="preserve"> </w:t>
        <w:tab/>
      </w:r>
      <w:r>
        <w:rPr>
          <w:rFonts w:eastAsia="Times New Roman" w:cs="Times New Roman" w:ascii="Times New Roman" w:hAnsi="Times New Roman"/>
          <w:sz w:val="24"/>
          <w:szCs w:val="24"/>
          <w:highlight w:val="white"/>
        </w:rPr>
        <w:tab/>
        <w:t xml:space="preserve"> </w:t>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In order to include the limitation of photosynthesis by water availability and to comprise a trade-off for the fine roots traits investment, we added to the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equation a water stress factor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This factor, is calculated in function of the ratio between the potential water supply for transpiration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eastAsia="Times New Roman" w:cs="Times New Roman" w:ascii="Times New Roman" w:hAnsi="Times New Roman"/>
          <w:sz w:val="24"/>
          <w:szCs w:val="24"/>
          <w:highlight w:val="white"/>
        </w:rPr>
        <w:t>) and the atmospheric demand for transpiration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Times New Roman" w:cs="Times New Roman" w:ascii="Times New Roman" w:hAnsi="Times New Roman"/>
          <w:sz w:val="24"/>
          <w:szCs w:val="24"/>
          <w:highlight w:val="white"/>
        </w:rPr>
        <w:t>). This approach is based on Pavlick et al. (2013).</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pP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sSub>
                        <m:e>
                          <m:r>
                            <w:rPr>
                              <w:rFonts w:ascii="Cambria Math" w:hAnsi="Cambria Math"/>
                            </w:rPr>
                            <m:t xml:space="preserve">L</m:t>
                          </m:r>
                        </m:e>
                        <m:sub>
                          <m:r>
                            <w:rPr>
                              <w:rFonts w:ascii="Cambria Math" w:hAnsi="Cambria Math"/>
                            </w:rPr>
                            <m:t xml:space="preserve">i</m:t>
                          </m:r>
                        </m:sub>
                      </m:sSub>
                    </m:num>
                    <m:den>
                      <m:sSub>
                        <m:e>
                          <m:r>
                            <w:rPr>
                              <w:rFonts w:ascii="Cambria Math" w:hAnsi="Cambria Math"/>
                            </w:rPr>
                            <m:t xml:space="preserve">D</m:t>
                          </m:r>
                        </m:e>
                        <m:sub>
                          <m:r>
                            <w:rPr>
                              <w:rFonts w:ascii="Cambria Math" w:hAnsi="Cambria Math"/>
                            </w:rPr>
                            <m:t xml:space="preserve">i</m:t>
                          </m:r>
                        </m:sub>
                      </m:sSub>
                    </m:den>
                  </m:f>
                </m:e>
              </m:d>
            </m:oMath>
          </w:p>
        </w:tc>
        <w:tc>
          <w:tcPr>
            <w:tcW w:w="301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(36)</w:t>
            </w:r>
          </w:p>
        </w:tc>
      </w:tr>
    </w:tbl>
    <w:p>
      <w:pPr>
        <w:pStyle w:val="Normal"/>
        <w:spacing w:lineRule="auto" w:line="480" w:before="240" w:after="0"/>
        <w:jc w:val="both"/>
        <w:rPr/>
      </w:pPr>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eastAsia="Times New Roman" w:cs="Times New Roman" w:ascii="Times New Roman" w:hAnsi="Times New Roman"/>
          <w:sz w:val="24"/>
          <w:szCs w:val="24"/>
          <w:highlight w:val="white"/>
        </w:rPr>
        <w:t>is a function of the carbon stock on fine roots compartment (</w:t>
      </w:r>
      <w:r>
        <w:rPr/>
      </w:r>
      <m:oMath xmlns:m="http://schemas.openxmlformats.org/officeDocument/2006/math">
        <m:sSub>
          <m:e>
            <m:r>
              <w:rPr>
                <w:rFonts w:ascii="Cambria Math" w:hAnsi="Cambria Math"/>
              </w:rPr>
              <m:t xml:space="preserve">C</m:t>
            </m:r>
          </m:e>
          <m:sub>
            <m:sSub>
              <m:e>
                <m:r>
                  <w:rPr>
                    <w:rFonts w:ascii="Cambria Math" w:hAnsi="Cambria Math"/>
                  </w:rPr>
                  <m:t xml:space="preserve">root</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multiplied by a constant water uptake capacity (</w:t>
      </w:r>
      <w:r>
        <w:rPr/>
      </w:r>
      <m:oMath xmlns:m="http://schemas.openxmlformats.org/officeDocument/2006/math">
        <m:sSub>
          <m:e>
            <m:r>
              <w:rPr>
                <w:rFonts w:ascii="Cambria Math" w:hAnsi="Cambria Math"/>
              </w:rPr>
              <m:t xml:space="preserve">c</m:t>
            </m:r>
          </m:e>
          <m:sub>
            <m:r>
              <w:rPr>
                <w:rFonts w:ascii="Cambria Math" w:hAnsi="Cambria Math"/>
              </w:rPr>
              <m:t xml:space="preserve">sru</m:t>
            </m:r>
          </m:sub>
        </m:sSub>
      </m:oMath>
      <w:r>
        <w:rPr>
          <w:rFonts w:eastAsia="Times New Roman" w:cs="Times New Roman" w:ascii="Times New Roman" w:hAnsi="Times New Roman"/>
          <w:sz w:val="24"/>
          <w:szCs w:val="24"/>
          <w:highlight w:val="white"/>
        </w:rPr>
        <w:t>) with a value of 0.0005 mmH</w:t>
      </w:r>
      <w:r>
        <w:rPr>
          <w:rFonts w:eastAsia="Times New Roman" w:cs="Times New Roman" w:ascii="Times New Roman" w:hAnsi="Times New Roman"/>
          <w:sz w:val="40"/>
          <w:szCs w:val="40"/>
          <w:highlight w:val="white"/>
          <w:vertAlign w:val="subscript"/>
        </w:rPr>
        <w:t>2</w:t>
      </w:r>
      <w:r>
        <w:rPr>
          <w:rFonts w:eastAsia="Times New Roman" w:cs="Times New Roman" w:ascii="Times New Roman" w:hAnsi="Times New Roman"/>
          <w:sz w:val="24"/>
          <w:szCs w:val="24"/>
          <w:highlight w:val="white"/>
        </w:rPr>
        <w:t>OkgC</w:t>
      </w:r>
      <w:r>
        <w:rPr>
          <w:rFonts w:eastAsia="Times New Roman" w:cs="Times New Roman" w:ascii="Times New Roman" w:hAnsi="Times New Roman"/>
          <w:sz w:val="40"/>
          <w:szCs w:val="40"/>
          <w:highlight w:val="white"/>
          <w:vertAlign w:val="superscript"/>
        </w:rPr>
        <w:t>-1</w:t>
      </w:r>
      <w:r>
        <w:rPr>
          <w:rFonts w:eastAsia="Times New Roman" w:cs="Times New Roman" w:ascii="Times New Roman" w:hAnsi="Times New Roman"/>
          <w:sz w:val="24"/>
          <w:szCs w:val="24"/>
          <w:highlight w:val="white"/>
        </w:rPr>
        <w:t>day</w:t>
      </w:r>
      <w:r>
        <w:rPr>
          <w:rFonts w:eastAsia="Times New Roman" w:cs="Times New Roman" w:ascii="Times New Roman" w:hAnsi="Times New Roman"/>
          <w:sz w:val="40"/>
          <w:szCs w:val="40"/>
          <w:highlight w:val="white"/>
          <w:vertAlign w:val="superscript"/>
        </w:rPr>
        <w:t>-1</w:t>
      </w:r>
      <w:r>
        <w:rPr>
          <w:rFonts w:eastAsia="Times New Roman" w:cs="Times New Roman" w:ascii="Times New Roman" w:hAnsi="Times New Roman"/>
          <w:sz w:val="24"/>
          <w:szCs w:val="24"/>
          <w:highlight w:val="white"/>
        </w:rPr>
        <w:t>, and by the degree of water soil saturation in the grid cell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It is important to highlight that the value for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is correspondent to that of the previous day.</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pBdr/>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sru</m:t>
                  </m:r>
                </m:sub>
              </m:sSub>
              <m:sSub>
                <m:e>
                  <m:r>
                    <w:rPr>
                      <w:rFonts w:ascii="Cambria Math" w:hAnsi="Cambria Math"/>
                    </w:rPr>
                    <m:t xml:space="preserve">C</m:t>
                  </m:r>
                </m:e>
                <m:sub>
                  <m:r>
                    <w:rPr>
                      <w:rFonts w:ascii="Cambria Math" w:hAnsi="Cambria Math"/>
                    </w:rPr>
                    <m:t xml:space="preserve">roo</m:t>
                  </m:r>
                  <m:sSub>
                    <m:e>
                      <m:r>
                        <w:rPr>
                          <w:rFonts w:ascii="Cambria Math" w:hAnsi="Cambria Math"/>
                        </w:rPr>
                        <m:t xml:space="preserve">t</m:t>
                      </m:r>
                    </m:e>
                    <m:sub>
                      <m:r>
                        <w:rPr>
                          <w:rFonts w:ascii="Cambria Math" w:hAnsi="Cambria Math"/>
                        </w:rPr>
                        <m:t xml:space="preserve">i</m:t>
                      </m:r>
                    </m:sub>
                  </m:sSub>
                </m:sub>
              </m:sSub>
              <m:sSub>
                <m:e>
                  <m:r>
                    <w:rPr>
                      <w:rFonts w:ascii="Cambria Math" w:hAnsi="Cambria Math"/>
                    </w:rPr>
                    <m:t xml:space="preserve">w</m:t>
                  </m:r>
                </m:e>
                <m:sub>
                  <m:r>
                    <w:rPr>
                      <w:rFonts w:ascii="Cambria Math" w:hAnsi="Cambria Math"/>
                    </w:rPr>
                    <m:t xml:space="preserve">sa</m:t>
                  </m:r>
                  <m:sSub>
                    <m:e>
                      <m:r>
                        <w:rPr>
                          <w:rFonts w:ascii="Cambria Math" w:hAnsi="Cambria Math"/>
                        </w:rPr>
                        <m:t xml:space="preserve">t</m:t>
                      </m:r>
                    </m:e>
                    <m:sub>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ub>
                  </m:sSub>
                </m:sub>
              </m:sSub>
            </m:oMath>
          </w:p>
        </w:tc>
        <w:tc>
          <w:tcPr>
            <w:tcW w:w="3010" w:type="dxa"/>
            <w:tcBorders/>
            <w:shd w:fill="auto" w:val="clear"/>
          </w:tcPr>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pBdr/>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(37)</w:t>
            </w:r>
          </w:p>
        </w:tc>
      </w:tr>
    </w:tbl>
    <w:p>
      <w:pPr>
        <w:pStyle w:val="Normal"/>
        <w:spacing w:lineRule="auto" w:line="480" w:before="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b/>
        <w:t xml:space="preserve"> </w:t>
        <w:tab/>
        <w:t xml:space="preserve"> </w:t>
      </w:r>
    </w:p>
    <w:p>
      <w:pPr>
        <w:pStyle w:val="Normal"/>
        <w:spacing w:lineRule="auto" w:line="480" w:before="40" w:after="0"/>
        <w:jc w:val="both"/>
        <w:rPr/>
      </w:pPr>
      <w:r>
        <w:rPr>
          <w:rFonts w:eastAsia="Times New Roman" w:cs="Times New Roman" w:ascii="Times New Roman" w:hAnsi="Times New Roman"/>
          <w:sz w:val="24"/>
          <w:szCs w:val="24"/>
          <w:highlight w:val="white"/>
        </w:rPr>
        <w:t xml:space="preserve">Following Gerten et al. (2004),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represents the condition of a “unstressed transpiration” which occurs when stomatal opening is not limited by reduced water potential in the plant:</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W w:w="9015" w:type="dxa"/>
        <w:jc w:val="left"/>
        <w:tblInd w:w="0" w:type="dxa"/>
        <w:tblBorders/>
        <w:tblCellMar>
          <w:top w:w="100" w:type="dxa"/>
          <w:left w:w="100" w:type="dxa"/>
          <w:bottom w:w="100" w:type="dxa"/>
          <w:right w:w="100" w:type="dxa"/>
        </w:tblCellMar>
      </w:tblPr>
      <w:tblGrid>
        <w:gridCol w:w="1395"/>
        <w:gridCol w:w="5730"/>
        <w:gridCol w:w="1890"/>
      </w:tblGrid>
      <w:tr>
        <w:trPr/>
        <w:tc>
          <w:tcPr>
            <w:tcW w:w="139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730" w:type="dxa"/>
            <w:tcBorders/>
            <w:shd w:fill="auto" w:val="clear"/>
          </w:tcPr>
          <w:p>
            <w:pPr>
              <w:pStyle w:val="Normal"/>
              <w:spacing w:lineRule="auto" w:line="240" w:before="240" w:after="0"/>
              <w:jc w:val="center"/>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sa</m:t>
                          </m:r>
                          <m:sSub>
                            <m:e>
                              <m:r>
                                <w:rPr>
                                  <w:rFonts w:ascii="Cambria Math" w:hAnsi="Cambria Math"/>
                                </w:rPr>
                                <m:t xml:space="preserve">t</m:t>
                              </m:r>
                            </m:e>
                            <m:sub>
                              <m:r>
                                <w:rPr>
                                  <w:rFonts w:ascii="Cambria Math" w:hAnsi="Cambria Math"/>
                                </w:rPr>
                                <m:t xml:space="preserve">y</m:t>
                              </m:r>
                            </m:sub>
                          </m:sSub>
                        </m:sub>
                      </m:sSub>
                    </m:e>
                  </m:d>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sub>
                  </m:sSub>
                  <m:f>
                    <m:fPr>
                      <m:type m:val="lin"/>
                    </m:fPr>
                    <m:num>
                      <m:sSub>
                        <m:e>
                          <m:r>
                            <w:rPr>
                              <w:rFonts w:ascii="Cambria Math" w:hAnsi="Cambria Math"/>
                            </w:rPr>
                            <m:t xml:space="preserve">γ</m:t>
                          </m:r>
                        </m:e>
                        <m:sub>
                          <m:r>
                            <w:rPr>
                              <w:rFonts w:ascii="Cambria Math" w:hAnsi="Cambria Math"/>
                            </w:rPr>
                            <m:t xml:space="preserve">m</m:t>
                          </m:r>
                        </m:sub>
                      </m:sSub>
                    </m:num>
                    <m:den>
                      <m:d>
                        <m:dPr>
                          <m:begChr m:val="("/>
                          <m:endChr m:val=")"/>
                        </m:dPr>
                        <m:e>
                          <m:r>
                            <w:rPr>
                              <w:rFonts w:ascii="Cambria Math" w:hAnsi="Cambria Math"/>
                            </w:rPr>
                            <m:t xml:space="preserve">1</m:t>
                          </m:r>
                          <m:r>
                            <w:rPr>
                              <w:rFonts w:ascii="Cambria Math" w:hAnsi="Cambria Math"/>
                            </w:rPr>
                            <m:t xml:space="preserve">+</m:t>
                          </m:r>
                          <m:f>
                            <m:fPr>
                              <m:type m:val="lin"/>
                            </m:fPr>
                            <m:num>
                              <m:sSub>
                                <m:e>
                                  <m:r>
                                    <w:rPr>
                                      <w:rFonts w:ascii="Cambria Math" w:hAnsi="Cambria Math"/>
                                    </w:rPr>
                                    <m:t xml:space="preserve">g</m:t>
                                  </m:r>
                                </m:e>
                                <m:sub>
                                  <m:r>
                                    <w:rPr>
                                      <w:rFonts w:ascii="Cambria Math" w:hAnsi="Cambria Math"/>
                                    </w:rPr>
                                    <m:t xml:space="preserve">m</m:t>
                                  </m:r>
                                </m:sub>
                              </m:sSub>
                            </m:num>
                            <m:den>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den>
                          </m:f>
                        </m:e>
                      </m:d>
                    </m:den>
                  </m:f>
                </m:e>
              </m:d>
            </m:oMath>
          </w:p>
        </w:tc>
        <w:tc>
          <w:tcPr>
            <w:tcW w:w="189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(38)</w:t>
            </w:r>
          </w:p>
        </w:tc>
      </w:tr>
    </w:tbl>
    <w:p>
      <w:pPr>
        <w:pStyle w:val="Normal"/>
        <w:spacing w:lineRule="auto" w:line="480" w:before="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jc w:val="both"/>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sub>
        </m:sSub>
      </m:oMath>
      <w:r>
        <w:rPr>
          <w:rFonts w:eastAsia="Times New Roman" w:cs="Times New Roman" w:ascii="Times New Roman" w:hAnsi="Times New Roman"/>
          <w:sz w:val="24"/>
          <w:szCs w:val="24"/>
          <w:highlight w:val="white"/>
        </w:rPr>
        <w:t xml:space="preserve">is the potential evapotranspiration (see Oyama &amp; Nobre, 2004); </w:t>
      </w:r>
      <w:r>
        <w:rPr/>
      </w:r>
      <m:oMath xmlns:m="http://schemas.openxmlformats.org/officeDocument/2006/math">
        <m:sSub>
          <m:e>
            <m:r>
              <w:rPr>
                <w:rFonts w:ascii="Cambria Math" w:hAnsi="Cambria Math"/>
              </w:rPr>
              <m:t xml:space="preserve">γ</m:t>
            </m:r>
          </m:e>
          <m:sub>
            <m:r>
              <w:rPr>
                <w:rFonts w:ascii="Cambria Math" w:hAnsi="Cambria Math"/>
              </w:rPr>
              <m:t xml:space="preserve">m</m:t>
            </m:r>
          </m:sub>
        </m:sSub>
      </m:oMath>
      <w:r>
        <w:rPr>
          <w:rFonts w:eastAsia="Times New Roman" w:cs="Times New Roman" w:ascii="Times New Roman" w:hAnsi="Times New Roman"/>
          <w:sz w:val="24"/>
          <w:szCs w:val="24"/>
          <w:highlight w:val="white"/>
        </w:rPr>
        <w:t xml:space="preserve">is a coefficient with fixed value equal to 1.391, </w:t>
      </w:r>
      <w:r>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rFonts w:eastAsia="Times New Roman" w:cs="Times New Roman" w:ascii="Times New Roman" w:hAnsi="Times New Roman"/>
          <w:sz w:val="24"/>
          <w:szCs w:val="24"/>
          <w:highlight w:val="white"/>
        </w:rPr>
        <w:t xml:space="preserve"> is the canopy scaling stomatal conductance and presents a value equal to 3.26 mms</w:t>
      </w:r>
      <w:r>
        <w:rPr>
          <w:rFonts w:eastAsia="Times New Roman" w:cs="Times New Roman" w:ascii="Times New Roman" w:hAnsi="Times New Roman"/>
          <w:sz w:val="24"/>
          <w:szCs w:val="24"/>
          <w:highlight w:val="white"/>
          <w:vertAlign w:val="superscript"/>
        </w:rPr>
        <w:t>-1</w:t>
      </w:r>
      <w:r>
        <w:rPr>
          <w:rFonts w:eastAsia="Times New Roman" w:cs="Times New Roman" w:ascii="Times New Roman" w:hAnsi="Times New Roman"/>
          <w:sz w:val="24"/>
          <w:szCs w:val="24"/>
          <w:highlight w:val="white"/>
        </w:rPr>
        <w:t>.</w:t>
      </w:r>
      <w:r>
        <w:rPr/>
      </w:r>
      <m:oMath xmlns:m="http://schemas.openxmlformats.org/officeDocument/2006/math">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canopy potential conductance when there is not water limitation and is calculated through minimum stomatal resistance (</w:t>
      </w:r>
      <w:r>
        <w:rPr/>
      </w:r>
      <m:oMath xmlns:m="http://schemas.openxmlformats.org/officeDocument/2006/math">
        <m:sSub>
          <m:e>
            <m:r>
              <w:rPr>
                <w:rFonts w:ascii="Cambria Math" w:hAnsi="Cambria Math"/>
              </w:rPr>
              <m:t xml:space="preserve">rc</m:t>
            </m:r>
          </m:e>
          <m:sub>
            <m:r>
              <w:rPr>
                <w:rFonts w:ascii="Cambria Math" w:hAnsi="Cambria Math"/>
              </w:rPr>
              <m:t xml:space="preserve">min</m:t>
            </m:r>
          </m:sub>
        </m:sSub>
      </m:oMath>
      <w:r>
        <w:rPr>
          <w:rFonts w:eastAsia="Times New Roman" w:cs="Times New Roman" w:ascii="Times New Roman" w:hAnsi="Times New Roman"/>
          <w:sz w:val="24"/>
          <w:szCs w:val="24"/>
          <w:highlight w:val="white"/>
        </w:rPr>
        <w:t>) with a value equal to 100:</w:t>
      </w:r>
    </w:p>
    <w:tbl>
      <w:tblPr>
        <w:tblW w:w="9029" w:type="dxa"/>
        <w:jc w:val="left"/>
        <w:tblInd w:w="0" w:type="dxa"/>
        <w:tblBorders/>
        <w:tblCellMar>
          <w:top w:w="100" w:type="dxa"/>
          <w:left w:w="100" w:type="dxa"/>
          <w:bottom w:w="100" w:type="dxa"/>
          <w:right w:w="100" w:type="dxa"/>
        </w:tblCellMar>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pPr>
            <w:r>
              <w:rPr/>
            </w:r>
            <m:oMath xmlns:m="http://schemas.openxmlformats.org/officeDocument/2006/math">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r</m:t>
                  </m:r>
                </m:den>
              </m:f>
              <m:sSub>
                <m:e>
                  <m:r>
                    <w:rPr>
                      <w:rFonts w:ascii="Cambria Math" w:hAnsi="Cambria Math"/>
                    </w:rPr>
                    <m:t xml:space="preserve">c</m:t>
                  </m:r>
                </m:e>
                <m:sub>
                  <m:r>
                    <w:rPr>
                      <w:rFonts w:ascii="Cambria Math" w:hAnsi="Cambria Math"/>
                    </w:rPr>
                    <m:t xml:space="preserve">min</m:t>
                  </m:r>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(39)</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SI.1.10. Functional traits and trade-offs</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Each functional trait used in this study is related to at least one trade-off (the trade-offs associated to each functional trait are described in Table SI.1), which is a cost and benefit relation that impacts the ecophysiological process of a plant life strategy (i.e., a specific combination of functional traits), and, therefore, after all, determines its performance (its relative abundance in a grid cell; see section SI.1.1.b), and whether this strategy will be able to deal with the environmental conditions (Pavlick et al., 2013; Reu et al., 2011).</w:t>
      </w:r>
    </w:p>
    <w:p>
      <w:pPr>
        <w:pStyle w:val="Normal"/>
        <w:spacing w:lineRule="auto" w:line="480"/>
        <w:jc w:val="both"/>
        <w:rPr/>
      </w:pPr>
      <w:r>
        <w:rPr>
          <w:rFonts w:eastAsia="Times New Roman" w:cs="Times New Roman" w:ascii="Times New Roman" w:hAnsi="Times New Roman"/>
          <w:sz w:val="24"/>
          <w:szCs w:val="24"/>
          <w:highlight w:val="white"/>
        </w:rPr>
        <w:t>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25-27). Then, for example, investing carbon in leaves can increase photosynthesis rate by increasing solar radiation absorption  (Eq. 21 and 22), however, such investment is at the expense of investing in fine roots, for example, which is responsible for water uptake, also a limiting resource for photosynthesis (Eq. 36). Therefore, in a given environmental condition, some traits combinations will be favored from a balance between the costs and benefits of investing carbon in each compartment, maximizing survivorship and performance.</w:t>
      </w:r>
      <w:r>
        <w:rPr>
          <w:highlight w:val="white"/>
        </w:rPr>
        <w:t xml:space="preserve"> </w:t>
      </w:r>
    </w:p>
    <w:p>
      <w:pPr>
        <w:pStyle w:val="Normal"/>
        <w:spacing w:lineRule="auto" w:line="480"/>
        <w:jc w:val="both"/>
        <w:rPr>
          <w:highlight w:val="white"/>
        </w:rPr>
      </w:pPr>
      <w:r>
        <w:rPr>
          <w:highlight w:val="white"/>
        </w:rPr>
      </w:r>
    </w:p>
    <w:p>
      <w:pPr>
        <w:pStyle w:val="Ttulo1"/>
        <w:keepNext w:val="false"/>
        <w:keepLines w:val="false"/>
        <w:spacing w:lineRule="auto" w:line="240" w:before="0" w:after="120"/>
        <w:jc w:val="both"/>
        <w:rPr/>
      </w:pPr>
      <w:bookmarkStart w:id="4" w:name="_qmh8glfbdmex"/>
      <w:bookmarkEnd w:id="4"/>
      <w:r>
        <w:rPr>
          <w:rFonts w:eastAsia="Times New Roman" w:cs="Times New Roman" w:ascii="Times New Roman" w:hAnsi="Times New Roman"/>
          <w:sz w:val="24"/>
          <w:szCs w:val="24"/>
          <w:highlight w:val="white"/>
        </w:rPr>
        <w:t xml:space="preserve">Supporting information SI.2 - </w:t>
      </w:r>
      <w:r>
        <w:rPr>
          <w:rFonts w:eastAsia="Times New Roman" w:cs="Times New Roman" w:ascii="Times New Roman" w:hAnsi="Times New Roman"/>
          <w:b/>
          <w:sz w:val="24"/>
          <w:szCs w:val="24"/>
          <w:highlight w:val="white"/>
        </w:rPr>
        <w:t>Sensitivity test for the number of sampled PLSs</w:t>
      </w:r>
      <w:r>
        <w:rPr>
          <w:rFonts w:eastAsia="Times New Roman" w:cs="Times New Roman" w:ascii="Times New Roman" w:hAnsi="Times New Roman"/>
          <w:highlight w:val="white"/>
        </w:rPr>
        <w:t xml:space="preserve"> </w:t>
        <w:tab/>
        <w:t xml:space="preserve"> </w:t>
      </w:r>
    </w:p>
    <w:p>
      <w:pPr>
        <w:pStyle w:val="Ttulo1"/>
        <w:keepNext w:val="false"/>
        <w:keepLines w:val="false"/>
        <w:spacing w:lineRule="auto" w:line="480" w:before="0" w:after="0"/>
        <w:jc w:val="both"/>
        <w:rPr/>
      </w:pPr>
      <w:bookmarkStart w:id="5" w:name="_5q5lp8jwpdcw"/>
      <w:bookmarkEnd w:id="5"/>
      <w:r>
        <w:rPr>
          <w:rFonts w:eastAsia="Times New Roman" w:cs="Times New Roman" w:ascii="Times New Roman" w:hAnsi="Times New Roman"/>
          <w:sz w:val="24"/>
          <w:szCs w:val="24"/>
          <w:highlight w:val="white"/>
        </w:rPr>
        <w:t>After creating the potential functional space with more than 10</w:t>
      </w:r>
      <w:r>
        <w:rPr>
          <w:rFonts w:eastAsia="Times New Roman" w:cs="Times New Roman" w:ascii="Times New Roman" w:hAnsi="Times New Roman"/>
          <w:highlight w:val="white"/>
          <w:vertAlign w:val="superscript"/>
        </w:rPr>
        <w:t xml:space="preserve">5 </w:t>
      </w:r>
      <w:r>
        <w:rPr>
          <w:rFonts w:eastAsia="Times New Roman" w:cs="Times New Roman" w:ascii="Times New Roman" w:hAnsi="Times New Roman"/>
          <w:sz w:val="24"/>
          <w:szCs w:val="24"/>
          <w:highlight w:val="white"/>
        </w:rPr>
        <w:t>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To explore the sensitivity of the model for the number of sampled PLSs we assessed the mean values and the variance in each of the 10 runs for the 6 ensembles for total plant carbon storage and for all the six functional traits (Fig. SI.3). With this strategy we seeked to understand how the mean and the variances change between the runs for each ensemble of PLS numbers.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As expected, it is notable that the number of PLSs sampled from all the possible combinations presents a meaningful influence on estimating the mean value and variance between the runs, both for the total plant carbon stock and the functional traits. We observed that as more PLSs are sampled, the greater the convergence in the mean values (orange ticks on Fig. SI.3) and in the variance between the 10 runs. These results emerge from the fact that the increase in the number of sampled PLSs improves the ability in representing the total traits combinations in the potential functional space.</w:t>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Supporting information SI.3 - </w:t>
      </w:r>
      <w:r>
        <w:rPr>
          <w:rFonts w:eastAsia="Times New Roman" w:cs="Times New Roman" w:ascii="Times New Roman" w:hAnsi="Times New Roman"/>
          <w:b/>
          <w:sz w:val="24"/>
          <w:szCs w:val="24"/>
          <w:highlight w:val="white"/>
        </w:rPr>
        <w:t>Building hypervolumes</w:t>
      </w:r>
    </w:p>
    <w:p>
      <w:pPr>
        <w:pStyle w:val="Normal"/>
        <w:spacing w:lineRule="auto" w:line="480"/>
        <w:jc w:val="both"/>
        <w:rPr/>
      </w:pPr>
      <w:r>
        <w:rPr>
          <w:rFonts w:eastAsia="Times New Roman" w:cs="Times New Roman" w:ascii="Times New Roman" w:hAnsi="Times New Roman"/>
          <w:sz w:val="24"/>
          <w:szCs w:val="24"/>
          <w:highlight w:val="white"/>
        </w:rPr>
        <w:t xml:space="preserve">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SI.4) and selected to perform the hypervolumes the factor scores of the first three orthogonal principal components PCs which retained a cumulative variance explanation &gt; 95% (Table SI.7; Barros et al., 2016). Since our interest was to assess differences in the hypervolumes with the applied low precipitation scenario, the PCA was calculated using regular climate and low precipitation datasets together (Barros et al., 2016). After that, separate hypervolumes were calculated from the factor scores corresponding to each dataset (Fig. 4 and SI.7). </w:t>
      </w:r>
    </w:p>
    <w:p>
      <w:pPr>
        <w:pStyle w:val="Normal"/>
        <w:spacing w:lineRule="auto" w:line="480"/>
        <w:jc w:val="both"/>
        <w:rPr/>
      </w:pPr>
      <w:r>
        <w:rPr>
          <w:rFonts w:eastAsia="Times New Roman" w:cs="Times New Roman" w:ascii="Times New Roman" w:hAnsi="Times New Roman"/>
          <w:b/>
          <w:sz w:val="24"/>
          <w:szCs w:val="24"/>
          <w:highlight w:val="white"/>
        </w:rPr>
        <w:t>References</w:t>
      </w:r>
      <w:r>
        <w:rPr>
          <w:rFonts w:eastAsia="Times New Roman" w:cs="Times New Roman" w:ascii="Times New Roman" w:hAnsi="Times New Roman"/>
          <w:sz w:val="24"/>
          <w:szCs w:val="24"/>
          <w:highlight w:val="white"/>
        </w:rPr>
        <w:tab/>
        <w:t xml:space="preserve"> </w:t>
        <w:tab/>
        <w:t xml:space="preserve"> </w:t>
        <w:tab/>
        <w:t xml:space="preserve"> </w:t>
        <w:tab/>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Barros, C., Thuiller, W., Georges, D., Boulangeat, I., &amp; Münkemüller, T. (2016). N-dimensional hypervolumes to study stability of complex ecosystems. </w:t>
      </w:r>
      <w:r>
        <w:rPr>
          <w:rFonts w:eastAsia="Times New Roman" w:cs="Times New Roman" w:ascii="Times New Roman" w:hAnsi="Times New Roman"/>
          <w:i/>
          <w:sz w:val="24"/>
          <w:szCs w:val="24"/>
          <w:highlight w:val="white"/>
        </w:rPr>
        <w:t>Ecology Letters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19</w:t>
      </w:r>
      <w:r>
        <w:rPr>
          <w:rFonts w:eastAsia="Times New Roman" w:cs="Times New Roman" w:ascii="Times New Roman" w:hAnsi="Times New Roman"/>
          <w:sz w:val="24"/>
          <w:szCs w:val="24"/>
          <w:highlight w:val="white"/>
        </w:rPr>
        <w:t>(7), 729–742. https://doi.org/10.1111/ele.12617</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Blonder, B., Lamanna, C., Violle, C., &amp; Enquist, B. J. (2014). The n-dimensional hypervolume. </w:t>
      </w:r>
      <w:r>
        <w:rPr>
          <w:rFonts w:eastAsia="Times New Roman" w:cs="Times New Roman" w:ascii="Times New Roman" w:hAnsi="Times New Roman"/>
          <w:i/>
          <w:sz w:val="24"/>
          <w:szCs w:val="24"/>
          <w:highlight w:val="white"/>
        </w:rPr>
        <w:t>Global Ecology and Biogeography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23</w:t>
      </w:r>
      <w:r>
        <w:rPr>
          <w:rFonts w:eastAsia="Times New Roman" w:cs="Times New Roman" w:ascii="Times New Roman" w:hAnsi="Times New Roman"/>
          <w:sz w:val="24"/>
          <w:szCs w:val="24"/>
          <w:highlight w:val="white"/>
        </w:rPr>
        <w:t>(5), 595–609. https://doi.org/10.1111/geb.12146</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De Pury, D. G. G., &amp; Farquhar, G. D. (1997). Simple scaling of photosynthesis from leaves to canopies without the errors of big-leaf models. </w:t>
      </w:r>
      <w:r>
        <w:rPr>
          <w:rFonts w:eastAsia="Times New Roman" w:cs="Times New Roman" w:ascii="Times New Roman" w:hAnsi="Times New Roman"/>
          <w:i/>
          <w:sz w:val="24"/>
          <w:szCs w:val="24"/>
          <w:highlight w:val="white"/>
        </w:rPr>
        <w:t>Plant, Cell and Environment</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20</w:t>
      </w:r>
      <w:r>
        <w:rPr>
          <w:rFonts w:eastAsia="Times New Roman" w:cs="Times New Roman" w:ascii="Times New Roman" w:hAnsi="Times New Roman"/>
          <w:sz w:val="24"/>
          <w:szCs w:val="24"/>
          <w:highlight w:val="white"/>
        </w:rPr>
        <w:t>(5), 537–557. https://doi.org/10.1111/j.1365-3040.1997.00094.x</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Farquhar, G. D., Caemmerer, S. Von, &amp; Berry, J. a. (1980). A biochemical model of photosynthetic CO2 assimilation in leaves of C3 species. </w:t>
      </w:r>
      <w:r>
        <w:rPr>
          <w:rFonts w:eastAsia="Times New Roman" w:cs="Times New Roman" w:ascii="Times New Roman" w:hAnsi="Times New Roman"/>
          <w:i/>
          <w:sz w:val="24"/>
          <w:szCs w:val="24"/>
          <w:highlight w:val="white"/>
        </w:rPr>
        <w:t>Planta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90</w:t>
      </w:r>
      <w:r>
        <w:rPr>
          <w:rFonts w:eastAsia="Times New Roman" w:cs="Times New Roman" w:ascii="Times New Roman" w:hAnsi="Times New Roman"/>
          <w:sz w:val="24"/>
          <w:szCs w:val="24"/>
          <w:highlight w:val="white"/>
        </w:rPr>
        <w:t>, 78–90. https://doi.org/10.1007/BF00386231</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Gerten, D., Schaphoff, S., Haberlandt, U., Lucht, W., &amp; Sitch, S. (2004). Terrestrial vegetation and water balance - Hydrological evaluation of a dynamic global vegetation model. </w:t>
      </w:r>
      <w:r>
        <w:rPr>
          <w:rFonts w:eastAsia="Times New Roman" w:cs="Times New Roman" w:ascii="Times New Roman" w:hAnsi="Times New Roman"/>
          <w:i/>
          <w:sz w:val="24"/>
          <w:szCs w:val="24"/>
          <w:highlight w:val="white"/>
        </w:rPr>
        <w:t>Journal of Hydrology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286</w:t>
      </w:r>
      <w:r>
        <w:rPr>
          <w:rFonts w:eastAsia="Times New Roman" w:cs="Times New Roman" w:ascii="Times New Roman" w:hAnsi="Times New Roman"/>
          <w:sz w:val="24"/>
          <w:szCs w:val="24"/>
          <w:highlight w:val="white"/>
        </w:rPr>
        <w:t>(1–4), 249–270. https://doi.org/10.1016/j.jhydrol.2003.09.029</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Grime, J. P. (1998). Benefits of plant diversity to ecosystems: Immediate, filter and founder effects. </w:t>
      </w:r>
      <w:r>
        <w:rPr>
          <w:rFonts w:eastAsia="Times New Roman" w:cs="Times New Roman" w:ascii="Times New Roman" w:hAnsi="Times New Roman"/>
          <w:i/>
          <w:sz w:val="24"/>
          <w:szCs w:val="24"/>
          <w:highlight w:val="white"/>
        </w:rPr>
        <w:t>Journal of Ecology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86</w:t>
      </w:r>
      <w:r>
        <w:rPr>
          <w:rFonts w:eastAsia="Times New Roman" w:cs="Times New Roman" w:ascii="Times New Roman" w:hAnsi="Times New Roman"/>
          <w:sz w:val="24"/>
          <w:szCs w:val="24"/>
          <w:highlight w:val="white"/>
        </w:rPr>
        <w:t>(6), 902–910. https://doi.org/10.1046/j.1365-2745.1998.00306.x</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Lapola, D. M., Oyama, M. D., &amp; Nobre, C. A. (2009). Exploring the range of climate biome projections for tropical South America: The role of CO2 fertilization and seasonality. </w:t>
      </w:r>
      <w:r>
        <w:rPr>
          <w:rFonts w:eastAsia="Times New Roman" w:cs="Times New Roman" w:ascii="Times New Roman" w:hAnsi="Times New Roman"/>
          <w:i/>
          <w:sz w:val="24"/>
          <w:szCs w:val="24"/>
          <w:highlight w:val="white"/>
        </w:rPr>
        <w:t>Global Biogeochemical Cycles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23</w:t>
      </w:r>
      <w:r>
        <w:rPr>
          <w:rFonts w:eastAsia="Times New Roman" w:cs="Times New Roman" w:ascii="Times New Roman" w:hAnsi="Times New Roman"/>
          <w:sz w:val="24"/>
          <w:szCs w:val="24"/>
          <w:highlight w:val="white"/>
        </w:rPr>
        <w:t>(3), 1–22. https://doi.org/10.1029/2008GB003357</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Levis, S., Bonan, G. B., Vertenstein, M., &amp; Oleson, K. W. (2004). The Community Land Model’s Dynamic Global Vegetation Model (CLM-DGVM). </w:t>
      </w:r>
      <w:r>
        <w:rPr>
          <w:rFonts w:eastAsia="Times New Roman" w:cs="Times New Roman" w:ascii="Times New Roman" w:hAnsi="Times New Roman"/>
          <w:i/>
          <w:sz w:val="24"/>
          <w:szCs w:val="24"/>
          <w:highlight w:val="white"/>
        </w:rPr>
        <w:t>Ncar/Tn-459+Ia</w:t>
      </w:r>
      <w:r>
        <w:rPr>
          <w:rFonts w:eastAsia="Times New Roman" w:cs="Times New Roman" w:ascii="Times New Roman" w:hAnsi="Times New Roman"/>
          <w:sz w:val="24"/>
          <w:szCs w:val="24"/>
          <w:highlight w:val="white"/>
        </w:rPr>
        <w:t xml:space="preserve">, 50. </w:t>
      </w:r>
      <w:hyperlink r:id="rId2">
        <w:r>
          <w:rPr>
            <w:rStyle w:val="ListLabel10"/>
            <w:rFonts w:eastAsia="Times New Roman" w:cs="Times New Roman" w:ascii="Times New Roman" w:hAnsi="Times New Roman"/>
            <w:color w:val="1155CC"/>
            <w:sz w:val="24"/>
            <w:szCs w:val="24"/>
            <w:highlight w:val="white"/>
            <w:u w:val="single"/>
          </w:rPr>
          <w:t>https://doi.org/10.5065/D6P26W36</w:t>
        </w:r>
      </w:hyperlink>
    </w:p>
    <w:p>
      <w:pPr>
        <w:pStyle w:val="Normal"/>
        <w:spacing w:lineRule="auto" w:line="288" w:before="240" w:after="140"/>
        <w:ind w:left="480" w:right="0" w:hanging="480"/>
        <w:rPr/>
      </w:pPr>
      <w:r>
        <w:rPr>
          <w:rFonts w:eastAsia="Times New Roman" w:cs="Times New Roman" w:ascii="Times New Roman" w:hAnsi="Times New Roman"/>
          <w:sz w:val="24"/>
          <w:szCs w:val="24"/>
          <w:highlight w:val="white"/>
        </w:rPr>
        <w:t xml:space="preserve">McGee, M. (2020, March 2). </w:t>
      </w:r>
      <w:r>
        <w:rPr>
          <w:rFonts w:eastAsia="Times New Roman" w:cs="Times New Roman" w:ascii="Times New Roman" w:hAnsi="Times New Roman"/>
          <w:i/>
          <w:sz w:val="24"/>
          <w:szCs w:val="24"/>
          <w:highlight w:val="white"/>
        </w:rPr>
        <w:t xml:space="preserve">Monthly CO2. </w:t>
      </w:r>
      <w:r>
        <w:rPr>
          <w:rFonts w:eastAsia="Times New Roman" w:cs="Times New Roman" w:ascii="Times New Roman" w:hAnsi="Times New Roman"/>
          <w:sz w:val="24"/>
          <w:szCs w:val="24"/>
          <w:highlight w:val="white"/>
        </w:rPr>
        <w:t>CO2.Earth. https://www.co2.earth/monthly-co2</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Medlyn, B. E., Duursma, R. A., Eamus, D., Ellsworth, D. S., Prentice, I. C., Barton, C. V. M., … Wingate, L. (2011). Reconciling the optimal and empirical approaches to modelling stomatal conductance. </w:t>
      </w:r>
      <w:r>
        <w:rPr>
          <w:rFonts w:eastAsia="Times New Roman" w:cs="Times New Roman" w:ascii="Times New Roman" w:hAnsi="Times New Roman"/>
          <w:i/>
          <w:sz w:val="24"/>
          <w:szCs w:val="24"/>
          <w:highlight w:val="white"/>
        </w:rPr>
        <w:t>Global Change Biology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17</w:t>
      </w:r>
      <w:r>
        <w:rPr>
          <w:rFonts w:eastAsia="Times New Roman" w:cs="Times New Roman" w:ascii="Times New Roman" w:hAnsi="Times New Roman"/>
          <w:sz w:val="24"/>
          <w:szCs w:val="24"/>
          <w:highlight w:val="white"/>
        </w:rPr>
        <w:t>(6), 2134–2144. https://doi.org/10.1111/j.1365-2486.2010.02375.x</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Oyama, M. D., &amp; Nobre, C. a. (2004). A simple potential vegetation model for coupling with the Simple Biosphere Model (SiB). </w:t>
      </w:r>
      <w:r>
        <w:rPr>
          <w:rFonts w:eastAsia="Times New Roman" w:cs="Times New Roman" w:ascii="Times New Roman" w:hAnsi="Times New Roman"/>
          <w:i/>
          <w:sz w:val="24"/>
          <w:szCs w:val="24"/>
          <w:highlight w:val="white"/>
        </w:rPr>
        <w:t>Rev. Bras. Meteorol.</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19</w:t>
      </w:r>
      <w:r>
        <w:rPr>
          <w:rFonts w:eastAsia="Times New Roman" w:cs="Times New Roman" w:ascii="Times New Roman" w:hAnsi="Times New Roman"/>
          <w:sz w:val="24"/>
          <w:szCs w:val="24"/>
          <w:highlight w:val="white"/>
        </w:rPr>
        <w:t>, 203–216.</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Pavlick, R., Drewry, D. T., Bohn, K., Reu, B., &amp; Kleidon, A. (2013). The Jena Diversity-Dynamic Global Vegetation Model (JeDi-DGVM): a diverse approach to representing terrestrial biogeography and biogeochemistry based on plant functional trade-offs. </w:t>
      </w:r>
      <w:r>
        <w:rPr>
          <w:rFonts w:eastAsia="Times New Roman" w:cs="Times New Roman" w:ascii="Times New Roman" w:hAnsi="Times New Roman"/>
          <w:i/>
          <w:sz w:val="24"/>
          <w:szCs w:val="24"/>
          <w:highlight w:val="white"/>
        </w:rPr>
        <w:t>Biogeosciences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10</w:t>
      </w:r>
      <w:r>
        <w:rPr>
          <w:rFonts w:eastAsia="Times New Roman" w:cs="Times New Roman" w:ascii="Times New Roman" w:hAnsi="Times New Roman"/>
          <w:sz w:val="24"/>
          <w:szCs w:val="24"/>
          <w:highlight w:val="white"/>
        </w:rPr>
        <w:t>(6), 4137–4177. https://doi.org/10.5194/bg-10-4137-2013</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Reich, P B, Walters, M. B., &amp; Ellsworth, D. S. (1997). From tropics to tundra: global convergence in plant functioning. </w:t>
      </w:r>
      <w:r>
        <w:rPr>
          <w:rFonts w:eastAsia="Times New Roman" w:cs="Times New Roman" w:ascii="Times New Roman" w:hAnsi="Times New Roman"/>
          <w:i/>
          <w:sz w:val="24"/>
          <w:szCs w:val="24"/>
          <w:highlight w:val="white"/>
        </w:rPr>
        <w:t>Proceedings of the National Academy of Sciences of the United States of America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94</w:t>
      </w:r>
      <w:r>
        <w:rPr>
          <w:rFonts w:eastAsia="Times New Roman" w:cs="Times New Roman" w:ascii="Times New Roman" w:hAnsi="Times New Roman"/>
          <w:sz w:val="24"/>
          <w:szCs w:val="24"/>
          <w:highlight w:val="white"/>
        </w:rPr>
        <w:t>(25), 13730–13734. https://doi.org/10.1073/pnas.94.25.13730</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Reich, Peter B. (2014). The world-wide “fast-slow” plant economics spectrum: A traits manifesto. </w:t>
      </w:r>
      <w:r>
        <w:rPr>
          <w:rFonts w:eastAsia="Times New Roman" w:cs="Times New Roman" w:ascii="Times New Roman" w:hAnsi="Times New Roman"/>
          <w:i/>
          <w:sz w:val="24"/>
          <w:szCs w:val="24"/>
          <w:highlight w:val="white"/>
        </w:rPr>
        <w:t>Journal of Ecology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102</w:t>
      </w:r>
      <w:r>
        <w:rPr>
          <w:rFonts w:eastAsia="Times New Roman" w:cs="Times New Roman" w:ascii="Times New Roman" w:hAnsi="Times New Roman"/>
          <w:sz w:val="24"/>
          <w:szCs w:val="24"/>
          <w:highlight w:val="white"/>
        </w:rPr>
        <w:t>(2), 275–301. https://doi.org/10.1111/1365-2745.12211</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Reu, B., Proulx, R., Bohn, K., Dyke, J. G., Kleidon, A., Pavlick, R., &amp; Schmidtlein, S. (2011). The role of climate and plant functional trade-offs in shaping global biome and biodiversity patterns. </w:t>
      </w:r>
      <w:r>
        <w:rPr>
          <w:rFonts w:eastAsia="Times New Roman" w:cs="Times New Roman" w:ascii="Times New Roman" w:hAnsi="Times New Roman"/>
          <w:i/>
          <w:sz w:val="24"/>
          <w:szCs w:val="24"/>
          <w:highlight w:val="white"/>
        </w:rPr>
        <w:t>Global Ecology and Biogeography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20</w:t>
      </w:r>
      <w:r>
        <w:rPr>
          <w:rFonts w:eastAsia="Times New Roman" w:cs="Times New Roman" w:ascii="Times New Roman" w:hAnsi="Times New Roman"/>
          <w:sz w:val="24"/>
          <w:szCs w:val="24"/>
          <w:highlight w:val="white"/>
        </w:rPr>
        <w:t>(4), 570–581. https://doi.org/10.1111/j.1466-8238.2010.00621.x</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Ryan, M. G. (1991a). A simple method for estimating gross carbon budgets for vegetation in forest ecosystems. </w:t>
      </w:r>
      <w:r>
        <w:rPr>
          <w:rFonts w:eastAsia="Times New Roman" w:cs="Times New Roman" w:ascii="Times New Roman" w:hAnsi="Times New Roman"/>
          <w:i/>
          <w:sz w:val="24"/>
          <w:szCs w:val="24"/>
          <w:highlight w:val="white"/>
        </w:rPr>
        <w:t>Tree Physiology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w:t>
      </w:r>
      <w:r>
        <w:rPr>
          <w:rFonts w:eastAsia="Times New Roman" w:cs="Times New Roman" w:ascii="Times New Roman" w:hAnsi="Times New Roman"/>
          <w:sz w:val="24"/>
          <w:szCs w:val="24"/>
          <w:highlight w:val="white"/>
        </w:rPr>
        <w:t>(1_2), 255–266. https://doi.org/10.1093/treephys/9.1-2.255</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Ryan, M. G. (1991b). Effects of Climate Change on Plant Respiration, </w:t>
      </w:r>
      <w:r>
        <w:rPr>
          <w:rFonts w:eastAsia="Times New Roman" w:cs="Times New Roman" w:ascii="Times New Roman" w:hAnsi="Times New Roman"/>
          <w:i/>
          <w:sz w:val="24"/>
          <w:szCs w:val="24"/>
          <w:highlight w:val="white"/>
        </w:rPr>
        <w:t>1</w:t>
      </w:r>
      <w:r>
        <w:rPr>
          <w:rFonts w:eastAsia="Times New Roman" w:cs="Times New Roman" w:ascii="Times New Roman" w:hAnsi="Times New Roman"/>
          <w:sz w:val="24"/>
          <w:szCs w:val="24"/>
          <w:highlight w:val="white"/>
        </w:rPr>
        <w:t>(2), 157–167.</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Scheiter, S., Langan, L., &amp; Higgins, S. I. (2013). Next-generation dynamic global vegetation models: learning from community ecology. </w:t>
      </w:r>
      <w:r>
        <w:rPr>
          <w:rFonts w:eastAsia="Times New Roman" w:cs="Times New Roman" w:ascii="Times New Roman" w:hAnsi="Times New Roman"/>
          <w:i/>
          <w:sz w:val="24"/>
          <w:szCs w:val="24"/>
          <w:highlight w:val="white"/>
        </w:rPr>
        <w:t>The New Phytologist</w:t>
      </w:r>
      <w:r>
        <w:rPr>
          <w:rFonts w:eastAsia="Times New Roman" w:cs="Times New Roman" w:ascii="Times New Roman" w:hAnsi="Times New Roman"/>
          <w:sz w:val="24"/>
          <w:szCs w:val="24"/>
          <w:highlight w:val="white"/>
        </w:rPr>
        <w:t>. https://doi.org/10.1111/nph.12210</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Sitch, S., Smith, B., Prentice, I. C., Arneth, A., Bondeau, A., Cramer, W., … Venevsky, S. (2003). Evaluation of ecosystem dynamics, plant geography and terrestrial carbon cycling in the LPJ dynamic global vegetation model. </w:t>
      </w:r>
      <w:r>
        <w:rPr>
          <w:rFonts w:eastAsia="Times New Roman" w:cs="Times New Roman" w:ascii="Times New Roman" w:hAnsi="Times New Roman"/>
          <w:i/>
          <w:sz w:val="24"/>
          <w:szCs w:val="24"/>
          <w:highlight w:val="white"/>
        </w:rPr>
        <w:t>Global Change Biology</w:t>
      </w:r>
      <w:r>
        <w:rPr>
          <w:rFonts w:eastAsia="Times New Roman" w:cs="Times New Roman" w:ascii="Times New Roman" w:hAnsi="Times New Roman"/>
          <w:sz w:val="24"/>
          <w:szCs w:val="24"/>
          <w:highlight w:val="white"/>
        </w:rPr>
        <w:t>. https://doi.org/10.1046/j.1365-2486.2003.00569.x</w:t>
      </w:r>
    </w:p>
    <w:p>
      <w:pPr>
        <w:pStyle w:val="Normal"/>
        <w:spacing w:lineRule="auto" w:line="288" w:before="240" w:after="140"/>
        <w:ind w:left="480" w:right="0" w:hanging="480"/>
        <w:jc w:val="both"/>
        <w:rPr/>
      </w:pPr>
      <w:r>
        <w:rPr>
          <w:rFonts w:eastAsia="Times New Roman" w:cs="Times New Roman" w:ascii="Times New Roman" w:hAnsi="Times New Roman"/>
          <w:sz w:val="24"/>
          <w:szCs w:val="24"/>
          <w:highlight w:val="white"/>
        </w:rPr>
        <w:t xml:space="preserve">Warszawski, L., Frieler, K., Huber, V., Piontek, F., Serdeczny, O., &amp; Schewe, J. (2014). The inter-sectoral impact model intercomparison project (ISI-MIP): Project framework. </w:t>
      </w:r>
      <w:r>
        <w:rPr>
          <w:rFonts w:eastAsia="Times New Roman" w:cs="Times New Roman" w:ascii="Times New Roman" w:hAnsi="Times New Roman"/>
          <w:i/>
          <w:sz w:val="24"/>
          <w:szCs w:val="24"/>
          <w:highlight w:val="white"/>
        </w:rPr>
        <w:t>Proceedings of the National Academy of Sciences of the United States of America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111</w:t>
      </w:r>
      <w:r>
        <w:rPr>
          <w:rFonts w:eastAsia="Times New Roman" w:cs="Times New Roman" w:ascii="Times New Roman" w:hAnsi="Times New Roman"/>
          <w:sz w:val="24"/>
          <w:szCs w:val="24"/>
          <w:highlight w:val="white"/>
        </w:rPr>
        <w:t>(9), 3228–3232. https://doi.org/10.1073/pnas.1312330110</w:t>
      </w:r>
    </w:p>
    <w:p>
      <w:pPr>
        <w:pStyle w:val="Normal"/>
        <w:spacing w:lineRule="auto" w:line="240" w:before="240" w:after="0"/>
        <w:ind w:left="425" w:right="0" w:hanging="425"/>
        <w:jc w:val="both"/>
        <w:rPr/>
      </w:pPr>
      <w:r>
        <w:rPr>
          <w:rFonts w:eastAsia="Times New Roman" w:cs="Times New Roman" w:ascii="Times New Roman" w:hAnsi="Times New Roman"/>
          <w:sz w:val="24"/>
          <w:szCs w:val="24"/>
          <w:highlight w:val="white"/>
        </w:rPr>
        <w:t xml:space="preserve">Wright, I. J., Reich, P. B., Westoby, M., Ackerly, D. D., Baruch, Z., Bongers, F., … Gulias, J. (2004). The worldwide leaf economics spectrum. </w:t>
      </w:r>
      <w:r>
        <w:rPr>
          <w:rFonts w:eastAsia="Times New Roman" w:cs="Times New Roman" w:ascii="Times New Roman" w:hAnsi="Times New Roman"/>
          <w:i/>
          <w:sz w:val="24"/>
          <w:szCs w:val="24"/>
          <w:highlight w:val="white"/>
        </w:rPr>
        <w:t>Nature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428</w:t>
      </w:r>
      <w:r>
        <w:rPr>
          <w:rFonts w:eastAsia="Times New Roman" w:cs="Times New Roman" w:ascii="Times New Roman" w:hAnsi="Times New Roman"/>
          <w:sz w:val="24"/>
          <w:szCs w:val="24"/>
          <w:highlight w:val="white"/>
        </w:rPr>
        <w:t>, 821–827.</w:t>
      </w:r>
    </w:p>
    <w:p>
      <w:pPr>
        <w:pStyle w:val="Normal"/>
        <w:spacing w:lineRule="auto" w:line="480"/>
        <w:jc w:val="both"/>
        <w:rPr>
          <w:highlight w:val="white"/>
        </w:rPr>
      </w:pPr>
      <w:r>
        <w:rPr>
          <w:highlight w:val="white"/>
        </w:rPr>
      </w:r>
    </w:p>
    <w:p>
      <w:pPr>
        <w:pStyle w:val="Normal"/>
        <w:spacing w:lineRule="auto" w:line="240" w:before="240" w:after="0"/>
        <w:jc w:val="both"/>
        <w:rPr>
          <w:highlight w:val="white"/>
        </w:rPr>
      </w:pPr>
      <w:r>
        <w:rPr>
          <w:highlight w:val="white"/>
        </w:rPr>
      </w:r>
    </w:p>
    <w:p>
      <w:pPr>
        <w:pStyle w:val="Normal"/>
        <w:spacing w:lineRule="auto" w:line="240" w:before="240" w:after="0"/>
        <w:jc w:val="both"/>
        <w:rPr>
          <w:highlight w:val="white"/>
        </w:rPr>
      </w:pPr>
      <w:r>
        <w:rPr>
          <w:highlight w:val="white"/>
        </w:rPr>
      </w:r>
    </w:p>
    <w:p>
      <w:pPr>
        <w:pStyle w:val="Normal"/>
        <w:spacing w:lineRule="auto" w:line="240" w:before="240" w:after="0"/>
        <w:ind w:left="360" w:right="0" w:hanging="0"/>
        <w:jc w:val="both"/>
        <w:rPr>
          <w:highlight w:val="white"/>
        </w:rPr>
      </w:pPr>
      <w:r>
        <w:rPr>
          <w:highlight w:val="white"/>
        </w:rPr>
      </w:r>
    </w:p>
    <w:p>
      <w:pPr>
        <w:pStyle w:val="Normal"/>
        <w:spacing w:lineRule="auto" w:line="240" w:before="240" w:after="0"/>
        <w:jc w:val="center"/>
        <w:rPr>
          <w:highlight w:val="white"/>
        </w:rPr>
      </w:pPr>
      <w:r>
        <w:rPr>
          <w:highlight w:val="white"/>
        </w:rPr>
      </w:r>
    </w:p>
    <w:p>
      <w:pPr>
        <w:pStyle w:val="Normal"/>
        <w:spacing w:lineRule="auto" w:line="240" w:before="240" w:after="0"/>
        <w:jc w:val="center"/>
        <w:rPr>
          <w:highlight w:val="white"/>
        </w:rPr>
      </w:pPr>
      <w:r>
        <w:rPr>
          <w:highlight w:val="white"/>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2-01-17T11:48:40Z" w:initials="BR">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t-BR" w:eastAsia="pt-BR" w:bidi="ar-SA"/>
        </w:rPr>
        <w:t>Apendices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sz w:val="24"/>
        <w:u w:val="none"/>
        <w:b/>
        <w:szCs w:val="24"/>
        <w:rFonts w:ascii="Times New Roman" w:hAnsi="Times New Roman" w:eastAsia="Arial" w:cs="Arial"/>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00" w:after="120"/>
      <w:outlineLvl w:val="0"/>
    </w:pPr>
    <w:rPr>
      <w:sz w:val="40"/>
      <w:szCs w:val="40"/>
    </w:rPr>
  </w:style>
  <w:style w:type="paragraph" w:styleId="Ttulo2">
    <w:name w:val="Heading 2"/>
    <w:basedOn w:val="Normal"/>
    <w:next w:val="Normal"/>
    <w:qFormat/>
    <w:pPr>
      <w:keepNext w:val="true"/>
      <w:keepLines/>
      <w:numPr>
        <w:ilvl w:val="0"/>
        <w:numId w:val="0"/>
      </w:numPr>
      <w:spacing w:before="360" w:after="120"/>
      <w:outlineLvl w:val="1"/>
    </w:pPr>
    <w:rPr>
      <w:sz w:val="32"/>
      <w:szCs w:val="32"/>
    </w:rPr>
  </w:style>
  <w:style w:type="paragraph" w:styleId="Ttulo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Ttulo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Ttulo5">
    <w:name w:val="Heading 5"/>
    <w:basedOn w:val="Normal"/>
    <w:next w:val="Normal"/>
    <w:qFormat/>
    <w:pPr>
      <w:keepNext w:val="true"/>
      <w:keepLines/>
      <w:numPr>
        <w:ilvl w:val="0"/>
        <w:numId w:val="0"/>
      </w:numPr>
      <w:spacing w:before="240" w:after="80"/>
      <w:outlineLvl w:val="4"/>
    </w:pPr>
    <w:rPr>
      <w:color w:val="666666"/>
    </w:rPr>
  </w:style>
  <w:style w:type="paragraph" w:styleId="Ttulo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ListLabel1">
    <w:name w:val="ListLabel 1"/>
    <w:qFormat/>
    <w:rPr>
      <w:rFonts w:ascii="Times New Roman" w:hAnsi="Times New Roman" w:eastAsia="Arial" w:cs="Arial"/>
      <w:b/>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color w:val="1155CC"/>
      <w:sz w:val="24"/>
      <w:szCs w:val="24"/>
      <w:highlight w:val="white"/>
      <w:u w:val="single"/>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ListBullet">
    <w:name w:val="List Bullet"/>
    <w:basedOn w:val="Normal"/>
    <w:qFormat/>
    <w:pPr>
      <w:spacing w:before="0" w:after="0"/>
      <w:contextualSpacing/>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065/D6P26W36"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17</Pages>
  <Words>3820</Words>
  <Characters>20762</Characters>
  <CharactersWithSpaces>24598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2021-11-02T16:40:00Z</dcterms:created>
  <dc:creator>Jorge Rius</dc:creator>
  <dc:description/>
  <dc:language>en-US</dc:language>
  <cp:lastModifiedBy>Bianca Rius</cp:lastModifiedBy>
  <dcterms:modified xsi:type="dcterms:W3CDTF">2022-01-17T15:32:27Z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