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Effects of moisture stress on functional composition</w:t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In our hypothesis H2 we predicted a functional reorganization in communities driven by the reduced precipitation. As we expected, the applied moisture stress scenario caused a modification in the density distribution of the six variant functional traits both for PFTA and for TBA (Figure 3). For all the traits, the shape of the curve changed considerably,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with the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the dissimilarity index approximating to 1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(Table XXX)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, which indicates that they became functionally different with the new climatic condition.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A clear pattern was observed in traits distribution: dominance reduction (decrease in the curves peaks) of a restricted range of values enabling other trait values that were previously rare (very low density), or absent, to co-occur in the trait space or to increase their density (Fig. 3).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contradicts part of our hypothesis </w:t>
      </w:r>
      <w:r>
        <w:rPr>
          <w:sz w:val="24"/>
          <w:szCs w:val="24"/>
          <w:lang w:val="en-US"/>
        </w:rPr>
        <w:t>H2 in which we expected a small subset occurrence of trait combinations with the reduced precipitation due to the stronger environmental filtering. However, this functional reorganization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was different when comparing the modeling approaches: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when considering traits separately,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the PFTA showed a trimodal distribution, with three clear and discrete peaks along the trait space when the precipitation is reduced, while in TBA the distribution showed a higher diversity of values that had their density increased, resulting in a much more diffuse distribution within the functional space. This pattern can also be seen when considering all traits together through the hypervolumes: for the PFTA it is possible to observe three clear data grouping under drought (Figure 4a), and a much less discretized data distribution from the TBA (Figure 4b). </w:t>
      </w:r>
    </w:p>
    <w:p>
      <w:pPr>
        <w:pStyle w:val="Normal"/>
        <w:spacing w:lineRule="auto" w:line="480"/>
        <w:jc w:val="both"/>
        <w:rPr>
          <w:rFonts w:ascii="Times New Roman" w:hAnsi="Times New Roman"/>
          <w:i/>
          <w:i/>
          <w:iCs/>
          <w:color w:val="000000"/>
          <w:highlight w:val="white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A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lso, corroborating with our conjectures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based on optimal partitioning theory (Cannell &amp; Dewar, 1994; Metcalfe et al., 2010; Thornley, 1972)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⁠,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TBA showed an increase in density towards higher values of carbon allocation in fine roots and towards lower values of carbon allocation in leaves and, especially, in ABGW (Fig. 3a-c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)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, and </w:t>
      </w:r>
      <w:r>
        <w:rPr>
          <w:rStyle w:val="CommentReference1"/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an increase in residence time for leaves and </w:t>
      </w:r>
      <w:r>
        <w:rPr>
          <w:rStyle w:val="CommentReference1"/>
          <w:rFonts w:ascii="Times New Roman" w:hAnsi="Times New Roman"/>
          <w:i w:val="false"/>
          <w:iCs w:val="false"/>
          <w:sz w:val="24"/>
          <w:szCs w:val="24"/>
          <w:lang w:val="en-US"/>
        </w:rPr>
        <w:t>for</w:t>
      </w:r>
      <w:r>
        <w:rPr>
          <w:rStyle w:val="CommentReference1"/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fine roots but a decrease for ABGW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(Fig. g-i). </w:t>
      </w:r>
      <w:commentRangeStart w:id="0"/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In spite of our results show a change in the patterns of values occurrence along the trait space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for PFTA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with the applied disturbance,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these changes occur in a much smaller order of magnitude throughout the functional space when compared to TBA, with almost no altera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t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ion in the range of values (see x axis in Fig. 3).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</w:r>
      <w:commentRangeEnd w:id="0"/>
      <w:r>
        <w:commentReference w:id="0"/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These differences support our assumptions (H1) that a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trait-based model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s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how a higher capacity to functional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ly reorganize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the community under the 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changes in</w:t>
      </w: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 xml:space="preserve"> environmental conditions.</w:t>
      </w:r>
      <w:bookmarkStart w:id="0" w:name="__DdeLink__2770_4165794419"/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ianca Rius" w:date="2021-05-25T16:32:39Z" w:initials="BR">
    <w:p>
      <w:r>
        <w:rPr>
          <w:rFonts w:eastAsia="Noto Sans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US"/>
        </w:rPr>
        <w:t>Não sei se eu consegui ser clara aqui. Eu quero dizer que se a gente olhar para os eixos x dos gráficos da figura 3 dá pra ver que a ordem de grandeza da mudança de valores pra PFTA é limitado a casas decimais. Já tentei escrever de vários jeitos mas sempre me parece confuso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trackRevisions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a0008"/>
    <w:rPr>
      <w:rFonts w:cs="Mangal"/>
      <w:b/>
      <w:bCs/>
      <w:sz w:val="20"/>
      <w:szCs w:val="18"/>
    </w:rPr>
  </w:style>
  <w:style w:type="character" w:styleId="CommentReference1">
    <w:name w:val="Comment Reference1"/>
    <w:qFormat/>
    <w:rPr>
      <w:sz w:val="18"/>
      <w:szCs w:val="18"/>
    </w:rPr>
  </w:style>
  <w:style w:type="paragraph" w:styleId="Ttulo" w:customStyle="1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a000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2</Pages>
  <Words>416</Words>
  <Characters>2252</Characters>
  <CharactersWithSpaces>2666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2021-05-25T16:59:00Z</dcterms:created>
  <dc:creator>Bianca Rius</dc:creator>
  <dc:description/>
  <dc:language>en-US</dc:language>
  <cp:lastModifiedBy>Bianca Rius</cp:lastModifiedBy>
  <dcterms:modified xsi:type="dcterms:W3CDTF">2021-05-25T16:46:27Z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