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Appendix A.  Spinup simulation</w:t>
      </w:r>
    </w:p>
    <w:p>
      <w:pPr>
        <w:pStyle w:val="Normal"/>
        <w:spacing w:lineRule="auto" w:line="360"/>
        <w:jc w:val="both"/>
        <w:rPr/>
      </w:pPr>
      <w:r>
        <w:rPr>
          <w:rFonts w:ascii="times new roman" w:hAnsi="times new roman"/>
          <w:i w:val="false"/>
          <w:iCs w:val="false"/>
          <w:sz w:val="24"/>
          <w:szCs w:val="24"/>
          <w:lang w:val="en-US"/>
        </w:rPr>
        <w:tab/>
        <w:t xml:space="preserve">Before the model initialization a spinup simulation was perfomed to determine the initial carbon content in the plant compartments. This spinup was run until the stability attainment of the total biomass (i.e. the sum of carbon in all plant compartments; Eq. XXX) in all the grid cells (the aggregation process from individuals PFT/PLS to grid cells is described in section 2.2.2.), with a sensibility of 10% of difference between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ascii="times new roman" w:hAnsi="times new roman"/>
          <w:i w:val="false"/>
          <w:iCs w:val="false"/>
          <w:sz w:val="24"/>
          <w:szCs w:val="24"/>
          <w:lang w:val="en-US"/>
        </w:rPr>
        <w:t xml:space="preserve">and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1</m:t>
            </m:r>
          </m:sub>
        </m:sSub>
      </m:oMath>
      <w:r>
        <w:rPr>
          <w:rFonts w:ascii="times new roman" w:hAnsi="times new roman"/>
          <w:i w:val="false"/>
          <w:iCs w:val="false"/>
          <w:sz w:val="24"/>
          <w:szCs w:val="24"/>
          <w:lang w:val="en-US"/>
        </w:rPr>
        <w:t>. Thus, the initial amount of  carbon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oMath>
      <w:r>
        <w:rPr>
          <w:rFonts w:ascii="times new roman" w:hAnsi="times new roman"/>
          <w:i w:val="false"/>
          <w:iCs w:val="false"/>
          <w:sz w:val="24"/>
          <w:szCs w:val="24"/>
          <w:lang w:val="en-US"/>
        </w:rPr>
        <w:t>; kgCm</w:t>
      </w:r>
      <w:r>
        <w:rPr>
          <w:rFonts w:ascii="times new roman" w:hAnsi="times new roman"/>
          <w:i w:val="false"/>
          <w:iCs w:val="false"/>
          <w:sz w:val="24"/>
          <w:szCs w:val="24"/>
          <w:vertAlign w:val="superscript"/>
          <w:lang w:val="en-US"/>
        </w:rPr>
        <w:t>-2</w:t>
      </w:r>
      <w:r>
        <w:rPr>
          <w:rFonts w:ascii="times new roman" w:hAnsi="times new roman"/>
          <w:i w:val="false"/>
          <w:iCs w:val="false"/>
          <w:position w:val="0"/>
          <w:sz w:val="24"/>
          <w:sz w:val="24"/>
          <w:szCs w:val="24"/>
          <w:vertAlign w:val="baseline"/>
          <w:lang w:val="en-US"/>
        </w:rPr>
        <w:t xml:space="preserve">; Eq. A1) in each plant compartment </w:t>
      </w:r>
      <w:r>
        <w:rPr>
          <w:rFonts w:ascii="times new roman" w:hAnsi="times new roman"/>
          <w:i w:val="false"/>
          <w:iCs w:val="false"/>
          <w:position w:val="0"/>
          <w:sz w:val="24"/>
          <w:sz w:val="24"/>
          <w:szCs w:val="24"/>
          <w:vertAlign w:val="baseline"/>
          <w:lang w:val="en-US"/>
        </w:rPr>
      </w:r>
      <m:oMath xmlns:m="http://schemas.openxmlformats.org/officeDocument/2006/math">
        <m:r>
          <w:rPr>
            <w:rFonts w:ascii="Cambria Math" w:hAnsi="Cambria Math"/>
          </w:rPr>
          <m:t xml:space="preserve">j</m:t>
        </m:r>
      </m:oMath>
      <w:r>
        <w:rPr>
          <w:rFonts w:ascii="times new roman" w:hAnsi="times new roman"/>
          <w:i w:val="false"/>
          <w:iCs w:val="false"/>
          <w:position w:val="0"/>
          <w:sz w:val="24"/>
          <w:sz w:val="24"/>
          <w:szCs w:val="24"/>
          <w:vertAlign w:val="baseline"/>
          <w:lang w:val="en-US"/>
        </w:rPr>
        <w:t xml:space="preserve">in an specific PFT or PLS </w:t>
      </w:r>
      <w:r>
        <w:rPr>
          <w:rFonts w:ascii="times new roman" w:hAnsi="times new roman"/>
          <w:i w:val="false"/>
          <w:iCs w:val="false"/>
          <w:position w:val="0"/>
          <w:sz w:val="24"/>
          <w:sz w:val="24"/>
          <w:szCs w:val="24"/>
          <w:vertAlign w:val="baseline"/>
          <w:lang w:val="en-US"/>
        </w:rPr>
      </w:r>
      <m:oMath xmlns:m="http://schemas.openxmlformats.org/officeDocument/2006/math">
        <m:r>
          <w:rPr>
            <w:rFonts w:ascii="Cambria Math" w:hAnsi="Cambria Math"/>
          </w:rPr>
          <m:t xml:space="preserve">i</m:t>
        </m:r>
      </m:oMath>
      <w:r>
        <w:rPr>
          <w:rFonts w:ascii="times new roman" w:hAnsi="times new roman"/>
          <w:i w:val="false"/>
          <w:iCs w:val="false"/>
          <w:position w:val="0"/>
          <w:sz w:val="24"/>
          <w:sz w:val="24"/>
          <w:szCs w:val="24"/>
          <w:vertAlign w:val="baseline"/>
          <w:lang w:val="en-US"/>
        </w:rPr>
        <w:t xml:space="preserve">in a given time </w:t>
      </w:r>
      <w:r>
        <w:rPr>
          <w:rFonts w:ascii="times new roman" w:hAnsi="times new roman"/>
          <w:i w:val="false"/>
          <w:iCs w:val="false"/>
          <w:position w:val="0"/>
          <w:sz w:val="24"/>
          <w:sz w:val="24"/>
          <w:szCs w:val="24"/>
          <w:vertAlign w:val="baseline"/>
          <w:lang w:val="en-US"/>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ascii="times new roman" w:hAnsi="times new roman"/>
          <w:i w:val="false"/>
          <w:iCs w:val="false"/>
          <w:position w:val="0"/>
          <w:sz w:val="24"/>
          <w:sz w:val="24"/>
          <w:szCs w:val="24"/>
          <w:vertAlign w:val="baseline"/>
          <w:lang w:val="en-US"/>
        </w:rPr>
        <w:t>:</w:t>
      </w:r>
    </w:p>
    <w:p>
      <w:pPr>
        <w:pStyle w:val="Normal"/>
        <w:spacing w:lineRule="auto" w:line="360"/>
        <w:jc w:val="both"/>
        <w:rPr>
          <w:rFonts w:ascii="times new roman" w:hAnsi="times new roman"/>
          <w:i w:val="false"/>
          <w:i w:val="false"/>
          <w:iCs w:val="false"/>
          <w:position w:val="0"/>
          <w:sz w:val="24"/>
          <w:sz w:val="24"/>
          <w:szCs w:val="24"/>
          <w:vertAlign w:val="baseline"/>
          <w:lang w:val="en-US"/>
        </w:rPr>
      </w:pPr>
      <w:r>
        <w:rPr>
          <w:rFonts w:ascii="times new roman" w:hAnsi="times new roman"/>
          <w:i w:val="false"/>
          <w:iCs w:val="false"/>
          <w:position w:val="0"/>
          <w:sz w:val="24"/>
          <w:sz w:val="24"/>
          <w:szCs w:val="24"/>
          <w:vertAlign w:val="baseline"/>
          <w:lang w:val="en-US"/>
        </w:rPr>
      </w:r>
    </w:p>
    <w:p>
      <w:pPr>
        <w:pStyle w:val="Normal"/>
        <w:spacing w:lineRule="auto" w:line="360"/>
        <w:jc w:val="left"/>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num>
          <m:den>
            <m:r>
              <w:rPr>
                <w:rFonts w:ascii="Cambria Math" w:hAnsi="Cambria Math"/>
              </w:rPr>
              <m:t xml:space="preserve">∂</m:t>
            </m:r>
          </m:den>
        </m:f>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
          <m:e>
            <m:r>
              <w:rPr>
                <w:rFonts w:ascii="Cambria Math" w:hAnsi="Cambria Math"/>
              </w:rPr>
              <m:t xml:space="preserve">NPP</m:t>
            </m:r>
          </m:e>
          <m:sub>
            <m:r>
              <w:rPr>
                <w:rFonts w:ascii="Cambria Math" w:hAnsi="Cambria Math"/>
              </w:rPr>
              <m:t xml:space="preserve">pot</m:t>
            </m:r>
          </m:sub>
        </m:sSub>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den>
        </m:f>
      </m:oMath>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en-US"/>
        </w:rPr>
        <w:t>(A1)</w:t>
      </w:r>
    </w:p>
    <w:p>
      <w:pPr>
        <w:pStyle w:val="Normal"/>
        <w:spacing w:lineRule="auto" w:line="360"/>
        <w:jc w:val="left"/>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r>
    </w:p>
    <w:p>
      <w:pPr>
        <w:pStyle w:val="Normal"/>
        <w:spacing w:lineRule="auto" w:line="360"/>
        <w:jc w:val="both"/>
        <w:rPr/>
      </w:pPr>
      <w:r>
        <w:rPr>
          <w:rFonts w:ascii="times new roman" w:hAnsi="times new roman"/>
          <w:i w:val="false"/>
          <w:iCs w:val="false"/>
          <w:sz w:val="24"/>
          <w:szCs w:val="24"/>
          <w:lang w:val="en-US"/>
        </w:rPr>
        <w:t xml:space="preserve">where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i w:val="false"/>
          <w:iCs w:val="false"/>
          <w:sz w:val="24"/>
          <w:szCs w:val="24"/>
          <w:lang w:val="en-US"/>
        </w:rPr>
        <w:t xml:space="preserve">(%, Table XXX; Table XXX) is the fraction of NPP allocated to a plant compartment in each PFT/PLS and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i w:val="false"/>
          <w:iCs w:val="false"/>
          <w:sz w:val="24"/>
          <w:szCs w:val="24"/>
          <w:lang w:val="en-US"/>
        </w:rPr>
        <w:t>(years; Table XXX; Table XXX) represents the carbon residence time in a compartment. Here, NPP is a potential NPP (</w:t>
      </w:r>
      <w:r>
        <w:rPr>
          <w:rFonts w:ascii="times new roman" w:hAnsi="times new roman"/>
          <w:i w:val="false"/>
          <w:iCs w:val="false"/>
          <w:sz w:val="24"/>
          <w:szCs w:val="24"/>
          <w:lang w:val="en-US"/>
        </w:rPr>
      </w:r>
      <m:oMath xmlns:m="http://schemas.openxmlformats.org/officeDocument/2006/math">
        <m:sSub>
          <m:e>
            <m:r>
              <w:rPr>
                <w:rFonts w:ascii="Cambria Math" w:hAnsi="Cambria Math"/>
              </w:rPr>
              <m:t xml:space="preserve">NPP</m:t>
            </m:r>
          </m:e>
          <m:sub>
            <m:r>
              <w:rPr>
                <w:rFonts w:ascii="Cambria Math" w:hAnsi="Cambria Math"/>
              </w:rPr>
              <m:t xml:space="preserve">pot</m:t>
            </m:r>
          </m:sub>
        </m:sSub>
      </m:oMath>
      <w:r>
        <w:rPr>
          <w:rFonts w:ascii="times new roman" w:hAnsi="times new roman"/>
          <w:i w:val="false"/>
          <w:iCs w:val="false"/>
          <w:sz w:val="24"/>
          <w:szCs w:val="24"/>
          <w:lang w:val="en-US"/>
        </w:rPr>
        <w:t>; kgCm</w:t>
      </w:r>
      <w:r>
        <w:rPr>
          <w:rFonts w:ascii="times new roman" w:hAnsi="times new roman"/>
          <w:i w:val="false"/>
          <w:iCs w:val="false"/>
          <w:sz w:val="24"/>
          <w:szCs w:val="24"/>
          <w:vertAlign w:val="superscript"/>
          <w:lang w:val="en-US"/>
        </w:rPr>
        <w:t>-2</w:t>
      </w:r>
      <w:r>
        <w:rPr>
          <w:rFonts w:ascii="times new roman" w:hAnsi="times new roman"/>
          <w:i w:val="false"/>
          <w:iCs w:val="false"/>
          <w:position w:val="0"/>
          <w:sz w:val="24"/>
          <w:sz w:val="24"/>
          <w:szCs w:val="24"/>
          <w:vertAlign w:val="baseline"/>
          <w:lang w:val="en-US"/>
        </w:rPr>
        <w:t>year</w:t>
      </w:r>
      <w:r>
        <w:rPr>
          <w:rFonts w:ascii="times new roman" w:hAnsi="times new roman"/>
          <w:i w:val="false"/>
          <w:iCs w:val="false"/>
          <w:sz w:val="24"/>
          <w:szCs w:val="24"/>
          <w:vertAlign w:val="superscript"/>
          <w:lang w:val="en-US"/>
        </w:rPr>
        <w:t>-1</w:t>
      </w:r>
      <w:r>
        <w:rPr>
          <w:rFonts w:ascii="times new roman" w:hAnsi="times new roman"/>
          <w:i w:val="false"/>
          <w:iCs w:val="false"/>
          <w:position w:val="0"/>
          <w:sz w:val="24"/>
          <w:sz w:val="24"/>
          <w:szCs w:val="24"/>
          <w:vertAlign w:val="baseline"/>
          <w:lang w:val="en-US"/>
        </w:rPr>
        <w:t>) calculated from the model CPTEC Potential Vegetation Model 2 (CPTEC-PVM2; LAPOLA; OYAMA &amp; NOBRE, 2009)⁠, a precursor model for CAETÊ. The potential NPP was calculated using the same climatology applyed to CAETÊ and it was necessary given that this version of the model is not dynamic.</w:t>
      </w:r>
    </w:p>
    <w:p>
      <w:pPr>
        <w:pStyle w:val="Normal"/>
        <w:spacing w:lineRule="auto" w:line="360"/>
        <w:jc w:val="both"/>
        <w:rPr>
          <w:b/>
          <w:b/>
          <w:bCs/>
        </w:rPr>
      </w:pPr>
      <w:r>
        <w:rPr>
          <w:rFonts w:ascii="times new roman" w:hAnsi="times new roman"/>
          <w:b/>
          <w:bCs/>
          <w:i w:val="false"/>
          <w:iCs w:val="false"/>
          <w:position w:val="0"/>
          <w:sz w:val="24"/>
          <w:sz w:val="24"/>
          <w:szCs w:val="24"/>
          <w:vertAlign w:val="baseline"/>
          <w:lang w:val="en-US"/>
        </w:rPr>
        <w:t>Appendix B. Physiological formulations</w:t>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J</m:t>
        </m:r>
        <m:r>
          <w:rPr>
            <w:rFonts w:ascii="Cambria Math" w:hAnsi="Cambria Math"/>
          </w:rPr>
          <m:t xml:space="preserve">²</m:t>
        </m:r>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r>
              <w:rPr>
                <w:rFonts w:ascii="Cambria Math" w:hAnsi="Cambria Math"/>
              </w:rPr>
              <m:t xml:space="preserve">P</m:t>
            </m:r>
          </m:sub>
        </m:sSub>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f>
          <m:fPr>
            <m:type m:val="lin"/>
          </m:fPr>
          <m:num>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sSub>
                  <m:e>
                    <m:r>
                      <w:rPr>
                        <w:rFonts w:ascii="Cambria Math" w:hAnsi="Cambria Math"/>
                      </w:rPr>
                      <m:t xml:space="preserve">LAI</m:t>
                    </m:r>
                  </m:e>
                  <m:sub>
                    <m:r>
                      <w:rPr>
                        <w:rFonts w:ascii="Cambria Math" w:hAnsi="Cambria Math"/>
                      </w:rPr>
                      <m:t xml:space="preserve">i</m:t>
                    </m:r>
                  </m:sub>
                </m:sSub>
              </m:sup>
            </m:sSup>
          </m:num>
          <m:den>
            <m:sSub>
              <m:e>
                <m:r>
                  <w:rPr>
                    <w:rFonts w:ascii="Cambria Math" w:hAnsi="Cambria Math"/>
                  </w:rPr>
                  <m:t xml:space="preserve">k</m:t>
                </m:r>
              </m:e>
              <m:sub>
                <m:r>
                  <w:rPr>
                    <w:rFonts w:ascii="Cambria Math" w:hAnsi="Cambria Math"/>
                  </w:rPr>
                  <m:t xml:space="preserve">21</m:t>
                </m:r>
              </m:sub>
            </m:sSub>
          </m:den>
        </m:f>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LAI</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rc</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gs</m:t>
                </m:r>
              </m:e>
              <m:sub>
                <m:r>
                  <w:rPr>
                    <w:rFonts w:ascii="Cambria Math" w:hAnsi="Cambria Math"/>
                  </w:rPr>
                  <m:t xml:space="preserve">i</m:t>
                </m:r>
              </m:sub>
            </m:sSub>
          </m:den>
        </m:f>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gs</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0</m:t>
        </m:r>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g</m:t>
                </m:r>
                <m:f>
                  <m:fPr>
                    <m:type m:val="lin"/>
                  </m:fPr>
                  <m:num>
                    <m:r>
                      <w:rPr>
                        <w:rFonts w:ascii="Cambria Math" w:hAnsi="Cambria Math"/>
                      </w:rPr>
                      <m:t xml:space="preserve">1</m:t>
                    </m:r>
                  </m:num>
                  <m:den>
                    <m:rad>
                      <m:radPr>
                        <m:degHide m:val="1"/>
                      </m:radPr>
                      <m:deg/>
                      <m:e>
                        <m:r>
                          <w:rPr>
                            <w:rFonts w:ascii="Cambria Math" w:hAnsi="Cambria Math"/>
                          </w:rPr>
                          <m:t xml:space="preserve">VPD</m:t>
                        </m:r>
                      </m:e>
                    </m:rad>
                  </m:den>
                </m:f>
              </m:e>
            </m:d>
          </m:e>
        </m:d>
        <m:sSub>
          <m:e>
            <m:r>
              <w:rPr>
                <w:rFonts w:ascii="Cambria Math" w:hAnsi="Cambria Math"/>
              </w:rPr>
              <m:t xml:space="preserve">GPP</m:t>
            </m:r>
          </m:e>
          <m:sub>
            <m:r>
              <w:rPr>
                <w:rFonts w:ascii="Cambria Math" w:hAnsi="Cambria Math"/>
              </w:rPr>
              <m:t xml:space="preserve">i</m:t>
            </m:r>
          </m:sub>
        </m:sSub>
        <m:sSub>
          <m:e>
            <m:r>
              <w:rPr>
                <w:rFonts w:ascii="Cambria Math" w:hAnsi="Cambria Math"/>
              </w:rPr>
              <m:t xml:space="preserve">C</m:t>
            </m:r>
          </m:e>
          <m:sub>
            <m:r>
              <w:rPr>
                <w:rFonts w:ascii="Cambria Math" w:hAnsi="Cambria Math"/>
              </w:rPr>
              <m:t xml:space="preserve">a</m:t>
            </m:r>
          </m:sub>
        </m:sSub>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J</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d>
          <m:dPr>
            <m:begChr m:val="("/>
            <m:endChr m:val=")"/>
          </m:dPr>
          <m:e>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fPr>
                <m:type m:val="lin"/>
              </m:fPr>
              <m:num>
                <m:r>
                  <w:rPr>
                    <w:rFonts w:ascii="Cambria Math" w:hAnsi="Cambria Math"/>
                  </w:rPr>
                  <m:t xml:space="preserve">Γ</m:t>
                </m:r>
              </m:num>
              <m:den>
                <m:sSub>
                  <m:e>
                    <m:r>
                      <w:rPr>
                        <w:rFonts w:ascii="Cambria Math" w:hAnsi="Cambria Math"/>
                      </w:rPr>
                      <m:t xml:space="preserve">C</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f</m:t>
                            </m:r>
                          </m:e>
                          <m:sub>
                            <m:r>
                              <w:rPr>
                                <w:rFonts w:ascii="Cambria Math" w:hAnsi="Cambria Math"/>
                              </w:rPr>
                              <m:t xml:space="preserve">3</m:t>
                            </m:r>
                          </m:sub>
                        </m:sSub>
                      </m:den>
                    </m:f>
                  </m:e>
                </m:d>
              </m:e>
            </m:d>
          </m:e>
        </m:d>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cmax</m:t>
            </m:r>
          </m:sub>
        </m:sSub>
        <m:f>
          <m:fPr>
            <m:type m:val="lin"/>
          </m:fPr>
          <m:num>
            <m:d>
              <m:dPr>
                <m:begChr m:val="("/>
                <m:endChr m:val=")"/>
              </m:dPr>
              <m:e>
                <m:sSubSup>
                  <m:e>
                    <m:r>
                      <w:rPr>
                        <w:rFonts w:ascii="Cambria Math" w:hAnsi="Cambria Math"/>
                      </w:rPr>
                      <m:t xml:space="preserve">k</m:t>
                    </m:r>
                  </m:e>
                  <m:sub>
                    <m:r>
                      <w:rPr>
                        <w:rFonts w:ascii="Cambria Math" w:hAnsi="Cambria Math"/>
                      </w:rPr>
                      <m:t xml:space="preserve">18</m:t>
                    </m:r>
                  </m:sub>
                  <m:sup>
                    <m:sSub>
                      <m:e>
                        <m:r>
                          <w:rPr>
                            <w:rFonts w:ascii="Cambria Math" w:hAnsi="Cambria Math"/>
                          </w:rPr>
                          <m:t xml:space="preserve">k</m:t>
                        </m:r>
                      </m:e>
                      <m:sub>
                        <m:r>
                          <w:rPr>
                            <w:rFonts w:ascii="Cambria Math" w:hAnsi="Cambria Math"/>
                          </w:rPr>
                          <m:t xml:space="preserve">10</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e>
            </m:d>
          </m:num>
          <m:den>
            <m:r>
              <w:rPr>
                <w:rFonts w:ascii="Cambria Math" w:hAnsi="Cambria Math"/>
              </w:rPr>
              <m:t xml:space="preserve">1</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k</m:t>
                </m:r>
              </m:e>
              <m:sub>
                <m:r>
                  <w:rPr>
                    <w:rFonts w:ascii="Cambria Math" w:hAnsi="Cambria Math"/>
                  </w:rPr>
                  <m:t xml:space="preserve">19</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20</m:t>
                    </m:r>
                  </m:sub>
                </m:sSub>
              </m:e>
            </m:d>
          </m:e>
        </m:d>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J</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5</m:t>
                </m:r>
              </m:sub>
            </m:sSub>
          </m:e>
        </m:d>
        <m:sSub>
          <m:e>
            <m:r>
              <w:rPr>
                <w:rFonts w:ascii="Cambria Math" w:hAnsi="Cambria Math"/>
              </w:rPr>
              <m:t xml:space="preserve">IPAR</m:t>
            </m:r>
          </m:e>
          <m:sub>
            <m:r>
              <w:rPr>
                <w:rFonts w:ascii="Cambria Math" w:hAnsi="Cambria Math"/>
              </w:rPr>
              <m:t xml:space="preserve">i</m:t>
            </m:r>
          </m:sub>
        </m:sSub>
        <m:d>
          <m:dPr>
            <m:begChr m:val="("/>
            <m:endChr m:val=")"/>
          </m:dPr>
          <m:e>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f>
              <m:fPr>
                <m:type m:val="lin"/>
              </m:fPr>
              <m:num>
                <m:r>
                  <w:rPr>
                    <w:rFonts w:ascii="Cambria Math" w:hAnsi="Cambria Math"/>
                  </w:rPr>
                  <m:t xml:space="preserve">Γ</m:t>
                </m:r>
              </m:num>
              <m:den>
                <m:sSub>
                  <m:e>
                    <m:r>
                      <w:rPr>
                        <w:rFonts w:ascii="Cambria Math" w:hAnsi="Cambria Math"/>
                      </w:rPr>
                      <m:t xml:space="preserve">C</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6</m:t>
                </m:r>
              </m:sub>
            </m:sSub>
            <m:r>
              <w:rPr>
                <w:rFonts w:ascii="Cambria Math" w:hAnsi="Cambria Math"/>
              </w:rPr>
              <m:t xml:space="preserve">Γ</m:t>
            </m:r>
          </m:e>
        </m:d>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7</m:t>
            </m:r>
          </m:sub>
        </m:sSub>
        <m:sSub>
          <m:e>
            <m:r>
              <w:rPr>
                <w:rFonts w:ascii="Cambria Math" w:hAnsi="Cambria Math"/>
              </w:rPr>
              <m:t xml:space="preserve">V</m:t>
            </m:r>
          </m:e>
          <m:sub>
            <m:r>
              <w:rPr>
                <w:rFonts w:ascii="Cambria Math" w:hAnsi="Cambria Math"/>
              </w:rPr>
              <m:t xml:space="preserve">m</m:t>
            </m:r>
          </m:sub>
        </m:sSub>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16</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r>
                      <w:rPr>
                        <w:rFonts w:ascii="Cambria Math" w:hAnsi="Cambria Math"/>
                      </w:rPr>
                      <m:t xml:space="preserve">r</m:t>
                    </m:r>
                  </m:num>
                  <m:den>
                    <m:sSub>
                      <m:e>
                        <m:r>
                          <w:rPr>
                            <w:rFonts w:ascii="Cambria Math" w:hAnsi="Cambria Math"/>
                          </w:rPr>
                          <m:t xml:space="preserve">k</m:t>
                        </m:r>
                      </m:e>
                      <m:sub>
                        <m:r>
                          <w:rPr>
                            <w:rFonts w:ascii="Cambria Math" w:hAnsi="Cambria Math"/>
                          </w:rPr>
                          <m:t xml:space="preserve">17</m:t>
                        </m:r>
                      </m:sub>
                    </m:sSub>
                  </m:den>
                </m:f>
              </m:e>
            </m:d>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r>
              <w:rPr>
                <w:rFonts w:ascii="Cambria Math" w:hAnsi="Cambria Math"/>
              </w:rPr>
              <m:t xml:space="preserve">Γ</m:t>
            </m:r>
          </m:e>
        </m:d>
        <m:r>
          <w:rPr>
            <w:rFonts w:ascii="Cambria Math" w:hAnsi="Cambria Math"/>
          </w:rPr>
          <m:t xml:space="preserve">+</m:t>
        </m:r>
        <m:r>
          <w:rPr>
            <w:rFonts w:ascii="Cambria Math" w:hAnsi="Cambria Math"/>
          </w:rPr>
          <m:t xml:space="preserve">Γ</m:t>
        </m:r>
      </m:oMath>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(J C ; molCO 2 m -2 s -1 ; Eq. A2) (B1)</w:t>
      </w:r>
    </w:p>
    <w:p>
      <w:pPr>
        <w:pStyle w:val="Normal"/>
        <w:spacing w:lineRule="auto" w:line="360"/>
        <w:jc w:val="both"/>
        <w:rPr>
          <w:rFonts w:ascii="times new roman" w:hAnsi="times new roman"/>
          <w:b w:val="false"/>
          <w:b w:val="false"/>
          <w:bCs w:val="false"/>
          <w:i w:val="false"/>
          <w:i w:val="false"/>
          <w:iCs w:val="false"/>
          <w:position w:val="0"/>
          <w:sz w:val="24"/>
          <w:sz w:val="24"/>
          <w:szCs w:val="24"/>
          <w:vertAlign w:val="baseline"/>
          <w:lang w:val="en-US"/>
        </w:rPr>
      </w:pPr>
      <w:r>
        <w:rPr/>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 J L ; molCO 2 m -2 s -1 ; Eq. A4) (B2)</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i w:val="false"/>
          <w:iCs w:val="false"/>
          <w:position w:val="0"/>
          <w:sz w:val="24"/>
          <w:sz w:val="24"/>
          <w:szCs w:val="24"/>
          <w:vertAlign w:val="baseline"/>
          <w:lang w:val="en-US"/>
        </w:rPr>
        <w:t>; molCO</w:t>
      </w:r>
      <w:r>
        <w:rPr>
          <w:rFonts w:ascii="times new roman" w:hAnsi="times new roman"/>
          <w:b w:val="false"/>
          <w:bCs w:val="false"/>
          <w:i w:val="false"/>
          <w:iCs w:val="false"/>
          <w:sz w:val="24"/>
          <w:szCs w:val="24"/>
          <w:vertAlign w:val="subscript"/>
          <w:lang w:val="en-US"/>
        </w:rPr>
        <w:t>2</w:t>
      </w:r>
      <w:r>
        <w:rPr>
          <w:rFonts w:ascii="times new roman" w:hAnsi="times new roman"/>
          <w:b w:val="false"/>
          <w:bCs w:val="false"/>
          <w:i w:val="false"/>
          <w:iCs w:val="false"/>
          <w:position w:val="0"/>
          <w:sz w:val="24"/>
          <w:sz w:val="24"/>
          <w:szCs w:val="24"/>
          <w:vertAlign w:val="baseline"/>
          <w:lang w:val="en-US"/>
        </w:rPr>
        <w:t>m</w:t>
      </w:r>
      <w:r>
        <w:rPr>
          <w:rFonts w:ascii="times new roman" w:hAnsi="times new roman"/>
          <w:b w:val="false"/>
          <w:bCs w:val="false"/>
          <w:i w:val="false"/>
          <w:iCs w:val="false"/>
          <w:sz w:val="24"/>
          <w:szCs w:val="24"/>
          <w:vertAlign w:val="superscript"/>
          <w:lang w:val="en-US"/>
        </w:rPr>
        <w:t>-2</w:t>
      </w:r>
      <w:r>
        <w:rPr>
          <w:rFonts w:ascii="times new roman" w:hAnsi="times new roman"/>
          <w:b w:val="false"/>
          <w:bCs w:val="false"/>
          <w:i w:val="false"/>
          <w:iCs w:val="false"/>
          <w:position w:val="0"/>
          <w:sz w:val="24"/>
          <w:sz w:val="24"/>
          <w:szCs w:val="24"/>
          <w:vertAlign w:val="baseline"/>
          <w:lang w:val="en-US"/>
        </w:rPr>
        <w:t>s</w:t>
      </w:r>
      <w:r>
        <w:rPr>
          <w:rFonts w:ascii="times new roman" w:hAnsi="times new roman"/>
          <w:b w:val="false"/>
          <w:bCs w:val="false"/>
          <w:i w:val="false"/>
          <w:iCs w:val="false"/>
          <w:sz w:val="24"/>
          <w:szCs w:val="24"/>
          <w:vertAlign w:val="superscript"/>
          <w:lang w:val="en-US"/>
        </w:rPr>
        <w:t>-1</w:t>
      </w:r>
      <w:r>
        <w:rPr>
          <w:rFonts w:ascii="times new roman" w:hAnsi="times new roman"/>
          <w:b w:val="false"/>
          <w:bCs w:val="false"/>
          <w:i w:val="false"/>
          <w:iCs w:val="false"/>
          <w:position w:val="0"/>
          <w:sz w:val="24"/>
          <w:sz w:val="24"/>
          <w:szCs w:val="24"/>
          <w:vertAlign w:val="baseline"/>
          <w:lang w:val="en-US"/>
        </w:rPr>
        <w:t>; Eq. (B3))</w:t>
      </w:r>
    </w:p>
    <w:p>
      <w:pPr>
        <w:pStyle w:val="Normal"/>
        <w:spacing w:lineRule="auto" w:line="360"/>
        <w:jc w:val="both"/>
        <w:rPr>
          <w:rFonts w:ascii="times new roman" w:hAnsi="times new roman"/>
          <w:i w:val="false"/>
          <w:i w:val="false"/>
          <w:iCs w:val="false"/>
          <w:sz w:val="24"/>
          <w:szCs w:val="24"/>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b w:val="false"/>
          <w:bCs w:val="false"/>
          <w:i w:val="false"/>
          <w:iCs w:val="false"/>
          <w:position w:val="0"/>
          <w:sz w:val="24"/>
          <w:sz w:val="24"/>
          <w:szCs w:val="24"/>
          <w:vertAlign w:val="baseline"/>
          <w:lang w:val="en-US"/>
        </w:rPr>
        <w:t>(molCO</w:t>
      </w:r>
      <w:r>
        <w:rPr>
          <w:rFonts w:ascii="times new roman" w:hAnsi="times new roman"/>
          <w:b w:val="false"/>
          <w:bCs w:val="false"/>
          <w:i w:val="false"/>
          <w:iCs w:val="false"/>
          <w:sz w:val="24"/>
          <w:szCs w:val="24"/>
          <w:vertAlign w:val="subscript"/>
          <w:lang w:val="en-US"/>
        </w:rPr>
        <w:t>2</w:t>
      </w:r>
      <w:r>
        <w:rPr>
          <w:rFonts w:ascii="times new roman" w:hAnsi="times new roman"/>
          <w:b w:val="false"/>
          <w:bCs w:val="false"/>
          <w:i w:val="false"/>
          <w:iCs w:val="false"/>
          <w:position w:val="0"/>
          <w:sz w:val="24"/>
          <w:sz w:val="24"/>
          <w:szCs w:val="24"/>
          <w:vertAlign w:val="baseline"/>
          <w:lang w:val="en-US"/>
        </w:rPr>
        <w:t>m</w:t>
      </w:r>
      <w:r>
        <w:rPr>
          <w:rFonts w:ascii="times new roman" w:hAnsi="times new roman"/>
          <w:b w:val="false"/>
          <w:bCs w:val="false"/>
          <w:i w:val="false"/>
          <w:iCs w:val="false"/>
          <w:sz w:val="24"/>
          <w:szCs w:val="24"/>
          <w:vertAlign w:val="superscript"/>
          <w:lang w:val="en-US"/>
        </w:rPr>
        <w:t>-2</w:t>
      </w:r>
      <w:r>
        <w:rPr>
          <w:rFonts w:ascii="times new roman" w:hAnsi="times new roman"/>
          <w:b w:val="false"/>
          <w:bCs w:val="false"/>
          <w:i w:val="false"/>
          <w:iCs w:val="false"/>
          <w:position w:val="0"/>
          <w:sz w:val="24"/>
          <w:sz w:val="24"/>
          <w:szCs w:val="24"/>
          <w:vertAlign w:val="baseline"/>
          <w:lang w:val="en-US"/>
        </w:rPr>
        <w:t>s</w:t>
      </w:r>
      <w:r>
        <w:rPr>
          <w:rFonts w:ascii="times new roman" w:hAnsi="times new roman"/>
          <w:b w:val="false"/>
          <w:bCs w:val="false"/>
          <w:i w:val="false"/>
          <w:iCs w:val="false"/>
          <w:sz w:val="24"/>
          <w:szCs w:val="24"/>
          <w:vertAlign w:val="superscript"/>
          <w:lang w:val="en-US"/>
        </w:rPr>
        <w:t xml:space="preserve">-1 </w:t>
      </w:r>
      <w:r>
        <w:rPr>
          <w:rFonts w:ascii="times new roman" w:hAnsi="times new roman"/>
          <w:b w:val="false"/>
          <w:bCs w:val="false"/>
          <w:i w:val="false"/>
          <w:iCs w:val="false"/>
          <w:position w:val="0"/>
          <w:sz w:val="24"/>
          <w:sz w:val="24"/>
          <w:szCs w:val="24"/>
          <w:vertAlign w:val="baseline"/>
          <w:lang w:val="en-US"/>
        </w:rPr>
        <w:t>; Eq. (B4))</w:t>
      </w:r>
    </w:p>
    <w:p>
      <w:pPr>
        <w:pStyle w:val="Normal"/>
        <w:spacing w:lineRule="auto" w:line="360"/>
        <w:jc w:val="both"/>
        <w:rPr>
          <w:rFonts w:ascii="times new roman" w:hAnsi="times new roman"/>
          <w:i w:val="false"/>
          <w:i w:val="false"/>
          <w:iCs w:val="false"/>
          <w:sz w:val="24"/>
          <w:szCs w:val="24"/>
          <w:lang w:val="en-US"/>
        </w:rPr>
      </w:pPr>
      <w:r>
        <w:rPr/>
      </w:r>
      <m:oMath xmlns:m="http://schemas.openxmlformats.org/officeDocument/2006/math">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sun</m:t>
            </m:r>
          </m:sup>
        </m:sSubSup>
      </m:oMath>
      <w:r>
        <w:rPr>
          <w:rFonts w:ascii="times new roman" w:hAnsi="times new roman"/>
          <w:b w:val="false"/>
          <w:bCs w:val="false"/>
          <w:i w:val="false"/>
          <w:iCs w:val="false"/>
          <w:position w:val="0"/>
          <w:sz w:val="24"/>
          <w:sz w:val="24"/>
          <w:szCs w:val="24"/>
          <w:vertAlign w:val="baseline"/>
          <w:lang w:val="en-US"/>
        </w:rPr>
        <w:t xml:space="preserve">(Eq. (BXX)) and </w:t>
      </w: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sSubSup>
          <m:e>
            <m:r>
              <w:rPr>
                <w:rFonts w:ascii="Cambria Math" w:hAnsi="Cambria Math"/>
              </w:rPr>
              <m:t xml:space="preserve">f</m:t>
            </m:r>
          </m:e>
          <m:sub>
            <m:r>
              <w:rPr>
                <w:rFonts w:ascii="Cambria Math" w:hAnsi="Cambria Math"/>
              </w:rPr>
              <m:t xml:space="preserve">4</m:t>
            </m:r>
          </m:sub>
          <m:sup>
            <m:r>
              <w:rPr>
                <w:rFonts w:ascii="Cambria Math" w:hAnsi="Cambria Math"/>
              </w:rPr>
              <m:t xml:space="preserve">shade</m:t>
            </m:r>
          </m:sup>
        </m:sSubSup>
      </m:oMath>
      <w:r>
        <w:rPr>
          <w:rFonts w:ascii="times new roman" w:hAnsi="times new roman"/>
          <w:b w:val="false"/>
          <w:bCs w:val="false"/>
          <w:i w:val="false"/>
          <w:iCs w:val="false"/>
          <w:position w:val="0"/>
          <w:sz w:val="24"/>
          <w:sz w:val="24"/>
          <w:szCs w:val="24"/>
          <w:vertAlign w:val="baseline"/>
          <w:lang w:val="en-US"/>
        </w:rPr>
        <w:t>(Eq. (BXX)) A parte sun visa</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representar a parte do dossel em que a radiação incide diretamente em um ângulo de 90o</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em relação à superfície. Já a parte shade visa representar a parte sombreada do dossel, em</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que o sol atinge a superfície em um ângulo de 20o representando a chegada de menos</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radiação solar. A redução da radiação solar que atinge a parte sombreada se deve,</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sobretudo, à absorção de grande parte dessa radiação pelas folhas da porção iluminada do</w:t>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dossel.</w:t>
      </w:r>
    </w:p>
    <w:p>
      <w:pPr>
        <w:pStyle w:val="Normal"/>
        <w:spacing w:lineRule="auto" w:line="360"/>
        <w:jc w:val="both"/>
        <w:rPr>
          <w:rFonts w:ascii="times new roman" w:hAnsi="times new roman"/>
          <w:b w:val="false"/>
          <w:b w:val="false"/>
          <w:bCs w:val="false"/>
          <w:position w:val="0"/>
          <w:sz w:val="24"/>
          <w:sz w:val="24"/>
          <w:vertAlign w:val="baseline"/>
        </w:rPr>
      </w:pPr>
      <w:r>
        <w:rPr>
          <w:rFonts w:ascii="times new roman" w:hAnsi="times new roman"/>
          <w:b w:val="false"/>
          <w:bCs w:val="false"/>
          <w:position w:val="0"/>
          <w:sz w:val="24"/>
          <w:sz w:val="24"/>
          <w:vertAlign w:val="baseline"/>
        </w:rPr>
      </w:r>
    </w:p>
    <w:p>
      <w:pPr>
        <w:pStyle w:val="Normal"/>
        <w:spacing w:lineRule="auto" w:line="36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r>
          <w:rPr>
            <w:rFonts w:ascii="Cambria Math" w:hAnsi="Cambria Math"/>
          </w:rPr>
          <m:t xml:space="preserve">D</m:t>
        </m:r>
      </m:oMath>
      <w:r>
        <w:rPr>
          <w:rFonts w:ascii="times new roman" w:hAnsi="times new roman"/>
          <w:b w:val="false"/>
          <w:bCs w:val="false"/>
          <w:i w:val="false"/>
          <w:iCs w:val="false"/>
          <w:position w:val="0"/>
          <w:sz w:val="24"/>
          <w:sz w:val="24"/>
          <w:szCs w:val="24"/>
          <w:vertAlign w:val="baseline"/>
          <w:lang w:val="en-US"/>
        </w:rPr>
        <w:t>;  mmH</w:t>
      </w:r>
      <w:r>
        <w:rPr>
          <w:rFonts w:ascii="times new roman" w:hAnsi="times new roman"/>
          <w:b w:val="false"/>
          <w:bCs w:val="false"/>
          <w:i w:val="false"/>
          <w:iCs w:val="false"/>
          <w:sz w:val="24"/>
          <w:szCs w:val="24"/>
          <w:vertAlign w:val="subscript"/>
          <w:lang w:val="en-US"/>
        </w:rPr>
        <w:t>2</w:t>
      </w:r>
      <w:r>
        <w:rPr>
          <w:rFonts w:ascii="times new roman" w:hAnsi="times new roman"/>
          <w:b w:val="false"/>
          <w:bCs w:val="false"/>
          <w:i w:val="false"/>
          <w:iCs w:val="false"/>
          <w:position w:val="0"/>
          <w:sz w:val="24"/>
          <w:sz w:val="24"/>
          <w:szCs w:val="24"/>
          <w:vertAlign w:val="baseline"/>
          <w:lang w:val="en-US"/>
        </w:rPr>
        <w:t>Oday</w:t>
      </w:r>
      <w:r>
        <w:rPr>
          <w:rFonts w:ascii="times new roman" w:hAnsi="times new roman"/>
          <w:b w:val="false"/>
          <w:bCs w:val="false"/>
          <w:i w:val="false"/>
          <w:iCs w:val="false"/>
          <w:sz w:val="24"/>
          <w:szCs w:val="24"/>
          <w:vertAlign w:val="superscript"/>
          <w:lang w:val="en-US"/>
        </w:rPr>
        <w:t>-1</w:t>
      </w:r>
      <w:r>
        <w:rPr>
          <w:rFonts w:ascii="times new roman" w:hAnsi="times new roman"/>
          <w:b w:val="false"/>
          <w:bCs w:val="false"/>
          <w:i w:val="false"/>
          <w:iCs w:val="false"/>
          <w:position w:val="0"/>
          <w:sz w:val="24"/>
          <w:sz w:val="24"/>
          <w:szCs w:val="24"/>
          <w:vertAlign w:val="baseline"/>
          <w:lang w:val="en-US"/>
        </w:rPr>
        <w:t>; Eq. (BXX))</w:t>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position w:val="0"/>
          <w:sz w:val="24"/>
          <w:sz w:val="24"/>
          <w:szCs w:val="24"/>
          <w:vertAlign w:val="baseline"/>
          <w:lang w:val="en-US"/>
        </w:rPr>
      </w:r>
      <m:oMath xmlns:m="http://schemas.openxmlformats.org/officeDocument/2006/math">
        <m:r>
          <w:rPr>
            <w:rFonts w:ascii="Cambria Math" w:hAnsi="Cambria Math"/>
          </w:rPr>
          <m:t xml:space="preserve">w</m:t>
        </m:r>
      </m:oMath>
      <w:r>
        <w:rPr>
          <w:rFonts w:ascii="times new roman" w:hAnsi="times new roman"/>
          <w:b w:val="false"/>
          <w:bCs w:val="false"/>
          <w:i w:val="false"/>
          <w:iCs w:val="false"/>
          <w:position w:val="0"/>
          <w:sz w:val="24"/>
          <w:sz w:val="24"/>
          <w:szCs w:val="24"/>
          <w:vertAlign w:val="baseline"/>
          <w:lang w:val="en-US"/>
        </w:rPr>
        <w:t>; dimensionless; Eq. (BXX))</w:t>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LAIsun</w:t>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LAIshade</w:t>
      </w:r>
    </w:p>
    <w:p>
      <w:pPr>
        <w:pStyle w:val="Normal"/>
        <w:spacing w:lineRule="auto" w:line="360"/>
        <w:jc w:val="both"/>
        <w:rPr/>
      </w:pPr>
      <w:r>
        <w:rPr>
          <w:rFonts w:ascii="times new roman" w:hAnsi="times new roman"/>
          <w:b w:val="false"/>
          <w:bCs w:val="false"/>
          <w:i w:val="false"/>
          <w:iCs w:val="false"/>
          <w:position w:val="0"/>
          <w:sz w:val="24"/>
          <w:sz w:val="24"/>
          <w:szCs w:val="24"/>
          <w:vertAlign w:val="baseline"/>
          <w:lang w:val="en-US"/>
        </w:rPr>
        <w:t>temperatura do solo</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548</TotalTime>
  <Application>LibreOffice/6.0.3.2$Linux_X86_64 LibreOffice_project/00m0$Build-2</Application>
  <Pages>2</Pages>
  <Words>326</Words>
  <Characters>1543</Characters>
  <CharactersWithSpaces>1926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2019-07-16T15:23:31Z</dcterms:created>
  <dc:creator>Bianca Rius</dc:creator>
  <dc:description/>
  <dc:language>en-US</dc:language>
  <cp:lastModifiedBy>Bianca Rius</cp:lastModifiedBy>
  <dcterms:modified xsi:type="dcterms:W3CDTF">2019-07-19T17:04:58Z</dcterms:modified>
  <cp:revision>7</cp:revision>
  <dc:subject/>
  <dc:title/>
</cp:coreProperties>
</file>