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41.png" ContentType="image/png"/>
  <Override PartName="/word/media/rId36.png" ContentType="image/png"/>
  <Override PartName="/word/media/rId28.png" ContentType="image/png"/>
  <Override PartName="/word/media/rId37.png" ContentType="image/png"/>
  <Override PartName="/word/media/rId31.png" ContentType="image/png"/>
  <Override PartName="/word/media/rId54.png" ContentType="image/png"/>
  <Override PartName="/word/media/rId53.png" ContentType="image/png"/>
  <Override PartName="/word/media/rId51.png" ContentType="image/png"/>
  <Override PartName="/word/media/rId39.png" ContentType="image/png"/>
  <Override PartName="/word/media/rId47.png" ContentType="image/png"/>
  <Override PartName="/word/media/rId48.png" ContentType="image/png"/>
  <Override PartName="/word/media/rId33.png" ContentType="image/png"/>
  <Override PartName="/word/media/rId30.png" ContentType="image/png"/>
  <Override PartName="/word/media/rId27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run-book"/>
      <w:bookmarkEnd w:id="22"/>
      <w:r>
        <w:t xml:space="preserve">Run Book</w:t>
      </w:r>
    </w:p>
    <w:p>
      <w:pPr>
        <w:pStyle w:val="Heading2"/>
      </w:pPr>
      <w:bookmarkStart w:id="23" w:name="introduction"/>
      <w:bookmarkEnd w:id="23"/>
      <w:r>
        <w:t xml:space="preserve">Introduction</w:t>
      </w:r>
    </w:p>
    <w:p>
      <w:pPr>
        <w:pStyle w:val="FirstParagraph"/>
      </w:pPr>
      <w:r>
        <w:t xml:space="preserve">This Run Book is written for election administrators who will be</w:t>
      </w:r>
      <w:r>
        <w:t xml:space="preserve"> </w:t>
      </w:r>
      <w:r>
        <w:t xml:space="preserve">implementing a Risk Limiting Audit (RLA) using the RLA Tool.</w:t>
      </w:r>
      <w:r>
        <w:t xml:space="preserve"> </w:t>
      </w:r>
      <w:r>
        <w:t xml:space="preserve">The Run Book will assist these election administrators</w:t>
      </w:r>
      <w:r>
        <w:t xml:space="preserve"> </w:t>
      </w:r>
      <w:r>
        <w:t xml:space="preserve">in using to tool to carry out the actions required</w:t>
      </w:r>
      <w:r>
        <w:t xml:space="preserve"> </w:t>
      </w:r>
      <w:r>
        <w:t xml:space="preserve">for a RLA.</w:t>
      </w:r>
    </w:p>
    <w:p>
      <w:pPr>
        <w:pStyle w:val="BodyText"/>
      </w:pPr>
      <w:r>
        <w:t xml:space="preserve">The Risk-Limiting Audit (RLA) Tool, developed by Free &amp; Fair</w:t>
      </w:r>
      <w:r>
        <w:t xml:space="preserve"> </w:t>
      </w:r>
      <w:r>
        <w:t xml:space="preserve">for the Colorado Department of</w:t>
      </w:r>
      <w:r>
        <w:t xml:space="preserve"> </w:t>
      </w:r>
      <w:r>
        <w:t xml:space="preserve">State for use in elections from November 2017 forward, supports</w:t>
      </w:r>
      <w:r>
        <w:t xml:space="preserve"> </w:t>
      </w:r>
      <w:r>
        <w:t xml:space="preserve">running a</w:t>
      </w:r>
      <w:r>
        <w:t xml:space="preserve"> </w:t>
      </w:r>
      <w:r>
        <w:t xml:space="preserve">Risk-Limiting Audit as required by Colorado statute and</w:t>
      </w:r>
      <w:r>
        <w:t xml:space="preserve"> </w:t>
      </w:r>
      <w:r>
        <w:t xml:space="preserve">as described in the</w:t>
      </w:r>
      <w:r>
        <w:t xml:space="preserve"> </w:t>
      </w:r>
      <w:hyperlink r:id="rId24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 The RLA Tool supports a variety of</w:t>
      </w:r>
      <w:r>
        <w:t xml:space="preserve"> </w:t>
      </w:r>
      <w:r>
        <w:t xml:space="preserve">requirements of Rule 25.2.2 and Rule 25.2.3, as described</w:t>
      </w:r>
      <w:r>
        <w:t xml:space="preserve"> </w:t>
      </w:r>
      <w:r>
        <w:t xml:space="preserve">in detail below.</w:t>
      </w:r>
    </w:p>
    <w:p>
      <w:pPr>
        <w:pStyle w:val="BodyText"/>
      </w:pPr>
      <w:r>
        <w:t xml:space="preserve">The RLA Tool enables the Secretary of State and each individual</w:t>
      </w:r>
      <w:r>
        <w:t xml:space="preserve"> </w:t>
      </w:r>
      <w:r>
        <w:t xml:space="preserve">County to carry out a Risk-Limiting Audit. Using the RLA Tool, Secretary of State</w:t>
      </w:r>
      <w:r>
        <w:t xml:space="preserve"> </w:t>
      </w:r>
      <w:r>
        <w:t xml:space="preserve">enter the risk limit, the publicly-generated random seed, and the contests that drive</w:t>
      </w:r>
      <w:r>
        <w:t xml:space="preserve"> </w:t>
      </w:r>
      <w:r>
        <w:t xml:space="preserve">the audit process. The Secretary of State can also identify, at any time,</w:t>
      </w:r>
      <w:r>
        <w:t xml:space="preserve"> </w:t>
      </w:r>
      <w:r>
        <w:t xml:space="preserve">contests that should go to a full hand count. Counties upload</w:t>
      </w:r>
      <w:r>
        <w:t xml:space="preserve"> </w:t>
      </w:r>
      <w:r>
        <w:t xml:space="preserve">verified ballot manifests and cast vote record (CVR) files. The</w:t>
      </w:r>
      <w:r>
        <w:t xml:space="preserve"> </w:t>
      </w:r>
      <w:r>
        <w:t xml:space="preserve">RLA Tool performs the necessary calculations to run the RLA, such as</w:t>
      </w:r>
      <w:r>
        <w:t xml:space="preserve"> </w:t>
      </w:r>
      <w:r>
        <w:t xml:space="preserve">choosing random samples of ballots for audit and determining</w:t>
      </w:r>
      <w:r>
        <w:t xml:space="preserve"> </w:t>
      </w:r>
      <w:r>
        <w:t xml:space="preserve">actual risk levels. County Audit Boards then</w:t>
      </w:r>
      <w:r>
        <w:t xml:space="preserve"> </w:t>
      </w:r>
      <w:r>
        <w:t xml:space="preserve">enter interpretations of ballots into the Tool. While audits are</w:t>
      </w:r>
      <w:r>
        <w:t xml:space="preserve"> </w:t>
      </w:r>
      <w:r>
        <w:t xml:space="preserve">ongoing, the Secretary of</w:t>
      </w:r>
      <w:r>
        <w:t xml:space="preserve"> </w:t>
      </w:r>
      <w:r>
        <w:t xml:space="preserve">State can monitor the progress of the individual Counties.</w:t>
      </w:r>
    </w:p>
    <w:p>
      <w:pPr>
        <w:pStyle w:val="BodyText"/>
      </w:pPr>
      <w:r>
        <w:t xml:space="preserve">The RLA Tool also creates export files for use in the Audit</w:t>
      </w:r>
      <w:r>
        <w:t xml:space="preserve"> </w:t>
      </w:r>
      <w:r>
        <w:t xml:space="preserve">Center, a website required by Rule 25 to disseminate audit-related information</w:t>
      </w:r>
      <w:r>
        <w:t xml:space="preserve"> </w:t>
      </w:r>
      <w:r>
        <w:t xml:space="preserve">to the public.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Persons from the Secretary of State's office as well as persons from the</w:t>
      </w:r>
      <w:r>
        <w:t xml:space="preserve"> </w:t>
      </w:r>
      <w:r>
        <w:t xml:space="preserve">County first must log in to the RLA Tool.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pPr>
        <w:pStyle w:val="BodyText"/>
      </w:pPr>
      <w:r>
        <w:t xml:space="preserve">The RLA Tool will direct each user to the appropriate home page. A</w:t>
      </w:r>
      <w:r>
        <w:t xml:space="preserve"> </w:t>
      </w:r>
      <w:r>
        <w:t xml:space="preserve">user from the Department of State will see the (initially empty)</w:t>
      </w:r>
      <w:r>
        <w:t xml:space="preserve"> </w:t>
      </w:r>
      <w:r>
        <w:t xml:space="preserve">Department of State home page.</w:t>
      </w:r>
    </w:p>
    <w:p>
      <w:pPr>
        <w:pStyle w:val="FigureWithCaption"/>
      </w:pPr>
      <w:r>
        <w:drawing>
          <wp:inline>
            <wp:extent cx="5334000" cy="1746249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tateDashboardEmp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pPr>
        <w:pStyle w:val="BodyText"/>
      </w:pPr>
      <w:r>
        <w:t xml:space="preserve">A County user will see a home page tailored to that County.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Both the Secretary of State site and each County site has a navigation</w:t>
      </w:r>
      <w:r>
        <w:t xml:space="preserve"> </w:t>
      </w:r>
      <w:r>
        <w:t xml:space="preserve">menu in the upper 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pPr>
        <w:pStyle w:val="Heading3"/>
      </w:pPr>
      <w:bookmarkStart w:id="32" w:name="a-entering-the-risk-limit"/>
      <w:bookmarkEnd w:id="32"/>
      <w:r>
        <w:t xml:space="preserve">25.2.2 (A), Entering the Risk Limit</w:t>
      </w:r>
    </w:p>
    <w:p>
      <w:pPr>
        <w:pStyle w:val="FirstParagraph"/>
      </w:pPr>
      <w:r>
        <w:t xml:space="preserve">The Secretary of State will enter the Risk Limit for comparison audits.</w:t>
      </w:r>
    </w:p>
    <w:p>
      <w:pPr>
        <w:pStyle w:val="FigureWithCaption"/>
      </w:pPr>
      <w:r>
        <w:drawing>
          <wp:inline>
            <wp:extent cx="5334000" cy="4007292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pPr>
        <w:pStyle w:val="Heading3"/>
      </w:pPr>
      <w:bookmarkStart w:id="34" w:name="b---e"/>
      <w:bookmarkEnd w:id="34"/>
      <w:r>
        <w:t xml:space="preserve">25.2.2 (B) - (E)</w:t>
      </w:r>
    </w:p>
    <w:p>
      <w:pPr>
        <w:pStyle w:val="FirstParagraph"/>
      </w:pPr>
      <w:r>
        <w:t xml:space="preserve">These parts of Rule 25 must be completed outside of the RLA Tool.</w:t>
      </w:r>
    </w:p>
    <w:p>
      <w:pPr>
        <w:pStyle w:val="Heading3"/>
      </w:pPr>
      <w:bookmarkStart w:id="35" w:name="f-or-g-audit-uploads"/>
      <w:bookmarkEnd w:id="35"/>
      <w:r>
        <w:t xml:space="preserve">25.2.2 (F) or (G),</w:t>
      </w:r>
      <w:r>
        <w:t xml:space="preserve"> </w:t>
      </w:r>
      <w:r>
        <w:t xml:space="preserve">Audit Uploads</w:t>
      </w:r>
    </w:p>
    <w:p>
      <w:pPr>
        <w:pStyle w:val="FirstParagraph"/>
      </w:pPr>
      <w:r>
        <w:t xml:space="preserve">To prepare for upload, the ballot manifest and the CVR file must be</w:t>
      </w:r>
      <w:r>
        <w:t xml:space="preserve"> </w:t>
      </w:r>
      <w:r>
        <w:t xml:space="preserve">first verified and hashed using any SHA-256 hash utility. The RLA Tool</w:t>
      </w:r>
      <w:r>
        <w:t xml:space="preserve"> </w:t>
      </w:r>
      <w:r>
        <w:t xml:space="preserve">itself does not provide a utility for verification or hashing.</w:t>
      </w:r>
    </w:p>
    <w:p>
      <w:pPr>
        <w:pStyle w:val="BodyText"/>
      </w:pPr>
      <w:r>
        <w:t xml:space="preserve">Once the ballot manifest and CVR files are verified and hashed, they</w:t>
      </w:r>
      <w:r>
        <w:t xml:space="preserve"> </w:t>
      </w:r>
      <w:r>
        <w:t xml:space="preserve">can be uploaded into the RLA Tool. If the upload process is</w:t>
      </w:r>
      <w:r>
        <w:t xml:space="preserve"> </w:t>
      </w:r>
      <w:r>
        <w:t xml:space="preserve">interrupted the process will have to be repeated. It is not possible</w:t>
      </w:r>
      <w:r>
        <w:t xml:space="preserve"> </w:t>
      </w:r>
      <w:r>
        <w:t xml:space="preserve">to resume interrupted uploads.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CountyBallotManifes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pPr>
        <w:pStyle w:val="BodyText"/>
      </w:pPr>
      <w:r>
        <w:t xml:space="preserve">After successfully uploading both the Ballot Manifest and the CVR</w:t>
      </w:r>
      <w:r>
        <w:t xml:space="preserve"> </w:t>
      </w:r>
      <w:r>
        <w:t xml:space="preserve">files, the County Dashboard shows the current audit status, including</w:t>
      </w:r>
      <w:r>
        <w:t xml:space="preserve"> </w:t>
      </w:r>
      <w:r>
        <w:t xml:space="preserve">all contests on all CVRs.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ll County Files Successfully Uploaded" title="" id="1" name="Picture"/>
            <a:graphic>
              <a:graphicData uri="http://schemas.openxmlformats.org/drawingml/2006/picture">
                <pic:pic>
                  <pic:nvPicPr>
                    <pic:cNvPr descr="./screenshots/CountyInfoAfterUploadsSuccessfu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County Files Successfully Uploaded</w:t>
      </w:r>
    </w:p>
    <w:p>
      <w:pPr>
        <w:pStyle w:val="BodyText"/>
      </w:pPr>
      <w:r>
        <w:t xml:space="preserve">The upload of RLA Tabulation Results Export to the State's Election</w:t>
      </w:r>
      <w:r>
        <w:t xml:space="preserve"> </w:t>
      </w:r>
      <w:r>
        <w:t xml:space="preserve">Night Reporting System required by 25.2.2 (F)(3) must be completed</w:t>
      </w:r>
      <w:r>
        <w:t xml:space="preserve"> </w:t>
      </w:r>
      <w:r>
        <w:t xml:space="preserve">outside of the RLA Tool.</w:t>
      </w:r>
    </w:p>
    <w:p>
      <w:pPr>
        <w:pStyle w:val="Heading3"/>
      </w:pPr>
      <w:bookmarkStart w:id="38" w:name="h-entering-the-random-seed"/>
      <w:bookmarkEnd w:id="38"/>
      <w:r>
        <w:t xml:space="preserve">25.2.2 (H), Entering the Random Seed</w:t>
      </w:r>
    </w:p>
    <w:p>
      <w:pPr>
        <w:pStyle w:val="FirstParagraph"/>
      </w:pPr>
      <w:r>
        <w:t xml:space="preserve">The Secretary of State will enter the random seed.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pPr>
        <w:pStyle w:val="BodyText"/>
      </w:pPr>
      <w:r>
        <w:t xml:space="preserve">The RLA Tool uses the random seed in the required pseudo-random number</w:t>
      </w:r>
      <w:r>
        <w:t xml:space="preserve"> </w:t>
      </w:r>
      <w:r>
        <w:t xml:space="preserve">generator. The RLA Tool also exports the random seed in a standard</w:t>
      </w:r>
      <w:r>
        <w:t xml:space="preserve"> </w:t>
      </w:r>
      <w:r>
        <w:t xml:space="preserve">format, which the Secretary of State can post to the Audit Center</w:t>
      </w:r>
      <w:r>
        <w:t xml:space="preserve"> </w:t>
      </w:r>
      <w:r>
        <w:t xml:space="preserve">hosted on the Secretary of State website.</w:t>
      </w:r>
      <w:r>
        <w:t xml:space="preserve"> </w:t>
      </w:r>
      <w:r>
        <w:rPr>
          <w:i/>
        </w:rPr>
        <w:t xml:space="preserve">(Ed. note: This feature is</w:t>
      </w:r>
      <w:r>
        <w:rPr>
          <w:i/>
        </w:rPr>
        <w:t xml:space="preserve"> </w:t>
      </w:r>
      <w:r>
        <w:rPr>
          <w:i/>
        </w:rPr>
        <w:t xml:space="preserve">not included in the stage-1 deliverable.)</w:t>
      </w:r>
      <w:r>
        <w:t xml:space="preserve"> </w:t>
      </w:r>
    </w:p>
    <w:p>
      <w:pPr>
        <w:pStyle w:val="Heading3"/>
      </w:pPr>
      <w:bookmarkStart w:id="40" w:name="i-selecting-contests"/>
      <w:bookmarkEnd w:id="40"/>
      <w:r>
        <w:t xml:space="preserve">25.2.2 (I) Selecting Contests</w:t>
      </w:r>
    </w:p>
    <w:p>
      <w:pPr>
        <w:pStyle w:val="FirstParagraph"/>
      </w:pPr>
      <w:r>
        <w:t xml:space="preserve">The Secretary of State will select the contests that will drive the</w:t>
      </w:r>
      <w:r>
        <w:t xml:space="preserve"> </w:t>
      </w:r>
      <w:r>
        <w:t xml:space="preserve">sample size and stop/go decisions for each round. Note that while</w:t>
      </w:r>
      <w:r>
        <w:t xml:space="preserve"> </w:t>
      </w:r>
      <w:r>
        <w:t xml:space="preserve">Rule 25 calls these "contests to be audited", the RLA Tool effectively</w:t>
      </w:r>
      <w:r>
        <w:t xml:space="preserve"> </w:t>
      </w:r>
      <w:r>
        <w:t xml:space="preserve">audits all contests, while using the contests selected by the</w:t>
      </w:r>
      <w:r>
        <w:t xml:space="preserve"> </w:t>
      </w:r>
      <w:r>
        <w:t xml:space="preserve">Secretary of State to calculate the risk levels.</w:t>
      </w:r>
      <w:r>
        <w:t xml:space="preserve"> </w:t>
      </w:r>
      <w:r>
        <w:rPr>
          <w:i/>
        </w:rPr>
        <w:t xml:space="preserve">(Ed. note: The</w:t>
      </w:r>
      <w:r>
        <w:rPr>
          <w:i/>
        </w:rPr>
        <w:t xml:space="preserve"> </w:t>
      </w:r>
      <w:r>
        <w:rPr>
          <w:i/>
        </w:rPr>
        <w:t xml:space="preserve">notion of "rounds" is still under discussion and not included in the</w:t>
      </w:r>
      <w:r>
        <w:rPr>
          <w:i/>
        </w:rPr>
        <w:t xml:space="preserve"> </w:t>
      </w:r>
      <w:r>
        <w:rPr>
          <w:i/>
        </w:rPr>
        <w:t xml:space="preserve">stage-1 deliverable.)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pPr>
        <w:pStyle w:val="Heading3"/>
      </w:pPr>
      <w:bookmarkStart w:id="42" w:name="j-number-of-ballot-cards-to-audit"/>
      <w:bookmarkEnd w:id="42"/>
      <w:r>
        <w:t xml:space="preserve">25.2.2 (J) Number of Ballot Cards to Audit</w:t>
      </w:r>
    </w:p>
    <w:p>
      <w:pPr>
        <w:pStyle w:val="FirstParagraph"/>
      </w:pPr>
      <w:r>
        <w:t xml:space="preserve">The number of ballot cards to audit changes during the course of the</w:t>
      </w:r>
      <w:r>
        <w:t xml:space="preserve"> </w:t>
      </w:r>
      <w:r>
        <w:t xml:space="preserve">audit depending on the risk level, which in turn depends on the number</w:t>
      </w:r>
      <w:r>
        <w:t xml:space="preserve"> </w:t>
      </w:r>
      <w:r>
        <w:t xml:space="preserve">of overstatements (i.e., ballots whose correction by the Audit Board</w:t>
      </w:r>
      <w:r>
        <w:t xml:space="preserve"> </w:t>
      </w:r>
      <w:r>
        <w:t xml:space="preserve">decreases a margin of victory in one of the selected contests) so far.</w:t>
      </w:r>
    </w:p>
    <w:p>
      <w:pPr>
        <w:pStyle w:val="Heading3"/>
      </w:pPr>
      <w:bookmarkStart w:id="43" w:name="k-random-selection-of-ballot-cards-for-audit"/>
      <w:bookmarkEnd w:id="43"/>
      <w:r>
        <w:t xml:space="preserve">25.2.2 (K) Random Selection of Ballot Cards for Audit</w:t>
      </w:r>
    </w:p>
    <w:p>
      <w:pPr>
        <w:pStyle w:val="FirstParagraph"/>
      </w:pPr>
      <w:r>
        <w:t xml:space="preserve">Based on the pseudo-random number generator and random seed from</w:t>
      </w:r>
      <w:r>
        <w:t xml:space="preserve"> </w:t>
      </w:r>
      <w:r>
        <w:t xml:space="preserve">25.2.2 (H) and the current risk levels, the RLA Tool determines the</w:t>
      </w:r>
      <w:r>
        <w:t xml:space="preserve"> </w:t>
      </w:r>
      <w:r>
        <w:t xml:space="preserve">selection of ballot cards for audit.</w:t>
      </w:r>
    </w:p>
    <w:p>
      <w:pPr>
        <w:pStyle w:val="Heading3"/>
      </w:pPr>
      <w:bookmarkStart w:id="44" w:name="a-ballot-retrieval-chain-of-custody-and-examination"/>
      <w:bookmarkEnd w:id="44"/>
      <w:r>
        <w:t xml:space="preserve">25.2.3 (A) Ballot Retrieval, Chain of Custody and Examination</w:t>
      </w:r>
    </w:p>
    <w:p>
      <w:pPr>
        <w:pStyle w:val="FirstParagraph"/>
      </w:pPr>
      <w:r>
        <w:t xml:space="preserve">Ballot retrieval from storage container and verification of seals</w:t>
      </w:r>
      <w:r>
        <w:t xml:space="preserve"> </w:t>
      </w:r>
      <w:r>
        <w:t xml:space="preserve">relative to the chain-of-custody logs must be done outside the RLA</w:t>
      </w:r>
      <w:r>
        <w:t xml:space="preserve"> </w:t>
      </w:r>
      <w:r>
        <w:t xml:space="preserve">Tool.</w:t>
      </w:r>
    </w:p>
    <w:p>
      <w:pPr>
        <w:pStyle w:val="Heading4"/>
      </w:pPr>
      <w:bookmarkStart w:id="45" w:name="a1-comparison-audits"/>
      <w:bookmarkEnd w:id="45"/>
      <w:r>
        <w:t xml:space="preserve">25.2.3 (A)(1) Comparison Audits</w:t>
      </w:r>
    </w:p>
    <w:p>
      <w:pPr>
        <w:pStyle w:val="FirstParagraph"/>
      </w:pPr>
      <w:r>
        <w:t xml:space="preserve">The Audit Board does not log directly into the RLA Tool with usernames</w:t>
      </w:r>
      <w:r>
        <w:t xml:space="preserve"> </w:t>
      </w:r>
      <w:r>
        <w:t xml:space="preserve">and passwords. However, whenever the Audit Board begins to interact</w:t>
      </w:r>
      <w:r>
        <w:t xml:space="preserve"> </w:t>
      </w:r>
      <w:r>
        <w:t xml:space="preserve">with the RLA Tool, either at the beginning of an audit round or after</w:t>
      </w:r>
      <w:r>
        <w:t xml:space="preserve"> </w:t>
      </w:r>
      <w:r>
        <w:t xml:space="preserve">taking a break, there is an informal sign-in process. After the</w:t>
      </w:r>
      <w:r>
        <w:t xml:space="preserve"> </w:t>
      </w:r>
      <w:r>
        <w:t xml:space="preserve">authenticated County Audit Administrator formally logs in, there is a</w:t>
      </w:r>
      <w:r>
        <w:t xml:space="preserve"> </w:t>
      </w:r>
      <w:r>
        <w:t xml:space="preserve">screen where the identity and party affiliation of Audit Board Members</w:t>
      </w:r>
      <w:r>
        <w:t xml:space="preserve"> </w:t>
      </w:r>
      <w:r>
        <w:t xml:space="preserve">can be entered or changed.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uditBoard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pPr>
        <w:pStyle w:val="BodyText"/>
      </w:pPr>
      <w:r>
        <w:t xml:space="preserve">The RLA Tool allows Audit Boards to report the markings on each</w:t>
      </w:r>
      <w:r>
        <w:t xml:space="preserve"> </w:t>
      </w:r>
      <w:r>
        <w:t xml:space="preserve">individual ballot.</w:t>
      </w:r>
    </w:p>
    <w:p>
      <w:pPr>
        <w:pStyle w:val="BodyText"/>
      </w:pPr>
      <w:r>
        <w:t xml:space="preserve">Before recording voter intent, please double-check that the paper</w:t>
      </w:r>
      <w:r>
        <w:t xml:space="preserve"> </w:t>
      </w:r>
      <w:r>
        <w:t xml:space="preserve">ballot ID and Ballot Style match the ID and ballot style listed on the</w:t>
      </w:r>
      <w:r>
        <w:t xml:space="preserve"> </w:t>
      </w:r>
      <w:r>
        <w:t xml:space="preserve">screen. Then record on the screen all final voter intent marked on</w:t>
      </w:r>
      <w:r>
        <w:t xml:space="preserve"> </w:t>
      </w:r>
      <w:r>
        <w:t xml:space="preserve">the paper ballot. In case of an overvote, mark each of the (too many</w:t>
      </w:r>
      <w:r>
        <w:t xml:space="preserve"> </w:t>
      </w:r>
      <w:r>
        <w:t xml:space="preserve">or too few) choices the voter intended; the RLA tool will recognize</w:t>
      </w:r>
      <w:r>
        <w:t xml:space="preserve"> </w:t>
      </w:r>
      <w:r>
        <w:t xml:space="preserve">overvotes and undervotes. In case the Audit Board cannot reach</w:t>
      </w:r>
      <w:r>
        <w:t xml:space="preserve"> </w:t>
      </w:r>
      <w:r>
        <w:t xml:space="preserve">consensus, mark the "No Consensus" box on the screen. Audit Board</w:t>
      </w:r>
      <w:r>
        <w:t xml:space="preserve"> </w:t>
      </w:r>
      <w:r>
        <w:t xml:space="preserve">members can make notes in the comment field.</w:t>
      </w:r>
      <w:r>
        <w:t xml:space="preserve"> 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3479766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After entering the interpretation of the markings from any one ballot,</w:t>
      </w:r>
      <w:r>
        <w:t xml:space="preserve"> </w:t>
      </w:r>
      <w:r>
        <w:t xml:space="preserve">the Audit Board can review what was entered.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pPr>
        <w:pStyle w:val="BodyText"/>
      </w:pPr>
      <w:r>
        <w:t xml:space="preserve">Check that the information on the review screen reflects the Audit</w:t>
      </w:r>
      <w:r>
        <w:t xml:space="preserve"> </w:t>
      </w:r>
      <w:r>
        <w:t xml:space="preserve">Board's interpretation of the ballot. Note that in case of an</w:t>
      </w:r>
      <w:r>
        <w:t xml:space="preserve"> </w:t>
      </w:r>
      <w:r>
        <w:t xml:space="preserve">overvote, the review screen will say, simply, "overvote".</w:t>
      </w:r>
    </w:p>
    <w:p>
      <w:pPr>
        <w:pStyle w:val="BodyText"/>
      </w:pPr>
      <w:r>
        <w:t xml:space="preserve">If the review screen matches the Audit Board's interpretation, click</w:t>
      </w:r>
      <w:r>
        <w:t xml:space="preserve"> </w:t>
      </w:r>
      <w:r>
        <w:t xml:space="preserve">"Submit and Next Ballot". This submission is final. There is no way to</w:t>
      </w:r>
      <w:r>
        <w:t xml:space="preserve"> </w:t>
      </w:r>
      <w:r>
        <w:t xml:space="preserve">revise a ballot interpretation once it has been submitted from the</w:t>
      </w:r>
      <w:r>
        <w:t xml:space="preserve"> </w:t>
      </w:r>
      <w:r>
        <w:t xml:space="preserve">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</w:t>
      </w:r>
      <w:r>
        <w:t xml:space="preserve"> </w:t>
      </w:r>
      <w:r>
        <w:t xml:space="preserve">process. If the review screen does not match the Audit Board's</w:t>
      </w:r>
      <w:r>
        <w:t xml:space="preserve"> </w:t>
      </w:r>
      <w:r>
        <w:t xml:space="preserve">interpretation, click the "Back" button.</w:t>
      </w:r>
      <w:r>
        <w:t xml:space="preserve"> </w:t>
      </w:r>
      <w:r>
        <w:rPr>
          <w:i/>
        </w:rPr>
        <w:t xml:space="preserve">(Ed. note: We intend to</w:t>
      </w:r>
      <w:r>
        <w:rPr>
          <w:i/>
        </w:rPr>
        <w:t xml:space="preserve"> </w:t>
      </w:r>
      <w:r>
        <w:rPr>
          <w:i/>
        </w:rPr>
        <w:t xml:space="preserve">ensure that pressing the brower's back button is not harmful in a</w:t>
      </w:r>
      <w:r>
        <w:rPr>
          <w:i/>
        </w:rPr>
        <w:t xml:space="preserve"> </w:t>
      </w:r>
      <w:r>
        <w:rPr>
          <w:i/>
        </w:rPr>
        <w:t xml:space="preserve">later delivery.)</w:t>
      </w:r>
    </w:p>
    <w:p>
      <w:pPr>
        <w:pStyle w:val="Heading3"/>
      </w:pPr>
      <w:bookmarkStart w:id="49" w:name="a2-ballot-polling-audits"/>
      <w:bookmarkEnd w:id="49"/>
      <w:r>
        <w:t xml:space="preserve">25.2.3 (A)(2) Ballot Polling Audits</w:t>
      </w:r>
    </w:p>
    <w:p>
      <w:pPr>
        <w:pStyle w:val="FirstParagraph"/>
      </w:pPr>
      <w:r>
        <w:t xml:space="preserve">The conduct and reporting of the Audit Board for a Ballot Polling</w:t>
      </w:r>
      <w:r>
        <w:t xml:space="preserve"> </w:t>
      </w:r>
      <w:r>
        <w:t xml:space="preserve">Audit must be completed outside the RLA Tool.</w:t>
      </w:r>
    </w:p>
    <w:p>
      <w:pPr>
        <w:pStyle w:val="Heading3"/>
      </w:pPr>
      <w:bookmarkStart w:id="50" w:name="b-non-unanimous-audit-board"/>
      <w:bookmarkEnd w:id="50"/>
      <w:r>
        <w:t xml:space="preserve">25.2.3 (B) Non-Unanimous Audit Board</w:t>
      </w:r>
    </w:p>
    <w:p>
      <w:pPr>
        <w:pStyle w:val="FirstParagraph"/>
      </w:pPr>
      <w:r>
        <w:t xml:space="preserve">An Audit Board can use the RLA Tool to report lack of consensus on any</w:t>
      </w:r>
      <w:r>
        <w:t xml:space="preserve"> </w:t>
      </w:r>
      <w:r>
        <w:t xml:space="preserve">particular contest on any particular ballot.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No Consensus Screenshot" title="" id="1" name="Picture"/>
            <a:graphic>
              <a:graphicData uri="http://schemas.openxmlformats.org/drawingml/2006/picture">
                <pic:pic>
                  <pic:nvPicPr>
                    <pic:cNvPr descr="./screenshots/NoConsens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 Consensus Screenshot</w:t>
      </w:r>
    </w:p>
    <w:p>
      <w:pPr>
        <w:pStyle w:val="Heading3"/>
      </w:pPr>
      <w:bookmarkStart w:id="52" w:name="c-comparisons-termination-additional-ballots"/>
      <w:bookmarkEnd w:id="52"/>
      <w:r>
        <w:t xml:space="preserve">25.2.3 (C) Comparisons, Termination, Additional Ballots</w:t>
      </w:r>
    </w:p>
    <w:p>
      <w:pPr>
        <w:pStyle w:val="FirstParagraph"/>
      </w:pPr>
      <w:r>
        <w:t xml:space="preserve">The RLA Tool performs the comparison of the Audit Board's</w:t>
      </w:r>
      <w:r>
        <w:t xml:space="preserve"> </w:t>
      </w:r>
      <w:r>
        <w:t xml:space="preserve">interpretations with the corresponding cast vote record from the</w:t>
      </w:r>
      <w:r>
        <w:t xml:space="preserve"> </w:t>
      </w:r>
      <w:r>
        <w:t xml:space="preserve">voting computer system. The results of this comparison are exported</w:t>
      </w:r>
      <w:r>
        <w:t xml:space="preserve"> </w:t>
      </w:r>
      <w:r>
        <w:t xml:space="preserve">for the Secretary of State to post on the Audit (outside the RLA</w:t>
      </w:r>
      <w:r>
        <w:t xml:space="preserve"> </w:t>
      </w:r>
      <w:r>
        <w:t xml:space="preserve">Tool). The RLA Tool will allow the Secretary of State to see if the</w:t>
      </w:r>
      <w:r>
        <w:t xml:space="preserve"> </w:t>
      </w:r>
      <w:r>
        <w:t xml:space="preserve">required Risk Limit has been met for the selected</w:t>
      </w:r>
      <w:r>
        <w:t xml:space="preserve"> </w:t>
      </w:r>
      <w:r>
        <w:t xml:space="preserve">contests.</w:t>
      </w:r>
      <w:r>
        <w:t xml:space="preserve"> </w:t>
      </w:r>
      <w:r>
        <w:rPr>
          <w:i/>
        </w:rPr>
        <w:t xml:space="preserve">(Ed. note: This UI does not yet update in the phase-1</w:t>
      </w:r>
      <w:r>
        <w:rPr>
          <w:i/>
        </w:rPr>
        <w:t xml:space="preserve"> </w:t>
      </w:r>
      <w:r>
        <w:rPr>
          <w:i/>
        </w:rPr>
        <w:t xml:space="preserve">deliverable.)</w:t>
      </w:r>
    </w:p>
    <w:p>
      <w:pPr>
        <w:pStyle w:val="FigureWithCaption"/>
      </w:pPr>
      <w:r>
        <w:drawing>
          <wp:inline>
            <wp:extent cx="5334000" cy="3919844"/>
            <wp:effectExtent b="0" l="0" r="0" t="0"/>
            <wp:docPr descr="Risk Limit Met Query Screen" title="" id="1" name="Picture"/>
            <a:graphic>
              <a:graphicData uri="http://schemas.openxmlformats.org/drawingml/2006/picture">
                <pic:pic>
                  <pic:nvPicPr>
                    <pic:cNvPr descr="./screenshots/LimitMet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Risk Limit Met Query Screen</w:t>
      </w:r>
    </w:p>
    <w:p>
      <w:pPr>
        <w:pStyle w:val="BodyText"/>
      </w:pPr>
      <w:r>
        <w:t xml:space="preserve">The RLA Tool also allows the Secretary of State to designate a contest</w:t>
      </w:r>
      <w:r>
        <w:t xml:space="preserve"> </w:t>
      </w:r>
      <w:r>
        <w:t xml:space="preserve">for hand counting at any time.</w:t>
      </w:r>
      <w:r>
        <w:t xml:space="preserve"> </w:t>
      </w:r>
      <w:r>
        <w:rPr>
          <w:i/>
        </w:rPr>
        <w:t xml:space="preserve">(Ed. note: Handling this asynchronous</w:t>
      </w:r>
      <w:r>
        <w:rPr>
          <w:i/>
        </w:rPr>
        <w:t xml:space="preserve"> </w:t>
      </w:r>
      <w:r>
        <w:rPr>
          <w:i/>
        </w:rPr>
        <w:t xml:space="preserve">notification is not supported in the stage-1 deliverable.)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Full Hand Count Screen" title="" id="1" name="Picture"/>
            <a:graphic>
              <a:graphicData uri="http://schemas.openxmlformats.org/drawingml/2006/picture">
                <pic:pic>
                  <pic:nvPicPr>
                    <pic:cNvPr descr="./screenshots/FullHandC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Full Hand Count Screen</w:t>
      </w:r>
    </w:p>
    <w:p>
      <w:pPr>
        <w:pStyle w:val="BodyText"/>
      </w:pPr>
      <w:r>
        <w:t xml:space="preserve">The RLA Tool automatically randomly selects additional ballots for</w:t>
      </w:r>
      <w:r>
        <w:t xml:space="preserve"> </w:t>
      </w:r>
      <w:r>
        <w:t xml:space="preserve">audit as necessary.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d1b4df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41" Target="media/rId41.png" /><Relationship Type="http://schemas.openxmlformats.org/officeDocument/2006/relationships/image" Id="rId36" Target="media/rId36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1" Target="media/rId31.png" /><Relationship Type="http://schemas.openxmlformats.org/officeDocument/2006/relationships/image" Id="rId54" Target="media/rId54.png" /><Relationship Type="http://schemas.openxmlformats.org/officeDocument/2006/relationships/image" Id="rId53" Target="media/rId53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hyperlink" Id="rId24" Target="http://www.sos.state.co.us/pubs/rule_making/CurrentRules/8CCR1505-1/ElectionRules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2017-08-18T05:44:52Z</dcterms:created>
  <dcterms:modified xsi:type="dcterms:W3CDTF">2017-08-18T05:44:52Z</dcterms:modified>
</cp:coreProperties>
</file>