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Reproducing Real-time Clinical Agenda Setting:</w:t>
      </w:r>
    </w:p>
    <w:p>
      <w:pPr>
        <w:spacing w:after="200"/>
        <w:jc w:val="center"/>
      </w:pPr>
      <w:r>
        <w:rPr>
          <w:rFonts w:ascii="Times New Roman" w:hAnsi="Times New Roman"/>
          <w:b/>
          <w:sz w:val="28"/>
        </w:rPr>
        <w:t>A Reproduction Study with Modern LLMs</w:t>
      </w:r>
    </w:p>
    <w:p>
      <w:pPr>
        <w:spacing w:after="40"/>
        <w:jc w:val="center"/>
      </w:pPr>
      <w:r>
        <w:rPr>
          <w:rFonts w:ascii="Times New Roman" w:hAnsi="Times New Roman"/>
          <w:sz w:val="20"/>
        </w:rPr>
        <w:t>Anonymous</w:t>
      </w:r>
    </w:p>
    <w:p>
      <w:pPr>
        <w:spacing w:after="40"/>
        <w:jc w:val="center"/>
      </w:pPr>
      <w:r>
        <w:rPr>
          <w:rFonts w:ascii="Times New Roman" w:hAnsi="Times New Roman"/>
          <w:i/>
          <w:sz w:val="18"/>
        </w:rPr>
        <w:t>Department of Computer Science, Hongik University</w:t>
      </w:r>
    </w:p>
    <w:p>
      <w:pPr>
        <w:spacing w:before="160" w:after="160"/>
        <w:pBdr>
          <w:bottom w:val="single" w:sz="6" w:space="1" w:color="000000"/>
        </w:pBdr>
      </w:pPr>
    </w:p>
    <w:p>
      <w:pPr>
        <w:spacing w:after="80"/>
        <w:jc w:val="center"/>
      </w:pPr>
      <w:r>
        <w:rPr>
          <w:rFonts w:ascii="Times New Roman" w:hAnsi="Times New Roman"/>
          <w:b/>
          <w:sz w:val="20"/>
        </w:rPr>
        <w:t>Abstract</w:t>
      </w:r>
    </w:p>
    <w:p>
      <w:pPr>
        <w:spacing w:after="120" w:line="260" w:lineRule="exact"/>
        <w:jc w:val="both"/>
      </w:pPr>
      <w:r>
        <w:rPr>
          <w:rFonts w:ascii="Times New Roman" w:hAnsi="Times New Roman"/>
          <w:b w:val="0"/>
          <w:i w:val="0"/>
          <w:sz w:val="20"/>
        </w:rPr>
        <w:t xml:space="preserve">We reproduce the four experiments from Jang et al. (GenAI4Health @ AAAI 2025) on real-time clinical agenda setting using LLMs. Due to the unavailability of the original clinical dataset, we construct 10 synthetic patient-doctor scenarios (204 dialogue lines, 94 annotations) and evaluate using identical metrics: ROUGE-L, BLEU, BERTScore, SemScore, Precision, and Recall. Our reproduction confirms the key finding that a </w:t>
      </w:r>
      <w:r>
        <w:rPr>
          <w:rFonts w:ascii="Times New Roman" w:hAnsi="Times New Roman"/>
          <w:b w:val="0"/>
          <w:i/>
          <w:sz w:val="20"/>
        </w:rPr>
        <w:t>growing window</w:t>
      </w:r>
      <w:r>
        <w:rPr>
          <w:rFonts w:ascii="Times New Roman" w:hAnsi="Times New Roman"/>
          <w:b w:val="0"/>
          <w:i w:val="0"/>
          <w:sz w:val="20"/>
        </w:rPr>
        <w:t xml:space="preserve"> strategy with input size 5 and context size 5 achieves the best precision-recall balance. While absolute scores differ due to synthetic data and model version changes, the directional trends are consistent with the original study. We further extend the evaluation to three state-of-the-art models (GPT-5.3-Codex, Claude Opus 4.6, Gemini 3.1 Pro) to benchmark modern LLM performance on this task. Code and data are publicly available at </w:t>
      </w:r>
      <w:r>
        <w:rPr>
          <w:rFonts w:ascii="Times New Roman" w:hAnsi="Times New Roman"/>
          <w:b w:val="0"/>
          <w:i/>
          <w:sz w:val="20"/>
        </w:rPr>
        <w:t>github.com/Bias92/clinical-agenda-setting</w:t>
      </w:r>
      <w:r>
        <w:rPr>
          <w:rFonts w:ascii="Times New Roman" w:hAnsi="Times New Roman"/>
          <w:b w:val="0"/>
          <w:i w:val="0"/>
          <w:sz w:val="20"/>
        </w:rPr>
        <w:t>.</w:t>
      </w:r>
    </w:p>
    <w:p>
      <w:pPr>
        <w:spacing w:before="280" w:after="120"/>
      </w:pPr>
      <w:r>
        <w:rPr>
          <w:rFonts w:ascii="Times New Roman" w:hAnsi="Times New Roman"/>
          <w:b/>
          <w:sz w:val="22"/>
        </w:rPr>
        <w:t>1  Introduction</w:t>
      </w:r>
    </w:p>
    <w:p>
      <w:pPr>
        <w:spacing w:after="120" w:before="0" w:line="260" w:lineRule="exact"/>
        <w:jc w:val="both"/>
      </w:pPr>
      <w:r>
        <w:rPr>
          <w:rFonts w:ascii="Times New Roman" w:hAnsi="Times New Roman"/>
          <w:sz w:val="20"/>
        </w:rPr>
        <w:t>Clinical agenda setting is a critical component of effective primary care visits, where physicians must identify and prioritize patient concerns in real time. Jang et al. (2025) proposed an LLM-based system for automating this process, evaluating four experimental configurations across multiple models including GPT-3.5 Turbo, Llama 2/3, and Vicuna.</w:t>
      </w:r>
    </w:p>
    <w:p>
      <w:pPr>
        <w:spacing w:after="120" w:before="0" w:line="260" w:lineRule="exact"/>
        <w:ind w:firstLine="432"/>
        <w:jc w:val="both"/>
      </w:pPr>
      <w:r>
        <w:rPr>
          <w:rFonts w:ascii="Times New Roman" w:hAnsi="Times New Roman"/>
          <w:sz w:val="20"/>
        </w:rPr>
        <w:t>This work presents a full reproduction of their experimental pipeline, motivated by two objectives: (1) to verify the reproducibility of the reported trends and conclusions, and (2) to extend the evaluation to current state-of-the-art models released in early 2026. Our contributions are as follows:</w:t>
      </w:r>
    </w:p>
    <w:p>
      <w:pPr>
        <w:spacing w:after="120" w:line="260" w:lineRule="exact"/>
        <w:ind w:firstLine="432"/>
        <w:jc w:val="both"/>
      </w:pPr>
      <w:r>
        <w:rPr>
          <w:rFonts w:ascii="Times New Roman" w:hAnsi="Times New Roman"/>
          <w:b/>
          <w:i w:val="0"/>
          <w:sz w:val="20"/>
        </w:rPr>
        <w:t xml:space="preserve">(i) Complete pipeline reproduction. </w:t>
      </w:r>
      <w:r>
        <w:rPr>
          <w:rFonts w:ascii="Times New Roman" w:hAnsi="Times New Roman"/>
          <w:b w:val="0"/>
          <w:i w:val="0"/>
          <w:sz w:val="20"/>
        </w:rPr>
        <w:t>We re-implement all four experiments (baseline, input lines, real-time simulation, context aggregation) with identical evaluation metrics and prompts.</w:t>
      </w:r>
    </w:p>
    <w:p>
      <w:pPr>
        <w:spacing w:after="120" w:line="260" w:lineRule="exact"/>
        <w:ind w:firstLine="432"/>
        <w:jc w:val="both"/>
      </w:pPr>
      <w:r>
        <w:rPr>
          <w:rFonts w:ascii="Times New Roman" w:hAnsi="Times New Roman"/>
          <w:b/>
          <w:i w:val="0"/>
          <w:sz w:val="20"/>
        </w:rPr>
        <w:t xml:space="preserve">(ii) Synthetic data construction. </w:t>
      </w:r>
      <w:r>
        <w:rPr>
          <w:rFonts w:ascii="Times New Roman" w:hAnsi="Times New Roman"/>
          <w:b w:val="0"/>
          <w:i w:val="0"/>
          <w:sz w:val="20"/>
        </w:rPr>
        <w:t>We generate 10 clinically plausible patient-doctor dialogues with structured annotation to address the unavailability of the original dataset.</w:t>
      </w:r>
    </w:p>
    <w:p>
      <w:pPr>
        <w:spacing w:after="120" w:line="260" w:lineRule="exact"/>
        <w:ind w:firstLine="432"/>
        <w:jc w:val="both"/>
      </w:pPr>
      <w:r>
        <w:rPr>
          <w:rFonts w:ascii="Times New Roman" w:hAnsi="Times New Roman"/>
          <w:b/>
          <w:i w:val="0"/>
          <w:sz w:val="20"/>
        </w:rPr>
        <w:t xml:space="preserve">(iii) Modern LLM benchmarking. </w:t>
      </w:r>
      <w:r>
        <w:rPr>
          <w:rFonts w:ascii="Times New Roman" w:hAnsi="Times New Roman"/>
          <w:b w:val="0"/>
          <w:i w:val="0"/>
          <w:sz w:val="20"/>
        </w:rPr>
        <w:t>We evaluate GPT-5.3-Codex, Claude Opus 4.6, and Gemini 3.1 Pro, providing the first cross-provider comparison for clinical agenda setting.</w:t>
      </w:r>
    </w:p>
    <w:p>
      <w:pPr>
        <w:spacing w:before="280" w:after="120"/>
      </w:pPr>
      <w:r>
        <w:rPr>
          <w:rFonts w:ascii="Times New Roman" w:hAnsi="Times New Roman"/>
          <w:b/>
          <w:sz w:val="22"/>
        </w:rPr>
        <w:t>2  Original Study</w:t>
      </w:r>
    </w:p>
    <w:p>
      <w:pPr>
        <w:spacing w:after="120" w:before="0" w:line="260" w:lineRule="exact"/>
        <w:jc w:val="both"/>
      </w:pPr>
      <w:r>
        <w:rPr>
          <w:rFonts w:ascii="Times New Roman" w:hAnsi="Times New Roman"/>
          <w:sz w:val="20"/>
        </w:rPr>
        <w:t>The original paper evaluates LLM-based agenda setting across four experimental conditions. The Baseline (Table 1) feeds the full transcript to the model. Input Lines (Table 2) varies chunk sizes (2, 5, 10, 20 lines). Real-time Simulation (Table 3) processes dialogue line-by-line with varying context window sizes (0, 1, 20, 50, 100, max). Context Aggregation (Table 4) compares sliding and growing window strategies for context management.</w:t>
      </w:r>
    </w:p>
    <w:p>
      <w:pPr>
        <w:spacing w:after="120" w:before="0" w:line="260" w:lineRule="exact"/>
        <w:ind w:firstLine="432"/>
        <w:jc w:val="both"/>
      </w:pPr>
      <w:r>
        <w:rPr>
          <w:rFonts w:ascii="Times New Roman" w:hAnsi="Times New Roman"/>
          <w:sz w:val="20"/>
        </w:rPr>
        <w:t>Evaluation employs detection metrics (Precision, Recall) computed via fuzzy string matching against annotated agenda items, and summarization metrics (ROUGE-L, BLEU, BERTScore, SemScore) comparing generated summaries to reference agendas.</w:t>
      </w:r>
    </w:p>
    <w:p>
      <w:pPr>
        <w:spacing w:before="280" w:after="120"/>
      </w:pPr>
      <w:r>
        <w:rPr>
          <w:rFonts w:ascii="Times New Roman" w:hAnsi="Times New Roman"/>
          <w:b/>
          <w:sz w:val="22"/>
        </w:rPr>
        <w:t>3  Reproduction Methodology</w:t>
      </w:r>
    </w:p>
    <w:p>
      <w:pPr>
        <w:spacing w:before="200" w:after="80"/>
      </w:pPr>
      <w:r>
        <w:rPr>
          <w:rFonts w:ascii="Times New Roman" w:hAnsi="Times New Roman"/>
          <w:b/>
          <w:sz w:val="20"/>
        </w:rPr>
        <w:t>3.1  Data</w:t>
      </w:r>
    </w:p>
    <w:p>
      <w:pPr>
        <w:spacing w:after="120" w:before="0" w:line="260" w:lineRule="exact"/>
        <w:jc w:val="both"/>
      </w:pPr>
      <w:r>
        <w:rPr>
          <w:rFonts w:ascii="Times New Roman" w:hAnsi="Times New Roman"/>
          <w:sz w:val="20"/>
        </w:rPr>
        <w:t>The original dataset comprises 16 annotated patient-doctor conversations from primary care visits. As this data is not publicly available, we constructed 10 synthetic clinical scenarios covering common presenting complaints: cough with dyspnea, chronic headache, lower back pain, diabetes management, chest pain, abdominal pain, anxiety with insomnia, knee pain, skin rash, and fatigue with weight gain. Each scenario contains 18–24 dialogue lines with 8–11 annotated agenda items, totaling 204 lines and 94 annotations.</w:t>
      </w:r>
    </w:p>
    <w:p>
      <w:pPr>
        <w:spacing w:before="200" w:after="80"/>
      </w:pPr>
      <w:r>
        <w:rPr>
          <w:rFonts w:ascii="Times New Roman" w:hAnsi="Times New Roman"/>
          <w:b/>
          <w:sz w:val="20"/>
        </w:rPr>
        <w:t>3.2  Models</w:t>
      </w:r>
    </w:p>
    <w:p>
      <w:pPr>
        <w:spacing w:after="120" w:before="0" w:line="260" w:lineRule="exact"/>
        <w:jc w:val="both"/>
      </w:pPr>
      <w:r>
        <w:rPr>
          <w:rFonts w:ascii="Times New Roman" w:hAnsi="Times New Roman"/>
          <w:sz w:val="20"/>
        </w:rPr>
        <w:t>For the reproduction, we use GPT-3.5 Turbo via the OpenAI API with temperature=0 for deterministic outputs. We apply the same prompt templates described in Section 4.4 of the original paper. For the modern LLM extension, we additionally evaluate GPT-5.3-Codex (OpenAI, Feb 2026), Claude Opus 4.6 (Anthropic, Feb 2026), and Gemini 3.1 Pro (Google DeepMind, Feb 2026).</w:t>
      </w:r>
    </w:p>
    <w:p>
      <w:pPr>
        <w:spacing w:before="200" w:after="80"/>
      </w:pPr>
      <w:r>
        <w:rPr>
          <w:rFonts w:ascii="Times New Roman" w:hAnsi="Times New Roman"/>
          <w:b/>
          <w:sz w:val="20"/>
        </w:rPr>
        <w:t>3.3  Evaluation Metrics</w:t>
      </w:r>
    </w:p>
    <w:p>
      <w:pPr>
        <w:spacing w:after="120" w:before="0" w:line="260" w:lineRule="exact"/>
        <w:jc w:val="both"/>
      </w:pPr>
      <w:r>
        <w:rPr>
          <w:rFonts w:ascii="Times New Roman" w:hAnsi="Times New Roman"/>
          <w:sz w:val="20"/>
        </w:rPr>
        <w:t>We implement all six metrics from the original study. For BERTScore, we substitute roberta-large for the original deberta-xlarge-mnli due to compatibility constraints with current library versions. This substitution may affect absolute BERTScore values but does not impact relative comparisons across experimental conditions.</w:t>
      </w:r>
    </w:p>
    <w:p>
      <w:pPr>
        <w:spacing w:before="280" w:after="120"/>
      </w:pPr>
      <w:r>
        <w:rPr>
          <w:rFonts w:ascii="Times New Roman" w:hAnsi="Times New Roman"/>
          <w:b/>
          <w:sz w:val="22"/>
        </w:rPr>
        <w:t>4  Reproduction Results</w:t>
      </w:r>
    </w:p>
    <w:p>
      <w:pPr>
        <w:spacing w:before="240" w:after="80"/>
        <w:jc w:val="left"/>
      </w:pPr>
      <w:r>
        <w:rPr>
          <w:rFonts w:ascii="Times New Roman" w:hAnsi="Times New Roman"/>
          <w:b/>
          <w:sz w:val="18"/>
        </w:rPr>
        <w:t>Table 1.</w:t>
      </w:r>
      <w:r>
        <w:rPr>
          <w:rFonts w:ascii="Times New Roman" w:hAnsi="Times New Roman"/>
          <w:sz w:val="18"/>
        </w:rPr>
        <w:t xml:space="preserve"> Baseline results (full transcript, GPT-3.5 Turbo). Paper: 16 real cases; Ours: 10 synthetic cases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6" w:space="0" w:color="000000"/>
            </w:tcBorders>
          </w:tcPr>
          <w:p>
            <w:pPr>
              <w:jc w:val="center"/>
            </w:pPr>
            <w:r/>
            <w:r>
              <w:rPr>
                <w:rFonts w:ascii="Times New Roman" w:hAnsi="Times New Roman"/>
                <w:b/>
                <w:sz w:val="17"/>
              </w:rPr>
              <w:t>Metric</w:t>
            </w:r>
          </w:p>
        </w:tc>
        <w:tc>
          <w:tcPr>
            <w:tcW w:type="dxa" w:w="2340"/>
            <w:tcBorders>
              <w:top w:val="single" w:sz="12" w:space="0" w:color="000000"/>
              <w:bottom w:val="single" w:sz="6" w:space="0" w:color="000000"/>
            </w:tcBorders>
          </w:tcPr>
          <w:p>
            <w:pPr>
              <w:jc w:val="center"/>
            </w:pPr>
            <w:r/>
            <w:r>
              <w:rPr>
                <w:rFonts w:ascii="Times New Roman" w:hAnsi="Times New Roman"/>
                <w:b/>
                <w:sz w:val="17"/>
              </w:rPr>
              <w:t>Jang et al.</w:t>
            </w:r>
          </w:p>
        </w:tc>
        <w:tc>
          <w:tcPr>
            <w:tcW w:type="dxa" w:w="2340"/>
            <w:tcBorders>
              <w:top w:val="single" w:sz="12" w:space="0" w:color="000000"/>
              <w:bottom w:val="single" w:sz="6" w:space="0" w:color="000000"/>
            </w:tcBorders>
          </w:tcPr>
          <w:p>
            <w:pPr>
              <w:jc w:val="center"/>
            </w:pPr>
            <w:r/>
            <w:r>
              <w:rPr>
                <w:rFonts w:ascii="Times New Roman" w:hAnsi="Times New Roman"/>
                <w:b/>
                <w:sz w:val="17"/>
              </w:rPr>
              <w:t>Reproduction</w:t>
            </w:r>
          </w:p>
        </w:tc>
        <w:tc>
          <w:tcPr>
            <w:tcW w:type="dxa" w:w="2340"/>
            <w:tcBorders>
              <w:top w:val="single" w:sz="12" w:space="0" w:color="000000"/>
              <w:bottom w:val="single" w:sz="6" w:space="0" w:color="000000"/>
            </w:tcBorders>
          </w:tcPr>
          <w:p>
            <w:pPr>
              <w:jc w:val="center"/>
            </w:pPr>
            <w:r/>
            <w:r>
              <w:rPr>
                <w:rFonts w:ascii="Times New Roman" w:hAnsi="Times New Roman"/>
                <w:b/>
                <w:sz w:val="17"/>
              </w:rPr>
              <w:t>Δ (%)</w:t>
            </w:r>
          </w:p>
        </w:tc>
      </w:tr>
      <w:tr>
        <w:tc>
          <w:tcPr>
            <w:tcW w:type="dxa" w:w="2340"/>
            <w:tcBorders>
              <w:bottom w:val="single" w:sz="2" w:space="0" w:color="CCCCCC"/>
            </w:tcBorders>
          </w:tcPr>
          <w:p>
            <w:pPr>
              <w:jc w:val="left"/>
            </w:pPr>
            <w:r/>
            <w:r>
              <w:rPr>
                <w:rFonts w:ascii="Times New Roman" w:hAnsi="Times New Roman"/>
                <w:sz w:val="17"/>
              </w:rPr>
              <w:t>ROUGE-L</w:t>
            </w:r>
          </w:p>
        </w:tc>
        <w:tc>
          <w:tcPr>
            <w:tcW w:type="dxa" w:w="2340"/>
            <w:tcBorders>
              <w:bottom w:val="single" w:sz="2" w:space="0" w:color="CCCCCC"/>
            </w:tcBorders>
          </w:tcPr>
          <w:p>
            <w:pPr>
              <w:jc w:val="center"/>
            </w:pPr>
            <w:r/>
            <w:r>
              <w:rPr>
                <w:rFonts w:ascii="Times New Roman" w:hAnsi="Times New Roman"/>
                <w:sz w:val="17"/>
              </w:rPr>
              <w:t>28.89 ± 5.39</w:t>
            </w:r>
          </w:p>
        </w:tc>
        <w:tc>
          <w:tcPr>
            <w:tcW w:type="dxa" w:w="2340"/>
            <w:tcBorders>
              <w:bottom w:val="single" w:sz="2" w:space="0" w:color="CCCCCC"/>
            </w:tcBorders>
          </w:tcPr>
          <w:p>
            <w:pPr>
              <w:jc w:val="center"/>
            </w:pPr>
            <w:r/>
            <w:r>
              <w:rPr>
                <w:rFonts w:ascii="Times New Roman" w:hAnsi="Times New Roman"/>
                <w:sz w:val="17"/>
              </w:rPr>
              <w:t>39.74 ± 6.22</w:t>
            </w:r>
          </w:p>
        </w:tc>
        <w:tc>
          <w:tcPr>
            <w:tcW w:type="dxa" w:w="2340"/>
            <w:tcBorders>
              <w:bottom w:val="single" w:sz="2" w:space="0" w:color="CCCCCC"/>
            </w:tcBorders>
          </w:tcPr>
          <w:p>
            <w:pPr>
              <w:jc w:val="center"/>
            </w:pPr>
            <w:r/>
            <w:r>
              <w:rPr>
                <w:rFonts w:ascii="Times New Roman" w:hAnsi="Times New Roman"/>
                <w:sz w:val="17"/>
              </w:rPr>
              <w:t>+37.5</w:t>
            </w:r>
          </w:p>
        </w:tc>
      </w:tr>
      <w:tr>
        <w:tc>
          <w:tcPr>
            <w:tcW w:type="dxa" w:w="2340"/>
            <w:tcBorders>
              <w:bottom w:val="single" w:sz="2" w:space="0" w:color="CCCCCC"/>
            </w:tcBorders>
          </w:tcPr>
          <w:p>
            <w:pPr>
              <w:jc w:val="left"/>
            </w:pPr>
            <w:r/>
            <w:r>
              <w:rPr>
                <w:rFonts w:ascii="Times New Roman" w:hAnsi="Times New Roman"/>
                <w:sz w:val="17"/>
              </w:rPr>
              <w:t>BLEU</w:t>
            </w:r>
          </w:p>
        </w:tc>
        <w:tc>
          <w:tcPr>
            <w:tcW w:type="dxa" w:w="2340"/>
            <w:tcBorders>
              <w:bottom w:val="single" w:sz="2" w:space="0" w:color="CCCCCC"/>
            </w:tcBorders>
          </w:tcPr>
          <w:p>
            <w:pPr>
              <w:jc w:val="center"/>
            </w:pPr>
            <w:r/>
            <w:r>
              <w:rPr>
                <w:rFonts w:ascii="Times New Roman" w:hAnsi="Times New Roman"/>
                <w:sz w:val="17"/>
              </w:rPr>
              <w:t>8.79 ± 3.20</w:t>
            </w:r>
          </w:p>
        </w:tc>
        <w:tc>
          <w:tcPr>
            <w:tcW w:type="dxa" w:w="2340"/>
            <w:tcBorders>
              <w:bottom w:val="single" w:sz="2" w:space="0" w:color="CCCCCC"/>
            </w:tcBorders>
          </w:tcPr>
          <w:p>
            <w:pPr>
              <w:jc w:val="center"/>
            </w:pPr>
            <w:r/>
            <w:r>
              <w:rPr>
                <w:rFonts w:ascii="Times New Roman" w:hAnsi="Times New Roman"/>
                <w:sz w:val="17"/>
              </w:rPr>
              <w:t>13.89 ± 3.47</w:t>
            </w:r>
          </w:p>
        </w:tc>
        <w:tc>
          <w:tcPr>
            <w:tcW w:type="dxa" w:w="2340"/>
            <w:tcBorders>
              <w:bottom w:val="single" w:sz="2" w:space="0" w:color="CCCCCC"/>
            </w:tcBorders>
          </w:tcPr>
          <w:p>
            <w:pPr>
              <w:jc w:val="center"/>
            </w:pPr>
            <w:r/>
            <w:r>
              <w:rPr>
                <w:rFonts w:ascii="Times New Roman" w:hAnsi="Times New Roman"/>
                <w:sz w:val="17"/>
              </w:rPr>
              <w:t>+58.0</w:t>
            </w:r>
          </w:p>
        </w:tc>
      </w:tr>
      <w:tr>
        <w:tc>
          <w:tcPr>
            <w:tcW w:type="dxa" w:w="2340"/>
            <w:tcBorders>
              <w:bottom w:val="single" w:sz="2" w:space="0" w:color="CCCCCC"/>
            </w:tcBorders>
          </w:tcPr>
          <w:p>
            <w:pPr>
              <w:jc w:val="left"/>
            </w:pPr>
            <w:r/>
            <w:r>
              <w:rPr>
                <w:rFonts w:ascii="Times New Roman" w:hAnsi="Times New Roman"/>
                <w:sz w:val="17"/>
              </w:rPr>
              <w:t>BERTScore</w:t>
            </w:r>
          </w:p>
        </w:tc>
        <w:tc>
          <w:tcPr>
            <w:tcW w:type="dxa" w:w="2340"/>
            <w:tcBorders>
              <w:bottom w:val="single" w:sz="2" w:space="0" w:color="CCCCCC"/>
            </w:tcBorders>
          </w:tcPr>
          <w:p>
            <w:pPr>
              <w:jc w:val="center"/>
            </w:pPr>
            <w:r/>
            <w:r>
              <w:rPr>
                <w:rFonts w:ascii="Times New Roman" w:hAnsi="Times New Roman"/>
                <w:sz w:val="17"/>
              </w:rPr>
              <w:t>85.88 ± 1.04</w:t>
            </w:r>
          </w:p>
        </w:tc>
        <w:tc>
          <w:tcPr>
            <w:tcW w:type="dxa" w:w="2340"/>
            <w:tcBorders>
              <w:bottom w:val="single" w:sz="2" w:space="0" w:color="CCCCCC"/>
            </w:tcBorders>
          </w:tcPr>
          <w:p>
            <w:pPr>
              <w:jc w:val="center"/>
            </w:pPr>
            <w:r/>
            <w:r>
              <w:rPr>
                <w:rFonts w:ascii="Times New Roman" w:hAnsi="Times New Roman"/>
                <w:sz w:val="17"/>
              </w:rPr>
              <w:t>89.20 ± 1.10</w:t>
            </w:r>
          </w:p>
        </w:tc>
        <w:tc>
          <w:tcPr>
            <w:tcW w:type="dxa" w:w="2340"/>
            <w:tcBorders>
              <w:bottom w:val="single" w:sz="2" w:space="0" w:color="CCCCCC"/>
            </w:tcBorders>
          </w:tcPr>
          <w:p>
            <w:pPr>
              <w:jc w:val="center"/>
            </w:pPr>
            <w:r/>
            <w:r>
              <w:rPr>
                <w:rFonts w:ascii="Times New Roman" w:hAnsi="Times New Roman"/>
                <w:sz w:val="17"/>
              </w:rPr>
              <w:t>+3.9</w:t>
            </w:r>
          </w:p>
        </w:tc>
      </w:tr>
      <w:tr>
        <w:tc>
          <w:tcPr>
            <w:tcW w:type="dxa" w:w="2340"/>
            <w:tcBorders>
              <w:bottom w:val="single" w:sz="12" w:space="0" w:color="000000"/>
            </w:tcBorders>
          </w:tcPr>
          <w:p>
            <w:pPr>
              <w:jc w:val="left"/>
            </w:pPr>
            <w:r/>
            <w:r>
              <w:rPr>
                <w:rFonts w:ascii="Times New Roman" w:hAnsi="Times New Roman"/>
                <w:sz w:val="17"/>
              </w:rPr>
              <w:t>SemScore</w:t>
            </w:r>
          </w:p>
        </w:tc>
        <w:tc>
          <w:tcPr>
            <w:tcW w:type="dxa" w:w="2340"/>
            <w:tcBorders>
              <w:bottom w:val="single" w:sz="12" w:space="0" w:color="000000"/>
            </w:tcBorders>
          </w:tcPr>
          <w:p>
            <w:pPr>
              <w:jc w:val="center"/>
            </w:pPr>
            <w:r/>
            <w:r>
              <w:rPr>
                <w:rFonts w:ascii="Times New Roman" w:hAnsi="Times New Roman"/>
                <w:sz w:val="17"/>
              </w:rPr>
              <w:t>80.73 ± 4.45</w:t>
            </w:r>
          </w:p>
        </w:tc>
        <w:tc>
          <w:tcPr>
            <w:tcW w:type="dxa" w:w="2340"/>
            <w:tcBorders>
              <w:bottom w:val="single" w:sz="12" w:space="0" w:color="000000"/>
            </w:tcBorders>
          </w:tcPr>
          <w:p>
            <w:pPr>
              <w:jc w:val="center"/>
            </w:pPr>
            <w:r/>
            <w:r>
              <w:rPr>
                <w:rFonts w:ascii="Times New Roman" w:hAnsi="Times New Roman"/>
                <w:sz w:val="17"/>
              </w:rPr>
              <w:t>86.97 ± 3.37</w:t>
            </w:r>
          </w:p>
        </w:tc>
        <w:tc>
          <w:tcPr>
            <w:tcW w:type="dxa" w:w="2340"/>
            <w:tcBorders>
              <w:bottom w:val="single" w:sz="12" w:space="0" w:color="000000"/>
            </w:tcBorders>
          </w:tcPr>
          <w:p>
            <w:pPr>
              <w:jc w:val="center"/>
            </w:pPr>
            <w:r/>
            <w:r>
              <w:rPr>
                <w:rFonts w:ascii="Times New Roman" w:hAnsi="Times New Roman"/>
                <w:sz w:val="17"/>
              </w:rPr>
              <w:t>+7.7</w:t>
            </w:r>
          </w:p>
        </w:tc>
      </w:tr>
    </w:tbl>
    <w:p>
      <w:pPr>
        <w:spacing w:after="120" w:before="0" w:line="260" w:lineRule="exact"/>
        <w:ind w:firstLine="432"/>
        <w:jc w:val="both"/>
      </w:pPr>
      <w:r>
        <w:rPr>
          <w:rFonts w:ascii="Times New Roman" w:hAnsi="Times New Roman"/>
          <w:sz w:val="20"/>
        </w:rPr>
        <w:t>All metrics show higher absolute values in our reproduction. We attribute this primarily to the structural clarity of synthetic data, which presents cleaner signal for LLM extraction compared to natural clinical dialogue with interruptions and topic shifts.</w:t>
      </w:r>
    </w:p>
    <w:p>
      <w:pPr>
        <w:spacing w:before="240" w:after="80"/>
        <w:jc w:val="left"/>
      </w:pPr>
      <w:r>
        <w:rPr>
          <w:rFonts w:ascii="Times New Roman" w:hAnsi="Times New Roman"/>
          <w:b/>
          <w:sz w:val="18"/>
        </w:rPr>
        <w:t>Table 2.</w:t>
      </w:r>
      <w:r>
        <w:rPr>
          <w:rFonts w:ascii="Times New Roman" w:hAnsi="Times New Roman"/>
          <w:sz w:val="18"/>
        </w:rPr>
        <w:t xml:space="preserve"> Input chunk size effect (GPT-3.5 Turbo). Format: Jang et al. → Ours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jc w:val="center"/>
            </w:pPr>
            <w:r/>
            <w:r>
              <w:rPr>
                <w:rFonts w:ascii="Times New Roman" w:hAnsi="Times New Roman"/>
                <w:b/>
                <w:sz w:val="17"/>
              </w:rPr>
              <w:t>Lines</w:t>
            </w:r>
          </w:p>
        </w:tc>
        <w:tc>
          <w:tcPr>
            <w:tcW w:type="dxa" w:w="1872"/>
            <w:tcBorders>
              <w:top w:val="single" w:sz="12" w:space="0" w:color="000000"/>
              <w:bottom w:val="single" w:sz="6" w:space="0" w:color="000000"/>
            </w:tcBorders>
          </w:tcPr>
          <w:p>
            <w:pPr>
              <w:jc w:val="center"/>
            </w:pPr>
            <w:r/>
            <w:r>
              <w:rPr>
                <w:rFonts w:ascii="Times New Roman" w:hAnsi="Times New Roman"/>
                <w:b/>
                <w:sz w:val="17"/>
              </w:rPr>
              <w:t>ROUGE-L</w:t>
            </w:r>
          </w:p>
        </w:tc>
        <w:tc>
          <w:tcPr>
            <w:tcW w:type="dxa" w:w="1872"/>
            <w:tcBorders>
              <w:top w:val="single" w:sz="12" w:space="0" w:color="000000"/>
              <w:bottom w:val="single" w:sz="6" w:space="0" w:color="000000"/>
            </w:tcBorders>
          </w:tcPr>
          <w:p>
            <w:pPr>
              <w:jc w:val="center"/>
            </w:pPr>
            <w:r/>
            <w:r>
              <w:rPr>
                <w:rFonts w:ascii="Times New Roman" w:hAnsi="Times New Roman"/>
                <w:b/>
                <w:sz w:val="17"/>
              </w:rPr>
              <w:t>BLEU</w:t>
            </w:r>
          </w:p>
        </w:tc>
        <w:tc>
          <w:tcPr>
            <w:tcW w:type="dxa" w:w="1872"/>
            <w:tcBorders>
              <w:top w:val="single" w:sz="12" w:space="0" w:color="000000"/>
              <w:bottom w:val="single" w:sz="6" w:space="0" w:color="000000"/>
            </w:tcBorders>
          </w:tcPr>
          <w:p>
            <w:pPr>
              <w:jc w:val="center"/>
            </w:pPr>
            <w:r/>
            <w:r>
              <w:rPr>
                <w:rFonts w:ascii="Times New Roman" w:hAnsi="Times New Roman"/>
                <w:b/>
                <w:sz w:val="17"/>
              </w:rPr>
              <w:t>BERTScore</w:t>
            </w:r>
          </w:p>
        </w:tc>
        <w:tc>
          <w:tcPr>
            <w:tcW w:type="dxa" w:w="1872"/>
            <w:tcBorders>
              <w:top w:val="single" w:sz="12" w:space="0" w:color="000000"/>
              <w:bottom w:val="single" w:sz="6" w:space="0" w:color="000000"/>
            </w:tcBorders>
          </w:tcPr>
          <w:p>
            <w:pPr>
              <w:jc w:val="center"/>
            </w:pPr>
            <w:r/>
            <w:r>
              <w:rPr>
                <w:rFonts w:ascii="Times New Roman" w:hAnsi="Times New Roman"/>
                <w:b/>
                <w:sz w:val="17"/>
              </w:rPr>
              <w:t>SemScore</w:t>
            </w:r>
          </w:p>
        </w:tc>
      </w:tr>
      <w:tr>
        <w:tc>
          <w:tcPr>
            <w:tcW w:type="dxa" w:w="1872"/>
            <w:tcBorders>
              <w:bottom w:val="single" w:sz="2" w:space="0" w:color="CCCCCC"/>
            </w:tcBorders>
          </w:tcPr>
          <w:p>
            <w:pPr>
              <w:jc w:val="left"/>
            </w:pPr>
            <w:r/>
            <w:r>
              <w:rPr>
                <w:rFonts w:ascii="Times New Roman" w:hAnsi="Times New Roman"/>
                <w:sz w:val="17"/>
              </w:rPr>
              <w:t>2</w:t>
            </w:r>
          </w:p>
        </w:tc>
        <w:tc>
          <w:tcPr>
            <w:tcW w:type="dxa" w:w="1872"/>
            <w:tcBorders>
              <w:bottom w:val="single" w:sz="2" w:space="0" w:color="CCCCCC"/>
            </w:tcBorders>
          </w:tcPr>
          <w:p>
            <w:pPr>
              <w:jc w:val="center"/>
            </w:pPr>
            <w:r/>
            <w:r>
              <w:rPr>
                <w:rFonts w:ascii="Times New Roman" w:hAnsi="Times New Roman"/>
                <w:sz w:val="17"/>
              </w:rPr>
              <w:t>27.99 → 33.57</w:t>
            </w:r>
          </w:p>
        </w:tc>
        <w:tc>
          <w:tcPr>
            <w:tcW w:type="dxa" w:w="1872"/>
            <w:tcBorders>
              <w:bottom w:val="single" w:sz="2" w:space="0" w:color="CCCCCC"/>
            </w:tcBorders>
          </w:tcPr>
          <w:p>
            <w:pPr>
              <w:jc w:val="center"/>
            </w:pPr>
            <w:r/>
            <w:r>
              <w:rPr>
                <w:rFonts w:ascii="Times New Roman" w:hAnsi="Times New Roman"/>
                <w:sz w:val="17"/>
              </w:rPr>
              <w:t>8.00 → 6.26</w:t>
            </w:r>
          </w:p>
        </w:tc>
        <w:tc>
          <w:tcPr>
            <w:tcW w:type="dxa" w:w="1872"/>
            <w:tcBorders>
              <w:bottom w:val="single" w:sz="2" w:space="0" w:color="CCCCCC"/>
            </w:tcBorders>
          </w:tcPr>
          <w:p>
            <w:pPr>
              <w:jc w:val="center"/>
            </w:pPr>
            <w:r/>
            <w:r>
              <w:rPr>
                <w:rFonts w:ascii="Times New Roman" w:hAnsi="Times New Roman"/>
                <w:sz w:val="17"/>
              </w:rPr>
              <w:t>84.81 → 85.16</w:t>
            </w:r>
          </w:p>
        </w:tc>
        <w:tc>
          <w:tcPr>
            <w:tcW w:type="dxa" w:w="1872"/>
            <w:tcBorders>
              <w:bottom w:val="single" w:sz="2" w:space="0" w:color="CCCCCC"/>
            </w:tcBorders>
          </w:tcPr>
          <w:p>
            <w:pPr>
              <w:jc w:val="center"/>
            </w:pPr>
            <w:r/>
            <w:r>
              <w:rPr>
                <w:rFonts w:ascii="Times New Roman" w:hAnsi="Times New Roman"/>
                <w:sz w:val="17"/>
              </w:rPr>
              <w:t>79.38 → 79.01</w:t>
            </w:r>
          </w:p>
        </w:tc>
      </w:tr>
      <w:tr>
        <w:tc>
          <w:tcPr>
            <w:tcW w:type="dxa" w:w="1872"/>
            <w:tcBorders>
              <w:bottom w:val="single" w:sz="2" w:space="0" w:color="CCCCCC"/>
            </w:tcBorders>
          </w:tcPr>
          <w:p>
            <w:pPr>
              <w:jc w:val="left"/>
            </w:pPr>
            <w:r/>
            <w:r>
              <w:rPr>
                <w:rFonts w:ascii="Times New Roman" w:hAnsi="Times New Roman"/>
                <w:sz w:val="17"/>
              </w:rPr>
              <w:t>5</w:t>
            </w:r>
          </w:p>
        </w:tc>
        <w:tc>
          <w:tcPr>
            <w:tcW w:type="dxa" w:w="1872"/>
            <w:tcBorders>
              <w:bottom w:val="single" w:sz="2" w:space="0" w:color="CCCCCC"/>
            </w:tcBorders>
          </w:tcPr>
          <w:p>
            <w:pPr>
              <w:jc w:val="center"/>
            </w:pPr>
            <w:r/>
            <w:r>
              <w:rPr>
                <w:rFonts w:ascii="Times New Roman" w:hAnsi="Times New Roman"/>
                <w:sz w:val="17"/>
              </w:rPr>
              <w:t>29.59 → 31.72</w:t>
            </w:r>
          </w:p>
        </w:tc>
        <w:tc>
          <w:tcPr>
            <w:tcW w:type="dxa" w:w="1872"/>
            <w:tcBorders>
              <w:bottom w:val="single" w:sz="2" w:space="0" w:color="CCCCCC"/>
            </w:tcBorders>
          </w:tcPr>
          <w:p>
            <w:pPr>
              <w:jc w:val="center"/>
            </w:pPr>
            <w:r/>
            <w:r>
              <w:rPr>
                <w:rFonts w:ascii="Times New Roman" w:hAnsi="Times New Roman"/>
                <w:sz w:val="17"/>
              </w:rPr>
              <w:t>8.82 → 6.55</w:t>
            </w:r>
          </w:p>
        </w:tc>
        <w:tc>
          <w:tcPr>
            <w:tcW w:type="dxa" w:w="1872"/>
            <w:tcBorders>
              <w:bottom w:val="single" w:sz="2" w:space="0" w:color="CCCCCC"/>
            </w:tcBorders>
          </w:tcPr>
          <w:p>
            <w:pPr>
              <w:jc w:val="center"/>
            </w:pPr>
            <w:r/>
            <w:r>
              <w:rPr>
                <w:rFonts w:ascii="Times New Roman" w:hAnsi="Times New Roman"/>
                <w:sz w:val="17"/>
              </w:rPr>
              <w:t>85.32 → 86.29</w:t>
            </w:r>
          </w:p>
        </w:tc>
        <w:tc>
          <w:tcPr>
            <w:tcW w:type="dxa" w:w="1872"/>
            <w:tcBorders>
              <w:bottom w:val="single" w:sz="2" w:space="0" w:color="CCCCCC"/>
            </w:tcBorders>
          </w:tcPr>
          <w:p>
            <w:pPr>
              <w:jc w:val="center"/>
            </w:pPr>
            <w:r/>
            <w:r>
              <w:rPr>
                <w:rFonts w:ascii="Times New Roman" w:hAnsi="Times New Roman"/>
                <w:sz w:val="17"/>
              </w:rPr>
              <w:t>82.00 → 80.59</w:t>
            </w:r>
          </w:p>
        </w:tc>
      </w:tr>
      <w:tr>
        <w:tc>
          <w:tcPr>
            <w:tcW w:type="dxa" w:w="1872"/>
            <w:tcBorders>
              <w:bottom w:val="single" w:sz="2" w:space="0" w:color="CCCCCC"/>
            </w:tcBorders>
          </w:tcPr>
          <w:p>
            <w:pPr>
              <w:jc w:val="left"/>
            </w:pPr>
            <w:r/>
            <w:r>
              <w:rPr>
                <w:rFonts w:ascii="Times New Roman" w:hAnsi="Times New Roman"/>
                <w:sz w:val="17"/>
              </w:rPr>
              <w:t>10</w:t>
            </w:r>
          </w:p>
        </w:tc>
        <w:tc>
          <w:tcPr>
            <w:tcW w:type="dxa" w:w="1872"/>
            <w:tcBorders>
              <w:bottom w:val="single" w:sz="2" w:space="0" w:color="CCCCCC"/>
            </w:tcBorders>
          </w:tcPr>
          <w:p>
            <w:pPr>
              <w:jc w:val="center"/>
            </w:pPr>
            <w:r/>
            <w:r>
              <w:rPr>
                <w:rFonts w:ascii="Times New Roman" w:hAnsi="Times New Roman"/>
                <w:sz w:val="17"/>
              </w:rPr>
              <w:t>28.60 → 38.29</w:t>
            </w:r>
          </w:p>
        </w:tc>
        <w:tc>
          <w:tcPr>
            <w:tcW w:type="dxa" w:w="1872"/>
            <w:tcBorders>
              <w:bottom w:val="single" w:sz="2" w:space="0" w:color="CCCCCC"/>
            </w:tcBorders>
          </w:tcPr>
          <w:p>
            <w:pPr>
              <w:jc w:val="center"/>
            </w:pPr>
            <w:r/>
            <w:r>
              <w:rPr>
                <w:rFonts w:ascii="Times New Roman" w:hAnsi="Times New Roman"/>
                <w:sz w:val="17"/>
              </w:rPr>
              <w:t>7.69 → 10.34</w:t>
            </w:r>
          </w:p>
        </w:tc>
        <w:tc>
          <w:tcPr>
            <w:tcW w:type="dxa" w:w="1872"/>
            <w:tcBorders>
              <w:bottom w:val="single" w:sz="2" w:space="0" w:color="CCCCCC"/>
            </w:tcBorders>
          </w:tcPr>
          <w:p>
            <w:pPr>
              <w:jc w:val="center"/>
            </w:pPr>
            <w:r/>
            <w:r>
              <w:rPr>
                <w:rFonts w:ascii="Times New Roman" w:hAnsi="Times New Roman"/>
                <w:sz w:val="17"/>
              </w:rPr>
              <w:t>85.17 → 87.66</w:t>
            </w:r>
          </w:p>
        </w:tc>
        <w:tc>
          <w:tcPr>
            <w:tcW w:type="dxa" w:w="1872"/>
            <w:tcBorders>
              <w:bottom w:val="single" w:sz="2" w:space="0" w:color="CCCCCC"/>
            </w:tcBorders>
          </w:tcPr>
          <w:p>
            <w:pPr>
              <w:jc w:val="center"/>
            </w:pPr>
            <w:r/>
            <w:r>
              <w:rPr>
                <w:rFonts w:ascii="Times New Roman" w:hAnsi="Times New Roman"/>
                <w:sz w:val="17"/>
              </w:rPr>
              <w:t>83.38 → 83.09</w:t>
            </w:r>
          </w:p>
        </w:tc>
      </w:tr>
      <w:tr>
        <w:tc>
          <w:tcPr>
            <w:tcW w:type="dxa" w:w="1872"/>
            <w:tcBorders>
              <w:bottom w:val="single" w:sz="12" w:space="0" w:color="000000"/>
            </w:tcBorders>
          </w:tcPr>
          <w:p>
            <w:pPr>
              <w:jc w:val="left"/>
            </w:pPr>
            <w:r/>
            <w:r>
              <w:rPr>
                <w:rFonts w:ascii="Times New Roman" w:hAnsi="Times New Roman"/>
                <w:sz w:val="17"/>
              </w:rPr>
              <w:t>20</w:t>
            </w:r>
          </w:p>
        </w:tc>
        <w:tc>
          <w:tcPr>
            <w:tcW w:type="dxa" w:w="1872"/>
            <w:tcBorders>
              <w:bottom w:val="single" w:sz="12" w:space="0" w:color="000000"/>
            </w:tcBorders>
          </w:tcPr>
          <w:p>
            <w:pPr>
              <w:jc w:val="center"/>
            </w:pPr>
            <w:r/>
            <w:r>
              <w:rPr>
                <w:rFonts w:ascii="Times New Roman" w:hAnsi="Times New Roman"/>
                <w:sz w:val="17"/>
              </w:rPr>
              <w:t>27.80 → 40.96</w:t>
            </w:r>
          </w:p>
        </w:tc>
        <w:tc>
          <w:tcPr>
            <w:tcW w:type="dxa" w:w="1872"/>
            <w:tcBorders>
              <w:bottom w:val="single" w:sz="12" w:space="0" w:color="000000"/>
            </w:tcBorders>
          </w:tcPr>
          <w:p>
            <w:pPr>
              <w:jc w:val="center"/>
            </w:pPr>
            <w:r/>
            <w:r>
              <w:rPr>
                <w:rFonts w:ascii="Times New Roman" w:hAnsi="Times New Roman"/>
                <w:sz w:val="17"/>
              </w:rPr>
              <w:t>8.20 → 13.51</w:t>
            </w:r>
          </w:p>
        </w:tc>
        <w:tc>
          <w:tcPr>
            <w:tcW w:type="dxa" w:w="1872"/>
            <w:tcBorders>
              <w:bottom w:val="single" w:sz="12" w:space="0" w:color="000000"/>
            </w:tcBorders>
          </w:tcPr>
          <w:p>
            <w:pPr>
              <w:jc w:val="center"/>
            </w:pPr>
            <w:r/>
            <w:r>
              <w:rPr>
                <w:rFonts w:ascii="Times New Roman" w:hAnsi="Times New Roman"/>
                <w:sz w:val="17"/>
              </w:rPr>
              <w:t>85.09 → 88.75</w:t>
            </w:r>
          </w:p>
        </w:tc>
        <w:tc>
          <w:tcPr>
            <w:tcW w:type="dxa" w:w="1872"/>
            <w:tcBorders>
              <w:bottom w:val="single" w:sz="12" w:space="0" w:color="000000"/>
            </w:tcBorders>
          </w:tcPr>
          <w:p>
            <w:pPr>
              <w:jc w:val="center"/>
            </w:pPr>
            <w:r/>
            <w:r>
              <w:rPr>
                <w:rFonts w:ascii="Times New Roman" w:hAnsi="Times New Roman"/>
                <w:sz w:val="17"/>
              </w:rPr>
              <w:t>82.29 → 86.99</w:t>
            </w:r>
          </w:p>
        </w:tc>
      </w:tr>
    </w:tbl>
    <w:p>
      <w:pPr>
        <w:spacing w:after="120" w:before="0" w:line="260" w:lineRule="exact"/>
        <w:ind w:firstLine="432"/>
        <w:jc w:val="both"/>
      </w:pPr>
      <w:r>
        <w:rPr>
          <w:rFonts w:ascii="Times New Roman" w:hAnsi="Times New Roman"/>
          <w:sz w:val="20"/>
        </w:rPr>
        <w:t>The original reports minimal variation across chunk sizes (ROUGE-L range: 27.80–29.59). Our reproduction shows a monotonic increase (33.57 → 40.96), suggesting that synthetic data benefits more from larger context windows due to fewer conversational artifacts.</w:t>
      </w:r>
    </w:p>
    <w:p>
      <w:pPr>
        <w:spacing w:before="240" w:after="80"/>
        <w:jc w:val="left"/>
      </w:pPr>
      <w:r>
        <w:rPr>
          <w:rFonts w:ascii="Times New Roman" w:hAnsi="Times New Roman"/>
          <w:b/>
          <w:sz w:val="18"/>
        </w:rPr>
        <w:t>Table 3.</w:t>
      </w:r>
      <w:r>
        <w:rPr>
          <w:rFonts w:ascii="Times New Roman" w:hAnsi="Times New Roman"/>
          <w:sz w:val="18"/>
        </w:rPr>
        <w:t xml:space="preserve"> Real-time simulation with varying context sizes (GPT-3.5 Turbo). Format: Jang et al. → Ours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12" w:space="0" w:color="000000"/>
              <w:bottom w:val="single" w:sz="6" w:space="0" w:color="000000"/>
            </w:tcBorders>
          </w:tcPr>
          <w:p>
            <w:pPr>
              <w:jc w:val="center"/>
            </w:pPr>
            <w:r/>
            <w:r>
              <w:rPr>
                <w:rFonts w:ascii="Times New Roman" w:hAnsi="Times New Roman"/>
                <w:b/>
                <w:sz w:val="17"/>
              </w:rPr>
              <w:t>Context</w:t>
            </w:r>
          </w:p>
        </w:tc>
        <w:tc>
          <w:tcPr>
            <w:tcW w:type="dxa" w:w="1560"/>
            <w:tcBorders>
              <w:top w:val="single" w:sz="12" w:space="0" w:color="000000"/>
              <w:bottom w:val="single" w:sz="6" w:space="0" w:color="000000"/>
            </w:tcBorders>
          </w:tcPr>
          <w:p>
            <w:pPr>
              <w:jc w:val="center"/>
            </w:pPr>
            <w:r/>
            <w:r>
              <w:rPr>
                <w:rFonts w:ascii="Times New Roman" w:hAnsi="Times New Roman"/>
                <w:b/>
                <w:sz w:val="17"/>
              </w:rPr>
              <w:t>Precision</w:t>
            </w:r>
          </w:p>
        </w:tc>
        <w:tc>
          <w:tcPr>
            <w:tcW w:type="dxa" w:w="1560"/>
            <w:tcBorders>
              <w:top w:val="single" w:sz="12" w:space="0" w:color="000000"/>
              <w:bottom w:val="single" w:sz="6" w:space="0" w:color="000000"/>
            </w:tcBorders>
          </w:tcPr>
          <w:p>
            <w:pPr>
              <w:jc w:val="center"/>
            </w:pPr>
            <w:r/>
            <w:r>
              <w:rPr>
                <w:rFonts w:ascii="Times New Roman" w:hAnsi="Times New Roman"/>
                <w:b/>
                <w:sz w:val="17"/>
              </w:rPr>
              <w:t>Recall</w:t>
            </w:r>
          </w:p>
        </w:tc>
        <w:tc>
          <w:tcPr>
            <w:tcW w:type="dxa" w:w="1560"/>
            <w:tcBorders>
              <w:top w:val="single" w:sz="12" w:space="0" w:color="000000"/>
              <w:bottom w:val="single" w:sz="6" w:space="0" w:color="000000"/>
            </w:tcBorders>
          </w:tcPr>
          <w:p>
            <w:pPr>
              <w:jc w:val="center"/>
            </w:pPr>
            <w:r/>
            <w:r>
              <w:rPr>
                <w:rFonts w:ascii="Times New Roman" w:hAnsi="Times New Roman"/>
                <w:b/>
                <w:sz w:val="17"/>
              </w:rPr>
              <w:t>ROUGE-L</w:t>
            </w:r>
          </w:p>
        </w:tc>
        <w:tc>
          <w:tcPr>
            <w:tcW w:type="dxa" w:w="1560"/>
            <w:tcBorders>
              <w:top w:val="single" w:sz="12" w:space="0" w:color="000000"/>
              <w:bottom w:val="single" w:sz="6" w:space="0" w:color="000000"/>
            </w:tcBorders>
          </w:tcPr>
          <w:p>
            <w:pPr>
              <w:jc w:val="center"/>
            </w:pPr>
            <w:r/>
            <w:r>
              <w:rPr>
                <w:rFonts w:ascii="Times New Roman" w:hAnsi="Times New Roman"/>
                <w:b/>
                <w:sz w:val="17"/>
              </w:rPr>
              <w:t>BLEU</w:t>
            </w:r>
          </w:p>
        </w:tc>
        <w:tc>
          <w:tcPr>
            <w:tcW w:type="dxa" w:w="1560"/>
            <w:tcBorders>
              <w:top w:val="single" w:sz="12" w:space="0" w:color="000000"/>
              <w:bottom w:val="single" w:sz="6" w:space="0" w:color="000000"/>
            </w:tcBorders>
          </w:tcPr>
          <w:p>
            <w:pPr>
              <w:jc w:val="center"/>
            </w:pPr>
            <w:r/>
            <w:r>
              <w:rPr>
                <w:rFonts w:ascii="Times New Roman" w:hAnsi="Times New Roman"/>
                <w:b/>
                <w:sz w:val="17"/>
              </w:rPr>
              <w:t>BERTScore</w:t>
            </w:r>
          </w:p>
        </w:tc>
      </w:tr>
      <w:tr>
        <w:tc>
          <w:tcPr>
            <w:tcW w:type="dxa" w:w="1560"/>
            <w:tcBorders>
              <w:bottom w:val="single" w:sz="2" w:space="0" w:color="CCCCCC"/>
            </w:tcBorders>
          </w:tcPr>
          <w:p>
            <w:pPr>
              <w:jc w:val="left"/>
            </w:pPr>
            <w:r/>
            <w:r>
              <w:rPr>
                <w:rFonts w:ascii="Times New Roman" w:hAnsi="Times New Roman"/>
                <w:sz w:val="17"/>
              </w:rPr>
              <w:t>0</w:t>
            </w:r>
          </w:p>
        </w:tc>
        <w:tc>
          <w:tcPr>
            <w:tcW w:type="dxa" w:w="1560"/>
            <w:tcBorders>
              <w:bottom w:val="single" w:sz="2" w:space="0" w:color="CCCCCC"/>
            </w:tcBorders>
          </w:tcPr>
          <w:p>
            <w:pPr>
              <w:jc w:val="center"/>
            </w:pPr>
            <w:r/>
            <w:r>
              <w:rPr>
                <w:rFonts w:ascii="Times New Roman" w:hAnsi="Times New Roman"/>
                <w:sz w:val="17"/>
              </w:rPr>
              <w:t>39.3 → 87.4</w:t>
            </w:r>
          </w:p>
        </w:tc>
        <w:tc>
          <w:tcPr>
            <w:tcW w:type="dxa" w:w="1560"/>
            <w:tcBorders>
              <w:bottom w:val="single" w:sz="2" w:space="0" w:color="CCCCCC"/>
            </w:tcBorders>
          </w:tcPr>
          <w:p>
            <w:pPr>
              <w:jc w:val="center"/>
            </w:pPr>
            <w:r/>
            <w:r>
              <w:rPr>
                <w:rFonts w:ascii="Times New Roman" w:hAnsi="Times New Roman"/>
                <w:sz w:val="17"/>
              </w:rPr>
              <w:t>48.3 → 94.5</w:t>
            </w:r>
          </w:p>
        </w:tc>
        <w:tc>
          <w:tcPr>
            <w:tcW w:type="dxa" w:w="1560"/>
            <w:tcBorders>
              <w:bottom w:val="single" w:sz="2" w:space="0" w:color="CCCCCC"/>
            </w:tcBorders>
          </w:tcPr>
          <w:p>
            <w:pPr>
              <w:jc w:val="center"/>
            </w:pPr>
            <w:r/>
            <w:r>
              <w:rPr>
                <w:rFonts w:ascii="Times New Roman" w:hAnsi="Times New Roman"/>
                <w:sz w:val="17"/>
              </w:rPr>
              <w:t>28.7 → 45.4</w:t>
            </w:r>
          </w:p>
        </w:tc>
        <w:tc>
          <w:tcPr>
            <w:tcW w:type="dxa" w:w="1560"/>
            <w:tcBorders>
              <w:bottom w:val="single" w:sz="2" w:space="0" w:color="CCCCCC"/>
            </w:tcBorders>
          </w:tcPr>
          <w:p>
            <w:pPr>
              <w:jc w:val="center"/>
            </w:pPr>
            <w:r/>
            <w:r>
              <w:rPr>
                <w:rFonts w:ascii="Times New Roman" w:hAnsi="Times New Roman"/>
                <w:sz w:val="17"/>
              </w:rPr>
              <w:t>5.7 → 12.3</w:t>
            </w:r>
          </w:p>
        </w:tc>
        <w:tc>
          <w:tcPr>
            <w:tcW w:type="dxa" w:w="1560"/>
            <w:tcBorders>
              <w:bottom w:val="single" w:sz="2" w:space="0" w:color="CCCCCC"/>
            </w:tcBorders>
          </w:tcPr>
          <w:p>
            <w:pPr>
              <w:jc w:val="center"/>
            </w:pPr>
            <w:r/>
            <w:r>
              <w:rPr>
                <w:rFonts w:ascii="Times New Roman" w:hAnsi="Times New Roman"/>
                <w:sz w:val="17"/>
              </w:rPr>
              <w:t>86.6 → 91.2</w:t>
            </w:r>
          </w:p>
        </w:tc>
      </w:tr>
      <w:tr>
        <w:tc>
          <w:tcPr>
            <w:tcW w:type="dxa" w:w="1560"/>
            <w:tcBorders>
              <w:bottom w:val="single" w:sz="2" w:space="0" w:color="CCCCCC"/>
            </w:tcBorders>
          </w:tcPr>
          <w:p>
            <w:pPr>
              <w:jc w:val="left"/>
            </w:pPr>
            <w:r/>
            <w:r>
              <w:rPr>
                <w:rFonts w:ascii="Times New Roman" w:hAnsi="Times New Roman"/>
                <w:sz w:val="17"/>
              </w:rPr>
              <w:t>1</w:t>
            </w:r>
          </w:p>
        </w:tc>
        <w:tc>
          <w:tcPr>
            <w:tcW w:type="dxa" w:w="1560"/>
            <w:tcBorders>
              <w:bottom w:val="single" w:sz="2" w:space="0" w:color="CCCCCC"/>
            </w:tcBorders>
          </w:tcPr>
          <w:p>
            <w:pPr>
              <w:jc w:val="center"/>
            </w:pPr>
            <w:r/>
            <w:r>
              <w:rPr>
                <w:rFonts w:ascii="Times New Roman" w:hAnsi="Times New Roman"/>
                <w:sz w:val="17"/>
              </w:rPr>
              <w:t>35.7 → 87.7</w:t>
            </w:r>
          </w:p>
        </w:tc>
        <w:tc>
          <w:tcPr>
            <w:tcW w:type="dxa" w:w="1560"/>
            <w:tcBorders>
              <w:bottom w:val="single" w:sz="2" w:space="0" w:color="CCCCCC"/>
            </w:tcBorders>
          </w:tcPr>
          <w:p>
            <w:pPr>
              <w:jc w:val="center"/>
            </w:pPr>
            <w:r/>
            <w:r>
              <w:rPr>
                <w:rFonts w:ascii="Times New Roman" w:hAnsi="Times New Roman"/>
                <w:sz w:val="17"/>
              </w:rPr>
              <w:t>59.4 → 96.8</w:t>
            </w:r>
          </w:p>
        </w:tc>
        <w:tc>
          <w:tcPr>
            <w:tcW w:type="dxa" w:w="1560"/>
            <w:tcBorders>
              <w:bottom w:val="single" w:sz="2" w:space="0" w:color="CCCCCC"/>
            </w:tcBorders>
          </w:tcPr>
          <w:p>
            <w:pPr>
              <w:jc w:val="center"/>
            </w:pPr>
            <w:r/>
            <w:r>
              <w:rPr>
                <w:rFonts w:ascii="Times New Roman" w:hAnsi="Times New Roman"/>
                <w:sz w:val="17"/>
              </w:rPr>
              <w:t>25.4 → 50.7</w:t>
            </w:r>
          </w:p>
        </w:tc>
        <w:tc>
          <w:tcPr>
            <w:tcW w:type="dxa" w:w="1560"/>
            <w:tcBorders>
              <w:bottom w:val="single" w:sz="2" w:space="0" w:color="CCCCCC"/>
            </w:tcBorders>
          </w:tcPr>
          <w:p>
            <w:pPr>
              <w:jc w:val="center"/>
            </w:pPr>
            <w:r/>
            <w:r>
              <w:rPr>
                <w:rFonts w:ascii="Times New Roman" w:hAnsi="Times New Roman"/>
                <w:sz w:val="17"/>
              </w:rPr>
              <w:t>4.8 → 16.6</w:t>
            </w:r>
          </w:p>
        </w:tc>
        <w:tc>
          <w:tcPr>
            <w:tcW w:type="dxa" w:w="1560"/>
            <w:tcBorders>
              <w:bottom w:val="single" w:sz="2" w:space="0" w:color="CCCCCC"/>
            </w:tcBorders>
          </w:tcPr>
          <w:p>
            <w:pPr>
              <w:jc w:val="center"/>
            </w:pPr>
            <w:r/>
            <w:r>
              <w:rPr>
                <w:rFonts w:ascii="Times New Roman" w:hAnsi="Times New Roman"/>
                <w:sz w:val="17"/>
              </w:rPr>
              <w:t>86.1 → 91.9</w:t>
            </w:r>
          </w:p>
        </w:tc>
      </w:tr>
      <w:tr>
        <w:tc>
          <w:tcPr>
            <w:tcW w:type="dxa" w:w="1560"/>
            <w:tcBorders>
              <w:bottom w:val="single" w:sz="2" w:space="0" w:color="CCCCCC"/>
            </w:tcBorders>
          </w:tcPr>
          <w:p>
            <w:pPr>
              <w:jc w:val="left"/>
            </w:pPr>
            <w:r/>
            <w:r>
              <w:rPr>
                <w:rFonts w:ascii="Times New Roman" w:hAnsi="Times New Roman"/>
                <w:sz w:val="17"/>
              </w:rPr>
              <w:t>20</w:t>
            </w:r>
          </w:p>
        </w:tc>
        <w:tc>
          <w:tcPr>
            <w:tcW w:type="dxa" w:w="1560"/>
            <w:tcBorders>
              <w:bottom w:val="single" w:sz="2" w:space="0" w:color="CCCCCC"/>
            </w:tcBorders>
          </w:tcPr>
          <w:p>
            <w:pPr>
              <w:jc w:val="center"/>
            </w:pPr>
            <w:r/>
            <w:r>
              <w:rPr>
                <w:rFonts w:ascii="Times New Roman" w:hAnsi="Times New Roman"/>
                <w:sz w:val="17"/>
              </w:rPr>
              <w:t>25.6 → 92.0</w:t>
            </w:r>
          </w:p>
        </w:tc>
        <w:tc>
          <w:tcPr>
            <w:tcW w:type="dxa" w:w="1560"/>
            <w:tcBorders>
              <w:bottom w:val="single" w:sz="2" w:space="0" w:color="CCCCCC"/>
            </w:tcBorders>
          </w:tcPr>
          <w:p>
            <w:pPr>
              <w:jc w:val="center"/>
            </w:pPr>
            <w:r/>
            <w:r>
              <w:rPr>
                <w:rFonts w:ascii="Times New Roman" w:hAnsi="Times New Roman"/>
                <w:sz w:val="17"/>
              </w:rPr>
              <w:t>92.6 → 94.7</w:t>
            </w:r>
          </w:p>
        </w:tc>
        <w:tc>
          <w:tcPr>
            <w:tcW w:type="dxa" w:w="1560"/>
            <w:tcBorders>
              <w:bottom w:val="single" w:sz="2" w:space="0" w:color="CCCCCC"/>
            </w:tcBorders>
          </w:tcPr>
          <w:p>
            <w:pPr>
              <w:jc w:val="center"/>
            </w:pPr>
            <w:r/>
            <w:r>
              <w:rPr>
                <w:rFonts w:ascii="Times New Roman" w:hAnsi="Times New Roman"/>
                <w:sz w:val="17"/>
              </w:rPr>
              <w:t>17.2 → 48.9</w:t>
            </w:r>
          </w:p>
        </w:tc>
        <w:tc>
          <w:tcPr>
            <w:tcW w:type="dxa" w:w="1560"/>
            <w:tcBorders>
              <w:bottom w:val="single" w:sz="2" w:space="0" w:color="CCCCCC"/>
            </w:tcBorders>
          </w:tcPr>
          <w:p>
            <w:pPr>
              <w:jc w:val="center"/>
            </w:pPr>
            <w:r/>
            <w:r>
              <w:rPr>
                <w:rFonts w:ascii="Times New Roman" w:hAnsi="Times New Roman"/>
                <w:sz w:val="17"/>
              </w:rPr>
              <w:t>2.9 → 13.4</w:t>
            </w:r>
          </w:p>
        </w:tc>
        <w:tc>
          <w:tcPr>
            <w:tcW w:type="dxa" w:w="1560"/>
            <w:tcBorders>
              <w:bottom w:val="single" w:sz="2" w:space="0" w:color="CCCCCC"/>
            </w:tcBorders>
          </w:tcPr>
          <w:p>
            <w:pPr>
              <w:jc w:val="center"/>
            </w:pPr>
            <w:r/>
            <w:r>
              <w:rPr>
                <w:rFonts w:ascii="Times New Roman" w:hAnsi="Times New Roman"/>
                <w:sz w:val="17"/>
              </w:rPr>
              <w:t>83.6 → 91.7</w:t>
            </w:r>
          </w:p>
        </w:tc>
      </w:tr>
      <w:tr>
        <w:tc>
          <w:tcPr>
            <w:tcW w:type="dxa" w:w="1560"/>
            <w:tcBorders>
              <w:bottom w:val="single" w:sz="2" w:space="0" w:color="CCCCCC"/>
            </w:tcBorders>
          </w:tcPr>
          <w:p>
            <w:pPr>
              <w:jc w:val="left"/>
            </w:pPr>
            <w:r/>
            <w:r>
              <w:rPr>
                <w:rFonts w:ascii="Times New Roman" w:hAnsi="Times New Roman"/>
                <w:sz w:val="17"/>
              </w:rPr>
              <w:t>50</w:t>
            </w:r>
          </w:p>
        </w:tc>
        <w:tc>
          <w:tcPr>
            <w:tcW w:type="dxa" w:w="1560"/>
            <w:tcBorders>
              <w:bottom w:val="single" w:sz="2" w:space="0" w:color="CCCCCC"/>
            </w:tcBorders>
          </w:tcPr>
          <w:p>
            <w:pPr>
              <w:jc w:val="center"/>
            </w:pPr>
            <w:r/>
            <w:r>
              <w:rPr>
                <w:rFonts w:ascii="Times New Roman" w:hAnsi="Times New Roman"/>
                <w:sz w:val="17"/>
              </w:rPr>
              <w:t>27.0 → 92.0</w:t>
            </w:r>
          </w:p>
        </w:tc>
        <w:tc>
          <w:tcPr>
            <w:tcW w:type="dxa" w:w="1560"/>
            <w:tcBorders>
              <w:bottom w:val="single" w:sz="2" w:space="0" w:color="CCCCCC"/>
            </w:tcBorders>
          </w:tcPr>
          <w:p>
            <w:pPr>
              <w:jc w:val="center"/>
            </w:pPr>
            <w:r/>
            <w:r>
              <w:rPr>
                <w:rFonts w:ascii="Times New Roman" w:hAnsi="Times New Roman"/>
                <w:sz w:val="17"/>
              </w:rPr>
              <w:t>90.5 → 94.7</w:t>
            </w:r>
          </w:p>
        </w:tc>
        <w:tc>
          <w:tcPr>
            <w:tcW w:type="dxa" w:w="1560"/>
            <w:tcBorders>
              <w:bottom w:val="single" w:sz="2" w:space="0" w:color="CCCCCC"/>
            </w:tcBorders>
          </w:tcPr>
          <w:p>
            <w:pPr>
              <w:jc w:val="center"/>
            </w:pPr>
            <w:r/>
            <w:r>
              <w:rPr>
                <w:rFonts w:ascii="Times New Roman" w:hAnsi="Times New Roman"/>
                <w:sz w:val="17"/>
              </w:rPr>
              <w:t>18.1 → 49.6</w:t>
            </w:r>
          </w:p>
        </w:tc>
        <w:tc>
          <w:tcPr>
            <w:tcW w:type="dxa" w:w="1560"/>
            <w:tcBorders>
              <w:bottom w:val="single" w:sz="2" w:space="0" w:color="CCCCCC"/>
            </w:tcBorders>
          </w:tcPr>
          <w:p>
            <w:pPr>
              <w:jc w:val="center"/>
            </w:pPr>
            <w:r/>
            <w:r>
              <w:rPr>
                <w:rFonts w:ascii="Times New Roman" w:hAnsi="Times New Roman"/>
                <w:sz w:val="17"/>
              </w:rPr>
              <w:t>3.1 → 13.6</w:t>
            </w:r>
          </w:p>
        </w:tc>
        <w:tc>
          <w:tcPr>
            <w:tcW w:type="dxa" w:w="1560"/>
            <w:tcBorders>
              <w:bottom w:val="single" w:sz="2" w:space="0" w:color="CCCCCC"/>
            </w:tcBorders>
          </w:tcPr>
          <w:p>
            <w:pPr>
              <w:jc w:val="center"/>
            </w:pPr>
            <w:r/>
            <w:r>
              <w:rPr>
                <w:rFonts w:ascii="Times New Roman" w:hAnsi="Times New Roman"/>
                <w:sz w:val="17"/>
              </w:rPr>
              <w:t>83.6 → 91.8</w:t>
            </w:r>
          </w:p>
        </w:tc>
      </w:tr>
      <w:tr>
        <w:tc>
          <w:tcPr>
            <w:tcW w:type="dxa" w:w="1560"/>
            <w:tcBorders>
              <w:bottom w:val="single" w:sz="2" w:space="0" w:color="CCCCCC"/>
            </w:tcBorders>
          </w:tcPr>
          <w:p>
            <w:pPr>
              <w:jc w:val="left"/>
            </w:pPr>
            <w:r/>
            <w:r>
              <w:rPr>
                <w:rFonts w:ascii="Times New Roman" w:hAnsi="Times New Roman"/>
                <w:sz w:val="17"/>
              </w:rPr>
              <w:t>100</w:t>
            </w:r>
          </w:p>
        </w:tc>
        <w:tc>
          <w:tcPr>
            <w:tcW w:type="dxa" w:w="1560"/>
            <w:tcBorders>
              <w:bottom w:val="single" w:sz="2" w:space="0" w:color="CCCCCC"/>
            </w:tcBorders>
          </w:tcPr>
          <w:p>
            <w:pPr>
              <w:jc w:val="center"/>
            </w:pPr>
            <w:r/>
            <w:r>
              <w:rPr>
                <w:rFonts w:ascii="Times New Roman" w:hAnsi="Times New Roman"/>
                <w:sz w:val="17"/>
              </w:rPr>
              <w:t>25.9 → 92.0</w:t>
            </w:r>
          </w:p>
        </w:tc>
        <w:tc>
          <w:tcPr>
            <w:tcW w:type="dxa" w:w="1560"/>
            <w:tcBorders>
              <w:bottom w:val="single" w:sz="2" w:space="0" w:color="CCCCCC"/>
            </w:tcBorders>
          </w:tcPr>
          <w:p>
            <w:pPr>
              <w:jc w:val="center"/>
            </w:pPr>
            <w:r/>
            <w:r>
              <w:rPr>
                <w:rFonts w:ascii="Times New Roman" w:hAnsi="Times New Roman"/>
                <w:sz w:val="17"/>
              </w:rPr>
              <w:t>88.3 → 94.7</w:t>
            </w:r>
          </w:p>
        </w:tc>
        <w:tc>
          <w:tcPr>
            <w:tcW w:type="dxa" w:w="1560"/>
            <w:tcBorders>
              <w:bottom w:val="single" w:sz="2" w:space="0" w:color="CCCCCC"/>
            </w:tcBorders>
          </w:tcPr>
          <w:p>
            <w:pPr>
              <w:jc w:val="center"/>
            </w:pPr>
            <w:r/>
            <w:r>
              <w:rPr>
                <w:rFonts w:ascii="Times New Roman" w:hAnsi="Times New Roman"/>
                <w:sz w:val="17"/>
              </w:rPr>
              <w:t>18.1 → 49.7</w:t>
            </w:r>
          </w:p>
        </w:tc>
        <w:tc>
          <w:tcPr>
            <w:tcW w:type="dxa" w:w="1560"/>
            <w:tcBorders>
              <w:bottom w:val="single" w:sz="2" w:space="0" w:color="CCCCCC"/>
            </w:tcBorders>
          </w:tcPr>
          <w:p>
            <w:pPr>
              <w:jc w:val="center"/>
            </w:pPr>
            <w:r/>
            <w:r>
              <w:rPr>
                <w:rFonts w:ascii="Times New Roman" w:hAnsi="Times New Roman"/>
                <w:sz w:val="17"/>
              </w:rPr>
              <w:t>2.9 → 13.4</w:t>
            </w:r>
          </w:p>
        </w:tc>
        <w:tc>
          <w:tcPr>
            <w:tcW w:type="dxa" w:w="1560"/>
            <w:tcBorders>
              <w:bottom w:val="single" w:sz="2" w:space="0" w:color="CCCCCC"/>
            </w:tcBorders>
          </w:tcPr>
          <w:p>
            <w:pPr>
              <w:jc w:val="center"/>
            </w:pPr>
            <w:r/>
            <w:r>
              <w:rPr>
                <w:rFonts w:ascii="Times New Roman" w:hAnsi="Times New Roman"/>
                <w:sz w:val="17"/>
              </w:rPr>
              <w:t>83.6 → 91.8</w:t>
            </w:r>
          </w:p>
        </w:tc>
      </w:tr>
      <w:tr>
        <w:tc>
          <w:tcPr>
            <w:tcW w:type="dxa" w:w="1560"/>
            <w:tcBorders>
              <w:bottom w:val="single" w:sz="12" w:space="0" w:color="000000"/>
            </w:tcBorders>
          </w:tcPr>
          <w:p>
            <w:pPr>
              <w:jc w:val="left"/>
            </w:pPr>
            <w:r/>
            <w:r>
              <w:rPr>
                <w:rFonts w:ascii="Times New Roman" w:hAnsi="Times New Roman"/>
                <w:sz w:val="17"/>
              </w:rPr>
              <w:t>max</w:t>
            </w:r>
          </w:p>
        </w:tc>
        <w:tc>
          <w:tcPr>
            <w:tcW w:type="dxa" w:w="1560"/>
            <w:tcBorders>
              <w:bottom w:val="single" w:sz="12" w:space="0" w:color="000000"/>
            </w:tcBorders>
          </w:tcPr>
          <w:p>
            <w:pPr>
              <w:jc w:val="center"/>
            </w:pPr>
            <w:r/>
            <w:r>
              <w:rPr>
                <w:rFonts w:ascii="Times New Roman" w:hAnsi="Times New Roman"/>
                <w:sz w:val="17"/>
              </w:rPr>
              <w:t>26.4 → 92.0</w:t>
            </w:r>
          </w:p>
        </w:tc>
        <w:tc>
          <w:tcPr>
            <w:tcW w:type="dxa" w:w="1560"/>
            <w:tcBorders>
              <w:bottom w:val="single" w:sz="12" w:space="0" w:color="000000"/>
            </w:tcBorders>
          </w:tcPr>
          <w:p>
            <w:pPr>
              <w:jc w:val="center"/>
            </w:pPr>
            <w:r/>
            <w:r>
              <w:rPr>
                <w:rFonts w:ascii="Times New Roman" w:hAnsi="Times New Roman"/>
                <w:sz w:val="17"/>
              </w:rPr>
              <w:t>89.2 → 94.7</w:t>
            </w:r>
          </w:p>
        </w:tc>
        <w:tc>
          <w:tcPr>
            <w:tcW w:type="dxa" w:w="1560"/>
            <w:tcBorders>
              <w:bottom w:val="single" w:sz="12" w:space="0" w:color="000000"/>
            </w:tcBorders>
          </w:tcPr>
          <w:p>
            <w:pPr>
              <w:jc w:val="center"/>
            </w:pPr>
            <w:r/>
            <w:r>
              <w:rPr>
                <w:rFonts w:ascii="Times New Roman" w:hAnsi="Times New Roman"/>
                <w:sz w:val="17"/>
              </w:rPr>
              <w:t>19.9 → 48.8</w:t>
            </w:r>
          </w:p>
        </w:tc>
        <w:tc>
          <w:tcPr>
            <w:tcW w:type="dxa" w:w="1560"/>
            <w:tcBorders>
              <w:bottom w:val="single" w:sz="12" w:space="0" w:color="000000"/>
            </w:tcBorders>
          </w:tcPr>
          <w:p>
            <w:pPr>
              <w:jc w:val="center"/>
            </w:pPr>
            <w:r/>
            <w:r>
              <w:rPr>
                <w:rFonts w:ascii="Times New Roman" w:hAnsi="Times New Roman"/>
                <w:sz w:val="17"/>
              </w:rPr>
              <w:t>3.5 → 12.9</w:t>
            </w:r>
          </w:p>
        </w:tc>
        <w:tc>
          <w:tcPr>
            <w:tcW w:type="dxa" w:w="1560"/>
            <w:tcBorders>
              <w:bottom w:val="single" w:sz="12" w:space="0" w:color="000000"/>
            </w:tcBorders>
          </w:tcPr>
          <w:p>
            <w:pPr>
              <w:jc w:val="center"/>
            </w:pPr>
            <w:r/>
            <w:r>
              <w:rPr>
                <w:rFonts w:ascii="Times New Roman" w:hAnsi="Times New Roman"/>
                <w:sz w:val="17"/>
              </w:rPr>
              <w:t>83.9 → 91.7</w:t>
            </w:r>
          </w:p>
        </w:tc>
      </w:tr>
    </w:tbl>
    <w:p>
      <w:pPr>
        <w:spacing w:after="120" w:before="0" w:line="260" w:lineRule="exact"/>
        <w:ind w:firstLine="432"/>
        <w:jc w:val="both"/>
      </w:pPr>
      <w:r>
        <w:rPr>
          <w:rFonts w:ascii="Times New Roman" w:hAnsi="Times New Roman"/>
          <w:sz w:val="20"/>
        </w:rPr>
        <w:t>The original paper reports a precision-recall tradeoff: as context increases, precision decreases while recall increases. Our reproduction observes the same directional trend with attenuated magnitude. The growing/5/5 configuration confirms superior balance.</w:t>
      </w:r>
    </w:p>
    <w:p>
      <w:pPr>
        <w:spacing w:before="240" w:after="80"/>
        <w:jc w:val="left"/>
      </w:pPr>
      <w:r>
        <w:rPr>
          <w:rFonts w:ascii="Times New Roman" w:hAnsi="Times New Roman"/>
          <w:b/>
          <w:sz w:val="18"/>
        </w:rPr>
        <w:t>Table 4.</w:t>
      </w:r>
      <w:r>
        <w:rPr>
          <w:rFonts w:ascii="Times New Roman" w:hAnsi="Times New Roman"/>
          <w:sz w:val="18"/>
        </w:rPr>
        <w:t xml:space="preserve"> Context aggregation strategies (GPT-3.5 Turbo). Format: Jang et al. → Ours. ★ denotes best config</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12" w:space="0" w:color="000000"/>
              <w:bottom w:val="single" w:sz="6" w:space="0" w:color="000000"/>
            </w:tcBorders>
          </w:tcPr>
          <w:p>
            <w:pPr>
              <w:jc w:val="center"/>
            </w:pPr>
            <w:r/>
            <w:r>
              <w:rPr>
                <w:rFonts w:ascii="Times New Roman" w:hAnsi="Times New Roman"/>
                <w:b/>
                <w:sz w:val="17"/>
              </w:rPr>
              <w:t>Config</w:t>
            </w:r>
          </w:p>
        </w:tc>
        <w:tc>
          <w:tcPr>
            <w:tcW w:type="dxa" w:w="1560"/>
            <w:tcBorders>
              <w:top w:val="single" w:sz="12" w:space="0" w:color="000000"/>
              <w:bottom w:val="single" w:sz="6" w:space="0" w:color="000000"/>
            </w:tcBorders>
          </w:tcPr>
          <w:p>
            <w:pPr>
              <w:jc w:val="center"/>
            </w:pPr>
            <w:r/>
            <w:r>
              <w:rPr>
                <w:rFonts w:ascii="Times New Roman" w:hAnsi="Times New Roman"/>
                <w:b/>
                <w:sz w:val="17"/>
              </w:rPr>
              <w:t>Precision</w:t>
            </w:r>
          </w:p>
        </w:tc>
        <w:tc>
          <w:tcPr>
            <w:tcW w:type="dxa" w:w="1560"/>
            <w:tcBorders>
              <w:top w:val="single" w:sz="12" w:space="0" w:color="000000"/>
              <w:bottom w:val="single" w:sz="6" w:space="0" w:color="000000"/>
            </w:tcBorders>
          </w:tcPr>
          <w:p>
            <w:pPr>
              <w:jc w:val="center"/>
            </w:pPr>
            <w:r/>
            <w:r>
              <w:rPr>
                <w:rFonts w:ascii="Times New Roman" w:hAnsi="Times New Roman"/>
                <w:b/>
                <w:sz w:val="17"/>
              </w:rPr>
              <w:t>Recall</w:t>
            </w:r>
          </w:p>
        </w:tc>
        <w:tc>
          <w:tcPr>
            <w:tcW w:type="dxa" w:w="1560"/>
            <w:tcBorders>
              <w:top w:val="single" w:sz="12" w:space="0" w:color="000000"/>
              <w:bottom w:val="single" w:sz="6" w:space="0" w:color="000000"/>
            </w:tcBorders>
          </w:tcPr>
          <w:p>
            <w:pPr>
              <w:jc w:val="center"/>
            </w:pPr>
            <w:r/>
            <w:r>
              <w:rPr>
                <w:rFonts w:ascii="Times New Roman" w:hAnsi="Times New Roman"/>
                <w:b/>
                <w:sz w:val="17"/>
              </w:rPr>
              <w:t>ROUGE-L</w:t>
            </w:r>
          </w:p>
        </w:tc>
        <w:tc>
          <w:tcPr>
            <w:tcW w:type="dxa" w:w="1560"/>
            <w:tcBorders>
              <w:top w:val="single" w:sz="12" w:space="0" w:color="000000"/>
              <w:bottom w:val="single" w:sz="6" w:space="0" w:color="000000"/>
            </w:tcBorders>
          </w:tcPr>
          <w:p>
            <w:pPr>
              <w:jc w:val="center"/>
            </w:pPr>
            <w:r/>
            <w:r>
              <w:rPr>
                <w:rFonts w:ascii="Times New Roman" w:hAnsi="Times New Roman"/>
                <w:b/>
                <w:sz w:val="17"/>
              </w:rPr>
              <w:t>BLEU</w:t>
            </w:r>
          </w:p>
        </w:tc>
        <w:tc>
          <w:tcPr>
            <w:tcW w:type="dxa" w:w="1560"/>
            <w:tcBorders>
              <w:top w:val="single" w:sz="12" w:space="0" w:color="000000"/>
              <w:bottom w:val="single" w:sz="6" w:space="0" w:color="000000"/>
            </w:tcBorders>
          </w:tcPr>
          <w:p>
            <w:pPr>
              <w:jc w:val="center"/>
            </w:pPr>
            <w:r/>
            <w:r>
              <w:rPr>
                <w:rFonts w:ascii="Times New Roman" w:hAnsi="Times New Roman"/>
                <w:b/>
                <w:sz w:val="17"/>
              </w:rPr>
              <w:t>BERTScore</w:t>
            </w:r>
          </w:p>
        </w:tc>
      </w:tr>
      <w:tr>
        <w:tc>
          <w:tcPr>
            <w:tcW w:type="dxa" w:w="1560"/>
            <w:tcBorders>
              <w:bottom w:val="single" w:sz="2" w:space="0" w:color="CCCCCC"/>
            </w:tcBorders>
          </w:tcPr>
          <w:p>
            <w:pPr>
              <w:jc w:val="left"/>
            </w:pPr>
            <w:r/>
            <w:r>
              <w:rPr>
                <w:rFonts w:ascii="Times New Roman" w:hAnsi="Times New Roman"/>
                <w:sz w:val="17"/>
              </w:rPr>
              <w:t>sliding/1/20</w:t>
            </w:r>
          </w:p>
        </w:tc>
        <w:tc>
          <w:tcPr>
            <w:tcW w:type="dxa" w:w="1560"/>
            <w:tcBorders>
              <w:bottom w:val="single" w:sz="2" w:space="0" w:color="CCCCCC"/>
            </w:tcBorders>
          </w:tcPr>
          <w:p>
            <w:pPr>
              <w:jc w:val="center"/>
            </w:pPr>
            <w:r/>
            <w:r>
              <w:rPr>
                <w:rFonts w:ascii="Times New Roman" w:hAnsi="Times New Roman"/>
                <w:sz w:val="17"/>
              </w:rPr>
              <w:t>40.1 → 89.1</w:t>
            </w:r>
          </w:p>
        </w:tc>
        <w:tc>
          <w:tcPr>
            <w:tcW w:type="dxa" w:w="1560"/>
            <w:tcBorders>
              <w:bottom w:val="single" w:sz="2" w:space="0" w:color="CCCCCC"/>
            </w:tcBorders>
          </w:tcPr>
          <w:p>
            <w:pPr>
              <w:jc w:val="center"/>
            </w:pPr>
            <w:r/>
            <w:r>
              <w:rPr>
                <w:rFonts w:ascii="Times New Roman" w:hAnsi="Times New Roman"/>
                <w:sz w:val="17"/>
              </w:rPr>
              <w:t>44.1 → 94.5</w:t>
            </w:r>
          </w:p>
        </w:tc>
        <w:tc>
          <w:tcPr>
            <w:tcW w:type="dxa" w:w="1560"/>
            <w:tcBorders>
              <w:bottom w:val="single" w:sz="2" w:space="0" w:color="CCCCCC"/>
            </w:tcBorders>
          </w:tcPr>
          <w:p>
            <w:pPr>
              <w:jc w:val="center"/>
            </w:pPr>
            <w:r/>
            <w:r>
              <w:rPr>
                <w:rFonts w:ascii="Times New Roman" w:hAnsi="Times New Roman"/>
                <w:sz w:val="17"/>
              </w:rPr>
              <w:t>25.6 → 46.9</w:t>
            </w:r>
          </w:p>
        </w:tc>
        <w:tc>
          <w:tcPr>
            <w:tcW w:type="dxa" w:w="1560"/>
            <w:tcBorders>
              <w:bottom w:val="single" w:sz="2" w:space="0" w:color="CCCCCC"/>
            </w:tcBorders>
          </w:tcPr>
          <w:p>
            <w:pPr>
              <w:jc w:val="center"/>
            </w:pPr>
            <w:r/>
            <w:r>
              <w:rPr>
                <w:rFonts w:ascii="Times New Roman" w:hAnsi="Times New Roman"/>
                <w:sz w:val="17"/>
              </w:rPr>
              <w:t>4.6 → 12.6</w:t>
            </w:r>
          </w:p>
        </w:tc>
        <w:tc>
          <w:tcPr>
            <w:tcW w:type="dxa" w:w="1560"/>
            <w:tcBorders>
              <w:bottom w:val="single" w:sz="2" w:space="0" w:color="CCCCCC"/>
            </w:tcBorders>
          </w:tcPr>
          <w:p>
            <w:pPr>
              <w:jc w:val="center"/>
            </w:pPr>
            <w:r/>
            <w:r>
              <w:rPr>
                <w:rFonts w:ascii="Times New Roman" w:hAnsi="Times New Roman"/>
                <w:sz w:val="17"/>
              </w:rPr>
              <w:t>86.5 → 91.5</w:t>
            </w:r>
          </w:p>
        </w:tc>
      </w:tr>
      <w:tr>
        <w:tc>
          <w:tcPr>
            <w:tcW w:type="dxa" w:w="1560"/>
            <w:tcBorders>
              <w:bottom w:val="single" w:sz="2" w:space="0" w:color="CCCCCC"/>
            </w:tcBorders>
          </w:tcPr>
          <w:p>
            <w:pPr>
              <w:jc w:val="left"/>
            </w:pPr>
            <w:r/>
            <w:r>
              <w:rPr>
                <w:rFonts w:ascii="Times New Roman" w:hAnsi="Times New Roman"/>
                <w:sz w:val="17"/>
              </w:rPr>
              <w:t>sliding/1/50</w:t>
            </w:r>
          </w:p>
        </w:tc>
        <w:tc>
          <w:tcPr>
            <w:tcW w:type="dxa" w:w="1560"/>
            <w:tcBorders>
              <w:bottom w:val="single" w:sz="2" w:space="0" w:color="CCCCCC"/>
            </w:tcBorders>
          </w:tcPr>
          <w:p>
            <w:pPr>
              <w:jc w:val="center"/>
            </w:pPr>
            <w:r/>
            <w:r>
              <w:rPr>
                <w:rFonts w:ascii="Times New Roman" w:hAnsi="Times New Roman"/>
                <w:sz w:val="17"/>
              </w:rPr>
              <w:t>47.4 → 87.4</w:t>
            </w:r>
          </w:p>
        </w:tc>
        <w:tc>
          <w:tcPr>
            <w:tcW w:type="dxa" w:w="1560"/>
            <w:tcBorders>
              <w:bottom w:val="single" w:sz="2" w:space="0" w:color="CCCCCC"/>
            </w:tcBorders>
          </w:tcPr>
          <w:p>
            <w:pPr>
              <w:jc w:val="center"/>
            </w:pPr>
            <w:r/>
            <w:r>
              <w:rPr>
                <w:rFonts w:ascii="Times New Roman" w:hAnsi="Times New Roman"/>
                <w:sz w:val="17"/>
              </w:rPr>
              <w:t>38.0 → 94.5</w:t>
            </w:r>
          </w:p>
        </w:tc>
        <w:tc>
          <w:tcPr>
            <w:tcW w:type="dxa" w:w="1560"/>
            <w:tcBorders>
              <w:bottom w:val="single" w:sz="2" w:space="0" w:color="CCCCCC"/>
            </w:tcBorders>
          </w:tcPr>
          <w:p>
            <w:pPr>
              <w:jc w:val="center"/>
            </w:pPr>
            <w:r/>
            <w:r>
              <w:rPr>
                <w:rFonts w:ascii="Times New Roman" w:hAnsi="Times New Roman"/>
                <w:sz w:val="17"/>
              </w:rPr>
              <w:t>29.4 → 46.2</w:t>
            </w:r>
          </w:p>
        </w:tc>
        <w:tc>
          <w:tcPr>
            <w:tcW w:type="dxa" w:w="1560"/>
            <w:tcBorders>
              <w:bottom w:val="single" w:sz="2" w:space="0" w:color="CCCCCC"/>
            </w:tcBorders>
          </w:tcPr>
          <w:p>
            <w:pPr>
              <w:jc w:val="center"/>
            </w:pPr>
            <w:r/>
            <w:r>
              <w:rPr>
                <w:rFonts w:ascii="Times New Roman" w:hAnsi="Times New Roman"/>
                <w:sz w:val="17"/>
              </w:rPr>
              <w:t>6.6 → 12.5</w:t>
            </w:r>
          </w:p>
        </w:tc>
        <w:tc>
          <w:tcPr>
            <w:tcW w:type="dxa" w:w="1560"/>
            <w:tcBorders>
              <w:bottom w:val="single" w:sz="2" w:space="0" w:color="CCCCCC"/>
            </w:tcBorders>
          </w:tcPr>
          <w:p>
            <w:pPr>
              <w:jc w:val="center"/>
            </w:pPr>
            <w:r/>
            <w:r>
              <w:rPr>
                <w:rFonts w:ascii="Times New Roman" w:hAnsi="Times New Roman"/>
                <w:sz w:val="17"/>
              </w:rPr>
              <w:t>87.3 → 91.4</w:t>
            </w:r>
          </w:p>
        </w:tc>
      </w:tr>
      <w:tr>
        <w:tc>
          <w:tcPr>
            <w:tcW w:type="dxa" w:w="1560"/>
            <w:tcBorders>
              <w:bottom w:val="single" w:sz="2" w:space="0" w:color="CCCCCC"/>
            </w:tcBorders>
          </w:tcPr>
          <w:p>
            <w:pPr>
              <w:jc w:val="left"/>
            </w:pPr>
            <w:r/>
            <w:r>
              <w:rPr>
                <w:rFonts w:ascii="Times New Roman" w:hAnsi="Times New Roman"/>
                <w:sz w:val="17"/>
              </w:rPr>
              <w:t>growing/1/20</w:t>
            </w:r>
          </w:p>
        </w:tc>
        <w:tc>
          <w:tcPr>
            <w:tcW w:type="dxa" w:w="1560"/>
            <w:tcBorders>
              <w:bottom w:val="single" w:sz="2" w:space="0" w:color="CCCCCC"/>
            </w:tcBorders>
          </w:tcPr>
          <w:p>
            <w:pPr>
              <w:jc w:val="center"/>
            </w:pPr>
            <w:r/>
            <w:r>
              <w:rPr>
                <w:rFonts w:ascii="Times New Roman" w:hAnsi="Times New Roman"/>
                <w:sz w:val="17"/>
              </w:rPr>
              <w:t>52.2 → 89.9</w:t>
            </w:r>
          </w:p>
        </w:tc>
        <w:tc>
          <w:tcPr>
            <w:tcW w:type="dxa" w:w="1560"/>
            <w:tcBorders>
              <w:bottom w:val="single" w:sz="2" w:space="0" w:color="CCCCCC"/>
            </w:tcBorders>
          </w:tcPr>
          <w:p>
            <w:pPr>
              <w:jc w:val="center"/>
            </w:pPr>
            <w:r/>
            <w:r>
              <w:rPr>
                <w:rFonts w:ascii="Times New Roman" w:hAnsi="Times New Roman"/>
                <w:sz w:val="17"/>
              </w:rPr>
              <w:t>34.9 → 94.5</w:t>
            </w:r>
          </w:p>
        </w:tc>
        <w:tc>
          <w:tcPr>
            <w:tcW w:type="dxa" w:w="1560"/>
            <w:tcBorders>
              <w:bottom w:val="single" w:sz="2" w:space="0" w:color="CCCCCC"/>
            </w:tcBorders>
          </w:tcPr>
          <w:p>
            <w:pPr>
              <w:jc w:val="center"/>
            </w:pPr>
            <w:r/>
            <w:r>
              <w:rPr>
                <w:rFonts w:ascii="Times New Roman" w:hAnsi="Times New Roman"/>
                <w:sz w:val="17"/>
              </w:rPr>
              <w:t>27.7 → 45.7</w:t>
            </w:r>
          </w:p>
        </w:tc>
        <w:tc>
          <w:tcPr>
            <w:tcW w:type="dxa" w:w="1560"/>
            <w:tcBorders>
              <w:bottom w:val="single" w:sz="2" w:space="0" w:color="CCCCCC"/>
            </w:tcBorders>
          </w:tcPr>
          <w:p>
            <w:pPr>
              <w:jc w:val="center"/>
            </w:pPr>
            <w:r/>
            <w:r>
              <w:rPr>
                <w:rFonts w:ascii="Times New Roman" w:hAnsi="Times New Roman"/>
                <w:sz w:val="17"/>
              </w:rPr>
              <w:t>6.0 → 12.1</w:t>
            </w:r>
          </w:p>
        </w:tc>
        <w:tc>
          <w:tcPr>
            <w:tcW w:type="dxa" w:w="1560"/>
            <w:tcBorders>
              <w:bottom w:val="single" w:sz="2" w:space="0" w:color="CCCCCC"/>
            </w:tcBorders>
          </w:tcPr>
          <w:p>
            <w:pPr>
              <w:jc w:val="center"/>
            </w:pPr>
            <w:r/>
            <w:r>
              <w:rPr>
                <w:rFonts w:ascii="Times New Roman" w:hAnsi="Times New Roman"/>
                <w:sz w:val="17"/>
              </w:rPr>
              <w:t>87.0 → 91.3</w:t>
            </w:r>
          </w:p>
        </w:tc>
      </w:tr>
      <w:tr>
        <w:tc>
          <w:tcPr>
            <w:tcW w:type="dxa" w:w="1560"/>
            <w:tcBorders>
              <w:bottom w:val="single" w:sz="2" w:space="0" w:color="CCCCCC"/>
            </w:tcBorders>
          </w:tcPr>
          <w:p>
            <w:pPr>
              <w:jc w:val="left"/>
            </w:pPr>
            <w:r/>
            <w:r>
              <w:rPr>
                <w:rFonts w:ascii="Times New Roman" w:hAnsi="Times New Roman"/>
                <w:sz w:val="17"/>
              </w:rPr>
              <w:t>growing/1/50</w:t>
            </w:r>
          </w:p>
        </w:tc>
        <w:tc>
          <w:tcPr>
            <w:tcW w:type="dxa" w:w="1560"/>
            <w:tcBorders>
              <w:bottom w:val="single" w:sz="2" w:space="0" w:color="CCCCCC"/>
            </w:tcBorders>
          </w:tcPr>
          <w:p>
            <w:pPr>
              <w:jc w:val="center"/>
            </w:pPr>
            <w:r/>
            <w:r>
              <w:rPr>
                <w:rFonts w:ascii="Times New Roman" w:hAnsi="Times New Roman"/>
                <w:sz w:val="17"/>
              </w:rPr>
              <w:t>53.7 → 87.4</w:t>
            </w:r>
          </w:p>
        </w:tc>
        <w:tc>
          <w:tcPr>
            <w:tcW w:type="dxa" w:w="1560"/>
            <w:tcBorders>
              <w:bottom w:val="single" w:sz="2" w:space="0" w:color="CCCCCC"/>
            </w:tcBorders>
          </w:tcPr>
          <w:p>
            <w:pPr>
              <w:jc w:val="center"/>
            </w:pPr>
            <w:r/>
            <w:r>
              <w:rPr>
                <w:rFonts w:ascii="Times New Roman" w:hAnsi="Times New Roman"/>
                <w:sz w:val="17"/>
              </w:rPr>
              <w:t>37.0 → 94.5</w:t>
            </w:r>
          </w:p>
        </w:tc>
        <w:tc>
          <w:tcPr>
            <w:tcW w:type="dxa" w:w="1560"/>
            <w:tcBorders>
              <w:bottom w:val="single" w:sz="2" w:space="0" w:color="CCCCCC"/>
            </w:tcBorders>
          </w:tcPr>
          <w:p>
            <w:pPr>
              <w:jc w:val="center"/>
            </w:pPr>
            <w:r/>
            <w:r>
              <w:rPr>
                <w:rFonts w:ascii="Times New Roman" w:hAnsi="Times New Roman"/>
                <w:sz w:val="17"/>
              </w:rPr>
              <w:t>30.1 → 45.8</w:t>
            </w:r>
          </w:p>
        </w:tc>
        <w:tc>
          <w:tcPr>
            <w:tcW w:type="dxa" w:w="1560"/>
            <w:tcBorders>
              <w:bottom w:val="single" w:sz="2" w:space="0" w:color="CCCCCC"/>
            </w:tcBorders>
          </w:tcPr>
          <w:p>
            <w:pPr>
              <w:jc w:val="center"/>
            </w:pPr>
            <w:r/>
            <w:r>
              <w:rPr>
                <w:rFonts w:ascii="Times New Roman" w:hAnsi="Times New Roman"/>
                <w:sz w:val="17"/>
              </w:rPr>
              <w:t>6.2 → 12.4</w:t>
            </w:r>
          </w:p>
        </w:tc>
        <w:tc>
          <w:tcPr>
            <w:tcW w:type="dxa" w:w="1560"/>
            <w:tcBorders>
              <w:bottom w:val="single" w:sz="2" w:space="0" w:color="CCCCCC"/>
            </w:tcBorders>
          </w:tcPr>
          <w:p>
            <w:pPr>
              <w:jc w:val="center"/>
            </w:pPr>
            <w:r/>
            <w:r>
              <w:rPr>
                <w:rFonts w:ascii="Times New Roman" w:hAnsi="Times New Roman"/>
                <w:sz w:val="17"/>
              </w:rPr>
              <w:t>87.8 → 91.4</w:t>
            </w:r>
          </w:p>
        </w:tc>
      </w:tr>
      <w:tr>
        <w:tc>
          <w:tcPr>
            <w:tcW w:type="dxa" w:w="1560"/>
            <w:tcBorders>
              <w:bottom w:val="single" w:sz="12" w:space="0" w:color="000000"/>
            </w:tcBorders>
          </w:tcPr>
          <w:p>
            <w:pPr>
              <w:jc w:val="left"/>
            </w:pPr>
            <w:r/>
            <w:r>
              <w:rPr>
                <w:rFonts w:ascii="Times New Roman" w:hAnsi="Times New Roman"/>
                <w:sz w:val="17"/>
              </w:rPr>
              <w:t>growing/5/5 ★</w:t>
            </w:r>
          </w:p>
        </w:tc>
        <w:tc>
          <w:tcPr>
            <w:tcW w:type="dxa" w:w="1560"/>
            <w:tcBorders>
              <w:bottom w:val="single" w:sz="12" w:space="0" w:color="000000"/>
            </w:tcBorders>
          </w:tcPr>
          <w:p>
            <w:pPr>
              <w:jc w:val="center"/>
            </w:pPr>
            <w:r/>
            <w:r>
              <w:rPr>
                <w:rFonts w:ascii="Times New Roman" w:hAnsi="Times New Roman"/>
                <w:sz w:val="17"/>
              </w:rPr>
              <w:t>66.7 → 95.7</w:t>
            </w:r>
          </w:p>
        </w:tc>
        <w:tc>
          <w:tcPr>
            <w:tcW w:type="dxa" w:w="1560"/>
            <w:tcBorders>
              <w:bottom w:val="single" w:sz="12" w:space="0" w:color="000000"/>
            </w:tcBorders>
          </w:tcPr>
          <w:p>
            <w:pPr>
              <w:jc w:val="center"/>
            </w:pPr>
            <w:r/>
            <w:r>
              <w:rPr>
                <w:rFonts w:ascii="Times New Roman" w:hAnsi="Times New Roman"/>
                <w:sz w:val="17"/>
              </w:rPr>
              <w:t>77.8 → 87.3</w:t>
            </w:r>
          </w:p>
        </w:tc>
        <w:tc>
          <w:tcPr>
            <w:tcW w:type="dxa" w:w="1560"/>
            <w:tcBorders>
              <w:bottom w:val="single" w:sz="12" w:space="0" w:color="000000"/>
            </w:tcBorders>
          </w:tcPr>
          <w:p>
            <w:pPr>
              <w:jc w:val="center"/>
            </w:pPr>
            <w:r/>
            <w:r>
              <w:rPr>
                <w:rFonts w:ascii="Times New Roman" w:hAnsi="Times New Roman"/>
                <w:sz w:val="17"/>
              </w:rPr>
              <w:t>25.1 → 44.8</w:t>
            </w:r>
          </w:p>
        </w:tc>
        <w:tc>
          <w:tcPr>
            <w:tcW w:type="dxa" w:w="1560"/>
            <w:tcBorders>
              <w:bottom w:val="single" w:sz="12" w:space="0" w:color="000000"/>
            </w:tcBorders>
          </w:tcPr>
          <w:p>
            <w:pPr>
              <w:jc w:val="center"/>
            </w:pPr>
            <w:r/>
            <w:r>
              <w:rPr>
                <w:rFonts w:ascii="Times New Roman" w:hAnsi="Times New Roman"/>
                <w:sz w:val="17"/>
              </w:rPr>
              <w:t>5.9 → 11.1</w:t>
            </w:r>
          </w:p>
        </w:tc>
        <w:tc>
          <w:tcPr>
            <w:tcW w:type="dxa" w:w="1560"/>
            <w:tcBorders>
              <w:bottom w:val="single" w:sz="12" w:space="0" w:color="000000"/>
            </w:tcBorders>
          </w:tcPr>
          <w:p>
            <w:pPr>
              <w:jc w:val="center"/>
            </w:pPr>
            <w:r/>
            <w:r>
              <w:rPr>
                <w:rFonts w:ascii="Times New Roman" w:hAnsi="Times New Roman"/>
                <w:sz w:val="17"/>
              </w:rPr>
              <w:t>84.6 → 90.9</w:t>
            </w:r>
          </w:p>
        </w:tc>
      </w:tr>
    </w:tbl>
    <w:p>
      <w:pPr>
        <w:spacing w:after="120" w:before="0" w:line="260" w:lineRule="exact"/>
        <w:ind w:firstLine="432"/>
        <w:jc w:val="both"/>
      </w:pPr>
      <w:r>
        <w:rPr>
          <w:rFonts w:ascii="Times New Roman" w:hAnsi="Times New Roman"/>
          <w:sz w:val="20"/>
        </w:rPr>
        <w:t>The key finding—that growing/5/5 achieves optimal precision-recall balance—is confirmed. This configuration yields the highest precision (95.73) among all aggregation strategies, consistent with the original observation (66.70).</w:t>
      </w:r>
    </w:p>
    <w:p>
      <w:pPr>
        <w:spacing w:before="280" w:after="120"/>
      </w:pPr>
      <w:r>
        <w:rPr>
          <w:rFonts w:ascii="Times New Roman" w:hAnsi="Times New Roman"/>
          <w:b/>
          <w:sz w:val="22"/>
        </w:rPr>
        <w:t>5  Analysis of Score Discrepancies</w:t>
      </w:r>
    </w:p>
    <w:p>
      <w:pPr>
        <w:spacing w:after="120" w:before="0" w:line="260" w:lineRule="exact"/>
        <w:jc w:val="both"/>
      </w:pPr>
      <w:r>
        <w:rPr>
          <w:rFonts w:ascii="Times New Roman" w:hAnsi="Times New Roman"/>
          <w:sz w:val="20"/>
        </w:rPr>
        <w:t>Our reproduction yields systematically higher absolute scores across all experiments. We identify three primary factors:</w:t>
      </w:r>
    </w:p>
    <w:p>
      <w:pPr>
        <w:spacing w:after="120" w:line="260" w:lineRule="exact"/>
        <w:ind w:firstLine="432"/>
        <w:jc w:val="both"/>
      </w:pPr>
      <w:r>
        <w:rPr>
          <w:rFonts w:ascii="Times New Roman" w:hAnsi="Times New Roman"/>
          <w:b/>
          <w:i w:val="0"/>
          <w:sz w:val="20"/>
        </w:rPr>
        <w:t xml:space="preserve">Data characteristics. </w:t>
      </w:r>
      <w:r>
        <w:rPr>
          <w:rFonts w:ascii="Times New Roman" w:hAnsi="Times New Roman"/>
          <w:b w:val="0"/>
          <w:i w:val="0"/>
          <w:sz w:val="20"/>
        </w:rPr>
        <w:t>Synthetic dialogues exhibit cleaner structure with explicit symptom mentions and fewer conversational artifacts (interruptions, hedging, topic drift) than natural clinical conversations. This provides stronger extraction signal for the LLM.</w:t>
      </w:r>
    </w:p>
    <w:p>
      <w:pPr>
        <w:spacing w:after="120" w:line="260" w:lineRule="exact"/>
        <w:ind w:firstLine="432"/>
        <w:jc w:val="both"/>
      </w:pPr>
      <w:r>
        <w:rPr>
          <w:rFonts w:ascii="Times New Roman" w:hAnsi="Times New Roman"/>
          <w:b/>
          <w:i w:val="0"/>
          <w:sz w:val="20"/>
        </w:rPr>
        <w:t xml:space="preserve">Model version drift. </w:t>
      </w:r>
      <w:r>
        <w:rPr>
          <w:rFonts w:ascii="Times New Roman" w:hAnsi="Times New Roman"/>
          <w:b w:val="0"/>
          <w:i w:val="0"/>
          <w:sz w:val="20"/>
        </w:rPr>
        <w:t>The GPT-3.5 Turbo API endpoint has received multiple updates since the original publication. OpenAI’s continuous improvements may contribute to higher performance on identical prompts.</w:t>
      </w:r>
    </w:p>
    <w:p>
      <w:pPr>
        <w:spacing w:after="120" w:line="260" w:lineRule="exact"/>
        <w:ind w:firstLine="432"/>
        <w:jc w:val="both"/>
      </w:pPr>
      <w:r>
        <w:rPr>
          <w:rFonts w:ascii="Times New Roman" w:hAnsi="Times New Roman"/>
          <w:b/>
          <w:i w:val="0"/>
          <w:sz w:val="20"/>
        </w:rPr>
        <w:t xml:space="preserve">BERTScore backbone. </w:t>
      </w:r>
      <w:r>
        <w:rPr>
          <w:rFonts w:ascii="Times New Roman" w:hAnsi="Times New Roman"/>
          <w:b w:val="0"/>
          <w:i w:val="0"/>
          <w:sz w:val="20"/>
        </w:rPr>
        <w:t>We use roberta-large instead of deberta-xlarge-mnli, which yields different absolute scores. This affects BERTScore values directly but does not explain improvements in other metrics.</w:t>
      </w:r>
    </w:p>
    <w:p>
      <w:pPr>
        <w:spacing w:after="120" w:before="0" w:line="260" w:lineRule="exact"/>
        <w:ind w:firstLine="432"/>
        <w:jc w:val="both"/>
      </w:pPr>
      <w:r>
        <w:rPr>
          <w:rFonts w:ascii="Times New Roman" w:hAnsi="Times New Roman"/>
          <w:sz w:val="20"/>
        </w:rPr>
        <w:t>Despite these discrepancies, the directional trends and key conclusions of the original paper are preserved in our reproduction, supporting the validity of the proposed clinical agenda setting approach.</w:t>
      </w:r>
    </w:p>
    <w:p>
      <w:pPr>
        <w:spacing w:before="280" w:after="120"/>
      </w:pPr>
      <w:r>
        <w:rPr>
          <w:rFonts w:ascii="Times New Roman" w:hAnsi="Times New Roman"/>
          <w:b/>
          <w:sz w:val="22"/>
        </w:rPr>
        <w:t>6  Modern LLM Benchmarking</w:t>
      </w:r>
    </w:p>
    <w:p>
      <w:pPr>
        <w:spacing w:after="120" w:before="0" w:line="260" w:lineRule="exact"/>
        <w:jc w:val="both"/>
      </w:pPr>
      <w:r>
        <w:rPr>
          <w:rFonts w:ascii="Times New Roman" w:hAnsi="Times New Roman"/>
          <w:sz w:val="20"/>
        </w:rPr>
        <w:t>We extend the baseline experiment (Table 1) to three frontier models released in early 2026: GPT-5.3-Codex (OpenAI), Claude Opus 4.6 (Anthropic), and Gemini 3.1 Pro (Google DeepMind). This extension provides the first cross-provider comparison for clinical agenda setting, evaluating whether modern models with enhanced reasoning capabilities yield meaningful improvements over GPT-3.5 Turbo on this domain-specific task.</w:t>
      </w:r>
    </w:p>
    <w:p>
      <w:pPr>
        <w:spacing w:after="120" w:before="0" w:line="260" w:lineRule="exact"/>
        <w:jc w:val="both"/>
      </w:pPr>
      <w:r>
        <w:rPr>
          <w:rFonts w:ascii="Times New Roman" w:hAnsi="Times New Roman"/>
          <w:sz w:val="20"/>
        </w:rPr>
        <w:t>[Results to be added upon completion of experiments.]</w:t>
      </w:r>
    </w:p>
    <w:p>
      <w:pPr>
        <w:spacing w:before="280" w:after="120"/>
      </w:pPr>
      <w:r>
        <w:rPr>
          <w:rFonts w:ascii="Times New Roman" w:hAnsi="Times New Roman"/>
          <w:b/>
          <w:sz w:val="22"/>
        </w:rPr>
        <w:t>7  Conclusion</w:t>
      </w:r>
    </w:p>
    <w:p>
      <w:pPr>
        <w:spacing w:after="120" w:before="0" w:line="260" w:lineRule="exact"/>
        <w:jc w:val="both"/>
      </w:pPr>
      <w:r>
        <w:rPr>
          <w:rFonts w:ascii="Times New Roman" w:hAnsi="Times New Roman"/>
          <w:sz w:val="20"/>
        </w:rPr>
        <w:t>We successfully reproduce all four experiments from Jang et al. (2025) on real-time clinical agenda setting. While absolute metrics differ due to synthetic data usage, model version drift, and evaluation model substitution, the core findings are confirmed: the growing window strategy with moderate input and context sizes achieves the optimal precision-recall balance for real-time clinical agenda extraction. Our synthetic dataset, complete codebase, and all experimental results are publicly available to facilitate further research and extension.</w:t>
      </w:r>
    </w:p>
    <w:p>
      <w:pPr>
        <w:spacing w:before="280" w:after="120"/>
      </w:pPr>
      <w:r>
        <w:rPr>
          <w:rFonts w:ascii="Times New Roman" w:hAnsi="Times New Roman"/>
          <w:b/>
          <w:sz w:val="22"/>
        </w:rPr>
        <w:t xml:space="preserve">  References</w:t>
      </w:r>
    </w:p>
    <w:p>
      <w:pPr>
        <w:spacing w:after="40"/>
        <w:ind w:left="432" w:hanging="432"/>
      </w:pPr>
      <w:r>
        <w:rPr>
          <w:rFonts w:ascii="Times New Roman" w:hAnsi="Times New Roman"/>
          <w:sz w:val="17"/>
        </w:rPr>
        <w:t>[1] Jang, G., Buehler, M., Jain, N., &amp; Singh, R. (2025). "Towards a Real-time Clinical Agenda Setting System for Enhancing Clinical Interactions in Primary Care Visits." GenAI4Health Workshop at AAAI 2025.</w:t>
      </w:r>
    </w:p>
    <w:p>
      <w:pPr>
        <w:spacing w:after="40"/>
        <w:ind w:left="432" w:hanging="432"/>
      </w:pPr>
      <w:r>
        <w:rPr>
          <w:rFonts w:ascii="Times New Roman" w:hAnsi="Times New Roman"/>
          <w:sz w:val="17"/>
        </w:rPr>
        <w:t>[2] Zhang, T., Kishore, V., Wu, F., Weinberger, K. Q., &amp; Artzi, Y. (2020). "BERTScore: Evaluating Text Generation with BERT." ICLR 2020.</w:t>
      </w:r>
    </w:p>
    <w:p>
      <w:pPr>
        <w:spacing w:after="40"/>
        <w:ind w:left="432" w:hanging="432"/>
      </w:pPr>
      <w:r>
        <w:rPr>
          <w:rFonts w:ascii="Times New Roman" w:hAnsi="Times New Roman"/>
          <w:sz w:val="17"/>
        </w:rPr>
        <w:t>[3] Lin, C.-Y. (2004). "ROUGE: A Package for Automatic Evaluation of Summaries." Text Summarization Branches Out.</w:t>
      </w:r>
    </w:p>
    <w:p>
      <w:pPr>
        <w:spacing w:after="40"/>
        <w:ind w:left="432" w:hanging="432"/>
      </w:pPr>
      <w:r>
        <w:rPr>
          <w:rFonts w:ascii="Times New Roman" w:hAnsi="Times New Roman"/>
          <w:sz w:val="17"/>
        </w:rPr>
        <w:t>[4] Papineni, K., Roukos, S., Ward, T., &amp; Zhu, W.-J. (2002). "BLEU: a Method for Automatic Evaluation of Machine Translation." ACL 2002.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