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0916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line="300" w:lineRule="auto"/>
        <w:jc w:val="center"/>
        <w:textAlignment w:val="auto"/>
        <w:rPr>
          <w:rFonts w:hint="eastAsia" w:ascii="微软雅黑" w:hAnsi="微软雅黑" w:eastAsia="微软雅黑" w:cs="微软雅黑"/>
          <w:kern w:val="0"/>
          <w:sz w:val="32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kern w:val="0"/>
          <w:sz w:val="32"/>
          <w:szCs w:val="32"/>
          <w:lang w:val="en-US" w:eastAsia="zh-CN"/>
        </w:rPr>
        <w:t>第十五届中国创新创业大赛AI+工程机械专业赛</w:t>
      </w:r>
    </w:p>
    <w:p w14:paraId="2BF1B186">
      <w:pPr>
        <w:widowControl/>
        <w:spacing w:line="300" w:lineRule="auto"/>
        <w:jc w:val="center"/>
        <w:rPr>
          <w:rFonts w:hint="eastAsia" w:ascii="微软雅黑" w:hAnsi="微软雅黑" w:eastAsia="微软雅黑" w:cs="微软雅黑"/>
          <w:kern w:val="0"/>
          <w:sz w:val="32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kern w:val="0"/>
          <w:sz w:val="32"/>
          <w:szCs w:val="32"/>
          <w:lang w:val="en-US" w:eastAsia="zh-CN"/>
        </w:rPr>
        <w:t>“揭榜挂帅”参赛项目计划书建议</w:t>
      </w:r>
      <w:r>
        <w:rPr>
          <w:rFonts w:hint="eastAsia" w:ascii="微软雅黑" w:hAnsi="微软雅黑" w:eastAsia="微软雅黑" w:cs="微软雅黑"/>
          <w:kern w:val="0"/>
          <w:sz w:val="32"/>
          <w:szCs w:val="32"/>
          <w:lang w:eastAsia="zh-CN"/>
        </w:rPr>
        <w:t>模板</w:t>
      </w:r>
    </w:p>
    <w:p>
      <w:pPr>
        <w:jc w:val="center"/>
      </w:pPr>
      <w:r>
        <w:rPr>
          <w:rFonts w:ascii="黑体" w:hAnsi="黑体" w:eastAsia="黑体"/>
          <w:b/>
          <w:sz w:val="36"/>
        </w:rPr>
        <w:t>面向复杂介质动态地形的约束感知与反馈连续自主挖装系统</w:t>
      </w:r>
    </w:p>
    <w:p>
      <w:pPr>
        <w:jc w:val="center"/>
      </w:pPr>
      <w:r>
        <w:rPr>
          <w:rFonts w:ascii="宋体" w:hAnsi="宋体" w:eastAsia="宋体"/>
          <w:b w:val="0"/>
          <w:sz w:val="22"/>
          <w:highlight w:val="yellow"/>
        </w:rPr>
        <w:t>技术草稿 v0.1｜黄色内容待团队回填｜2026年9月14日</w:t>
      </w:r>
    </w:p>
    <w:p w14:paraId="198B55D5">
      <w:pPr>
        <w:pStyle w:val="2"/>
        <w:bidi w:val="0"/>
        <w:rPr>
          <w:rFonts w:hint="eastAsia"/>
        </w:rPr>
      </w:pPr>
      <w:r>
        <w:rPr>
          <w:rFonts w:hint="eastAsia"/>
        </w:rPr>
        <w:t>一、意向揭榜单位现有基础及相关进展（不超过 1500 字）</w:t>
      </w:r>
    </w:p>
    <w:p w14:paraId="0DA964A8">
      <w:pPr>
        <w:pStyle w:val="4"/>
        <w:bidi w:val="0"/>
        <w:jc w:val="left"/>
      </w:pPr>
      <w:r>
        <w:rPr>
          <w:rFonts w:hint="eastAsia" w:ascii="微软雅黑" w:hAnsi="微软雅黑" w:eastAsia="微软雅黑" w:cs="微软雅黑"/>
          <w:lang w:val="en-US" w:eastAsia="zh-CN"/>
        </w:rPr>
        <w:t>1.1</w:t>
      </w:r>
      <w:r>
        <w:t>单位简介</w:t>
      </w:r>
    </w:p>
    <w:p w14:paraId="4E3958A5">
      <w:pPr>
        <w:bidi w:val="0"/>
        <w:spacing w:line="360" w:lineRule="auto" w:after="120"/>
        <w:ind w:firstLine="480"/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ascii="宋体" w:hAnsi="宋体" w:eastAsia="宋体"/>
          <w:b w:val="0"/>
          <w:sz w:val="24"/>
          <w:highlight w:val="yellow"/>
        </w:rPr>
        <w:t>【待团队填写】牵头学校/单位全称、联合单位、科研平台与行业方向；如为联合体，列明各方任务，并附单位同意参评证明。</w:t>
      </w:r>
    </w:p>
    <w:p w14:paraId="0BC5000B">
      <w:pPr>
        <w:pStyle w:val="4"/>
        <w:bidi w:val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>1.2</w:t>
      </w:r>
      <w:r>
        <w:rPr>
          <w:rFonts w:hint="eastAsia" w:ascii="微软雅黑" w:hAnsi="微软雅黑" w:eastAsia="微软雅黑" w:cs="微软雅黑"/>
        </w:rPr>
        <w:t>现有基础</w:t>
      </w:r>
    </w:p>
    <w:p w14:paraId="367AA0C7">
      <w:pPr>
        <w:bidi w:val="0"/>
        <w:spacing w:line="360" w:lineRule="auto" w:after="120"/>
        <w:ind w:firstLine="480"/>
        <w:rPr>
          <w:rFonts w:hint="eastAsia"/>
          <w:i/>
          <w:iCs/>
          <w:sz w:val="24"/>
          <w:szCs w:val="32"/>
        </w:rPr>
      </w:pPr>
      <w:r>
        <w:rPr>
          <w:rFonts w:ascii="宋体" w:hAnsi="宋体" w:eastAsia="宋体"/>
          <w:b w:val="0"/>
          <w:sz w:val="24"/>
        </w:rPr>
        <w:t>技术原型已形成感知、规划、执行和物料账本四层能力：双视角深度重建10厘米地形栅格并记录覆盖与观测年龄；只在已观测走廊内选择入口；以120 Hz闭环反馈完成多关节轨迹；用固定粒子身份追踪斗内新获取、历史余料和车厢稳定存量。</w:t>
      </w:r>
    </w:p>
    <w:p w14:paraId="76974FB8">
      <w:pPr>
        <w:bidi w:val="0"/>
        <w:spacing w:line="360" w:lineRule="auto" w:after="120"/>
        <w:ind w:firstLine="480"/>
        <w:rPr>
          <w:rFonts w:hint="eastAsia"/>
          <w:i/>
          <w:iCs/>
          <w:sz w:val="24"/>
          <w:szCs w:val="32"/>
        </w:rPr>
      </w:pPr>
      <w:r>
        <w:rPr>
          <w:rFonts w:ascii="宋体" w:hAnsi="宋体" w:eastAsia="宋体"/>
          <w:b w:val="0"/>
          <w:sz w:val="24"/>
        </w:rPr>
        <w:t>冻结单铲基线在390400个MPM材料点、120 Hz机构步、250次MPM迭代和原材料参数下完成16190步、134.9167模拟秒的自主挖掘、提升、回转、卸料、稳定接收和返回。离土前斗内稳定携带约62.6 kg，返回后车厢稳定净增约193.2 kg，场景越界为0。</w:t>
      </w:r>
    </w:p>
    <w:p w14:paraId="5E558DA0">
      <w:pPr>
        <w:bidi w:val="0"/>
        <w:spacing w:line="360" w:lineRule="auto" w:after="120"/>
        <w:ind w:firstLine="480"/>
        <w:rPr>
          <w:rFonts w:hint="eastAsia"/>
          <w:i/>
          <w:iCs/>
          <w:sz w:val="24"/>
          <w:szCs w:val="32"/>
        </w:rPr>
      </w:pPr>
      <w:r>
        <w:rPr>
          <w:rFonts w:ascii="宋体" w:hAnsi="宋体" w:eastAsia="宋体"/>
          <w:b w:val="0"/>
          <w:sz w:val="24"/>
        </w:rPr>
        <w:t>候选筛选已比较10个挖法，其中4个进入高保真MPM，3个通过获取保持门槛，1个因收斗跟踪超时失败。简化地形代理因修改未知单元、挖后地形误差过大和漏检物理失败而未获部署资格，由此形成“逐铲重感知、发令前复核、失败留样”的连续作业路线。修复后的连续双铲空载已完成32938个机构步、274.4833模拟秒，两入口间距0.60 m，独立审计通过；真实连续MPM正在验证，结果须在冻结后回填。</w:t>
      </w:r>
    </w:p>
    <w:p w14:paraId="79834B78">
      <w:pPr>
        <w:bidi w:val="0"/>
        <w:spacing w:line="360" w:lineRule="auto" w:after="120"/>
        <w:ind w:firstLine="480"/>
        <w:rPr>
          <w:rFonts w:hint="eastAsia"/>
          <w:i/>
          <w:iCs/>
          <w:sz w:val="24"/>
          <w:szCs w:val="32"/>
        </w:rPr>
      </w:pPr>
      <w:r>
        <w:rPr>
          <w:rFonts w:ascii="宋体" w:hAnsi="宋体" w:eastAsia="宋体"/>
          <w:b w:val="0"/>
          <w:sz w:val="24"/>
          <w:highlight w:val="yellow"/>
        </w:rPr>
        <w:t>【待团队填写并附证明】项目负责人及成员经历、强相关论文/专利/软著、既有科研项目、实验平台和设备条件。</w:t>
      </w:r>
    </w:p>
    <w:p w14:paraId="20AF2BF6">
      <w:pPr>
        <w:pStyle w:val="2"/>
        <w:bidi w:val="0"/>
        <w:rPr>
          <w:rFonts w:hint="eastAsia"/>
        </w:rPr>
      </w:pPr>
      <w:r>
        <w:rPr>
          <w:rFonts w:hint="eastAsia"/>
        </w:rPr>
        <w:t>二、重点攻关目标及计划</w:t>
      </w:r>
    </w:p>
    <w:p w14:paraId="773CE239">
      <w:pPr>
        <w:pStyle w:val="4"/>
        <w:bidi w:val="0"/>
      </w:pPr>
      <w:r>
        <w:rPr>
          <w:rFonts w:hint="eastAsia" w:ascii="微软雅黑" w:hAnsi="微软雅黑" w:eastAsia="微软雅黑" w:cs="微软雅黑"/>
          <w:lang w:val="en-US" w:eastAsia="zh-CN"/>
        </w:rPr>
        <w:t>2.1</w:t>
      </w:r>
      <w:r>
        <w:rPr>
          <w:rFonts w:hint="eastAsia" w:ascii="微软雅黑" w:hAnsi="微软雅黑" w:eastAsia="微软雅黑" w:cs="微软雅黑"/>
        </w:rPr>
        <w:t>研</w:t>
      </w:r>
      <w:r>
        <w:t>究内容（不超过 6000 字，意向揭榜方为联合体时，需对研究内容进行任务分解）</w:t>
      </w:r>
    </w:p>
    <w:p w14:paraId="4D595617">
      <w:pPr>
        <w:bidi w:val="0"/>
        <w:spacing w:line="360" w:lineRule="auto" w:after="120"/>
        <w:ind w:firstLine="480"/>
        <w:rPr>
          <w:rFonts w:hint="eastAsia"/>
          <w:i/>
          <w:iCs/>
          <w:sz w:val="24"/>
          <w:szCs w:val="32"/>
        </w:rPr>
      </w:pPr>
      <w:r>
        <w:rPr>
          <w:rFonts w:ascii="宋体" w:hAnsi="宋体" w:eastAsia="宋体"/>
          <w:b w:val="0"/>
          <w:sz w:val="24"/>
        </w:rPr>
        <w:t>研究内容1——复杂地形感知和可信状态。融合多视角深度、本体状态与接触/载荷遥测，形成带时间戳、坐标系、覆盖度和有效性的统一状态包；地形栅格显式区分已观测与未知单元，执行前复核观测新鲜度和局部表面变化。</w:t>
        <w:br/>
        <w:br/>
        <w:t>研究内容2——未知区域约束和自主选点。沿候选进土方向构造1.35 m深、0.60 m斗宽并含0.10 m余量的扫掠走廊；任一单元未知即拒绝，历史入口最小间距0.58 m；再按表面高度、局部起伏、可达性和预计收益排序，无可行候选时输出结构化失败。</w:t>
        <w:br/>
        <w:br/>
        <w:t>研究内容3——多关节重载轨迹与反馈执行。由新入口动态生成接近、切入、深入、收斗、提升、持土、回转、对车、卸料、离车和返回轨迹；每段先检查闭链、关节范围、速度、碰撞和扫掠，再由参考跟踪器执行，阶段转换同时检查到位、速度和载荷。</w:t>
        <w:br/>
        <w:br/>
        <w:t>研究内容4——连续地形演化和物料账本。一个连续序列共用同一MPM实例，使应力、塑性历史、散落土、斗内余料和车内库存自然延续；每铲锁定新的获取群体，卸料用固定粒子在车厢核心区连续5秒且速度不超过0.05 m/s作为稳定接收代理。独立评价从完整初态重建，禁止用位置/速度快照冒充完整复位。</w:t>
        <w:br/>
        <w:br/>
        <w:t>研究内容5——失败筛选和统计评价。采用几何、空载动力学、带土获取、完整运输卸料、连续序列的分层筛选；冻结后按预先声明的场景和种子报告计划数、尝试数、成功数、失败原因、装载体积、响应时延和模拟作业效率，并将算法时延与高保真仿真墙钟分开。</w:t>
        <w:br/>
        <w:br/>
        <w:t>技术路线：多传感器观测→自体过滤与地形重建→已知/未知栅格→全扫掠走廊候选→机构几何与闭链检查→动态参考轨迹→重载反馈执行→获取/持土判定→回转卸料与稳定接收→返回→新一轮观测。离线MPM只用于少量参数模板比较，线上选点不等待分钟级物理预演。</w:t>
        <w:br/>
        <w:br/>
        <w:t>创新点：把未知区域判断扩展至完整斗宽与进退扫掠走廊；以真实挖后状态重感知代替未获准入的演化代理；用固定物料身份区分本铲新获取、历史余料和稳定车载；将几何、空载、带载、接收与连续性审计串成故障闭锁链；为后续低维参数策略或安全残差强化学习保留接口。</w:t>
      </w:r>
    </w:p>
    <w:p w14:paraId="78FF282C">
      <w:pPr>
        <w:pStyle w:val="4"/>
        <w:bidi w:val="0"/>
      </w:pPr>
      <w:r>
        <w:rPr>
          <w:rFonts w:hint="eastAsia" w:ascii="微软雅黑" w:hAnsi="微软雅黑" w:eastAsia="微软雅黑" w:cs="微软雅黑"/>
          <w:lang w:val="en-US" w:eastAsia="zh-CN"/>
        </w:rPr>
        <w:t>2.2</w:t>
      </w:r>
      <w:r>
        <w:t>预期产出（不超过 1500 字）</w:t>
      </w:r>
    </w:p>
    <w:p w14:paraId="6B930B6E">
      <w:pPr>
        <w:bidi w:val="0"/>
        <w:spacing w:line="360" w:lineRule="auto" w:after="120"/>
        <w:ind w:firstLine="480"/>
        <w:rPr>
          <w:rFonts w:hint="eastAsia"/>
          <w:i/>
          <w:iCs/>
          <w:sz w:val="24"/>
          <w:szCs w:val="32"/>
        </w:rPr>
      </w:pPr>
      <w:r>
        <w:rPr>
          <w:rFonts w:ascii="宋体" w:hAnsi="宋体" w:eastAsia="宋体"/>
          <w:b w:val="0"/>
          <w:sz w:val="24"/>
        </w:rPr>
        <w:t>预期达到并如实报告命题四项指标：任务成功率、满斗率、响应时延和相对人工效率。当前已有完整单铲和双铲空载证据；真实双铲/三铲、固定斗容体积、全链P50/P95/P99时延、同初态人工对照和独立样本统计在9月18日前冻结口径、9月21日前锁定结果。若样本量不足以证明95%，将同时报告点估计、样本数和不确定性，不以单次演示替代统计结论。</w:t>
      </w:r>
    </w:p>
    <w:p w14:paraId="26AF41B3">
      <w:pPr>
        <w:bidi w:val="0"/>
        <w:spacing w:line="360" w:lineRule="auto" w:after="120"/>
        <w:ind w:firstLine="480"/>
        <w:rPr>
          <w:rFonts w:hint="eastAsia"/>
          <w:i/>
          <w:iCs/>
          <w:sz w:val="24"/>
          <w:szCs w:val="32"/>
        </w:rPr>
      </w:pPr>
      <w:r>
        <w:rPr>
          <w:rFonts w:ascii="宋体" w:hAnsi="宋体" w:eastAsia="宋体"/>
          <w:b w:val="0"/>
          <w:sz w:val="24"/>
        </w:rPr>
        <w:t>形成可复现的约束选点、动态轨迹、反馈控制、MPM耦合、物料账本和独立审计源码；交付算法纯文本、环境与来源清单、运行配置、代表数据、失败样本、三维模型以及版本和文件哈希。根据评审要求整理软件著作权、论文或专利材料。</w:t>
      </w:r>
    </w:p>
    <w:p w14:paraId="5087D2D7">
      <w:pPr>
        <w:bidi w:val="0"/>
        <w:spacing w:line="360" w:lineRule="auto" w:after="120"/>
        <w:ind w:firstLine="480"/>
        <w:rPr>
          <w:rFonts w:hint="eastAsia"/>
          <w:i/>
          <w:iCs/>
          <w:sz w:val="24"/>
          <w:szCs w:val="32"/>
        </w:rPr>
      </w:pPr>
      <w:r>
        <w:rPr>
          <w:rFonts w:ascii="宋体" w:hAnsi="宋体" w:eastAsia="宋体"/>
          <w:b w:val="0"/>
          <w:sz w:val="24"/>
        </w:rPr>
        <w:t>成果载体包括：项目方案DOCX/PDF、测试报告及指标附表、连续自主作业MP4、未剪辑原始记录索引、STEP/GLB模型、原创源码与上游来源声明、代表运行数据和标注规范。所有定量主张映射到唯一运行编号，失败样本与成功样本同等留存。</w:t>
      </w:r>
    </w:p>
    <w:p w14:paraId="41F20C82">
      <w:pPr>
        <w:bidi w:val="0"/>
        <w:spacing w:line="360" w:lineRule="auto" w:after="120"/>
        <w:ind w:firstLine="480"/>
        <w:rPr>
          <w:rFonts w:hint="eastAsia"/>
          <w:i/>
          <w:iCs/>
          <w:sz w:val="24"/>
          <w:szCs w:val="32"/>
        </w:rPr>
      </w:pPr>
      <w:r>
        <w:rPr>
          <w:rFonts w:ascii="宋体" w:hAnsi="宋体" w:eastAsia="宋体"/>
          <w:b w:val="0"/>
          <w:sz w:val="24"/>
        </w:rPr>
        <w:t>成果面向露天矿山、土方施工和装卸场景，可作为自主挖装控制软件、仿真验证工具链和测试规范交付。工程化阶段将用真实相机/激光雷达、编码器和液压压力替换仿真接口，并由榜单单位提供目标机型、斗容、液压接口、典型介质与人工生产率基准完成标定。</w:t>
      </w:r>
    </w:p>
    <w:p w14:paraId="5116831E">
      <w:pPr>
        <w:pStyle w:val="2"/>
        <w:bidi w:val="0"/>
        <w:rPr>
          <w:rFonts w:hint="eastAsia"/>
        </w:rPr>
      </w:pPr>
      <w:r>
        <w:rPr>
          <w:rFonts w:hint="eastAsia"/>
        </w:rPr>
        <w:t>三</w:t>
      </w:r>
      <w:r>
        <w:rPr>
          <w:rFonts w:hint="eastAsia"/>
          <w:lang w:eastAsia="zh-CN"/>
        </w:rPr>
        <w:t>、</w:t>
      </w:r>
      <w:r>
        <w:rPr>
          <w:rFonts w:hint="eastAsia"/>
        </w:rPr>
        <w:t>重点任务攻关计划（不超过 1000 字）</w:t>
      </w:r>
    </w:p>
    <w:p w14:paraId="0133F8FB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4" w:line="360" w:lineRule="auto" w:after="120"/>
        <w:ind w:firstLine="480"/>
        <w:jc w:val="left"/>
        <w:textAlignment w:val="auto"/>
        <w:rPr>
          <w:rFonts w:hint="eastAsia" w:ascii="宋体" w:hAnsi="宋体" w:eastAsia="宋体" w:cs="宋体"/>
          <w:i/>
          <w:iCs/>
          <w:spacing w:val="-4"/>
        </w:rPr>
      </w:pPr>
      <w:r>
        <w:rPr>
          <w:rFonts w:ascii="宋体" w:hAnsi="宋体" w:eastAsia="宋体"/>
          <w:b w:val="0"/>
          <w:sz w:val="24"/>
          <w:highlight w:val="yellow"/>
        </w:rPr>
        <w:t>2026年9月14—18日完成连续三铲、体积与时延口径并冻结策略和评价集；9月19—21日完成独立评价、有限人工对照及条件允许时的介质对比；9月22日锁定结果、测试报告和方案；9月23日完成连续演示视频与文档渲染；9月24日完成源码、数据、模型复现和内部上传验收；9月25日只处理上传或格式阻断。</w:t>
        <w:br/>
        <w:br/>
        <w:t>【待团队确认正式项目周期】建议按0—3个月实机接口与传感器标定、4—6个月复杂介质数据与约束策略验证、7—9个月现场连续装车试验、10—12个月可靠性与产业化验收设置里程碑。</w:t>
      </w:r>
    </w:p>
    <w:p w14:paraId="0EC332B3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四、研究目标与工程化</w:t>
      </w:r>
    </w:p>
    <w:p w14:paraId="5FD4F1C5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4" w:line="360" w:lineRule="auto" w:after="120"/>
        <w:ind w:firstLine="480"/>
        <w:jc w:val="left"/>
        <w:textAlignment w:val="auto"/>
        <w:rPr>
          <w:rFonts w:hint="default" w:ascii="宋体" w:hAnsi="宋体" w:eastAsia="宋体" w:cs="宋体"/>
          <w:i/>
          <w:iCs/>
          <w:spacing w:val="-4"/>
          <w:sz w:val="24"/>
          <w:szCs w:val="24"/>
          <w:lang w:val="en-US"/>
        </w:rPr>
      </w:pPr>
      <w:r>
        <w:rPr>
          <w:rFonts w:ascii="宋体" w:hAnsi="宋体" w:eastAsia="宋体"/>
          <w:b w:val="0"/>
          <w:sz w:val="24"/>
        </w:rPr>
        <w:t>系统采用传感器、规划、控制和物料状态模块化接口，高保真MPM用于碰撞、阻力和地形演化的开发验证，不能替代实土标定。工程化阶段需由徐工提供目标机型斗容、关节/液压接口、传感器布置、典型介质和人工生产率基准。产品形态包括自主挖装控制软件、仿真验证工具链及数据/测试规范，价值来自减少人工暴露、降低碰撞停机、提升循环一致性并形成可追溯评价。</w:t>
      </w:r>
    </w:p>
    <w:p w14:paraId="36C30345">
      <w:pPr>
        <w:pStyle w:val="2"/>
        <w:bidi w:val="0"/>
      </w:pPr>
      <w:r>
        <w:rPr>
          <w:rFonts w:hint="eastAsia"/>
          <w:lang w:val="en-US" w:eastAsia="zh-CN"/>
        </w:rPr>
        <w:t>五、</w:t>
      </w:r>
      <w:r>
        <w:t>组织保障机制（不超过 1000 字）</w:t>
      </w:r>
    </w:p>
    <w:p w14:paraId="43A5B4E5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4" w:line="360" w:lineRule="auto" w:after="120"/>
        <w:ind w:firstLine="480"/>
        <w:jc w:val="left"/>
        <w:textAlignment w:val="auto"/>
        <w:rPr>
          <w:rFonts w:hint="eastAsia" w:ascii="宋体" w:hAnsi="宋体" w:eastAsia="宋体" w:cs="宋体"/>
          <w:i/>
          <w:iCs/>
          <w:spacing w:val="-4"/>
          <w:sz w:val="24"/>
          <w:szCs w:val="24"/>
          <w:lang w:val="en-US" w:eastAsia="zh-CN"/>
        </w:rPr>
      </w:pPr>
      <w:r>
        <w:rPr>
          <w:rFonts w:ascii="宋体" w:hAnsi="宋体" w:eastAsia="宋体"/>
          <w:b w:val="0"/>
          <w:sz w:val="24"/>
          <w:highlight w:val="yellow"/>
        </w:rPr>
        <w:t>【待团队填写】负责人、感知/规划/控制/仿真/材料负责人，周例会和问题闭环机制，源码与数据权限，知识产权归属，联合单位分工；明确技术负责人审核定量主张，材料负责人审核脱敏、附件、盖章和平台回执。</w:t>
      </w:r>
    </w:p>
    <w:p w14:paraId="23F4E3D7">
      <w:pPr>
        <w:pStyle w:val="2"/>
        <w:bidi w:val="0"/>
      </w:pPr>
      <w:r>
        <w:rPr>
          <w:rFonts w:hint="eastAsia"/>
          <w:lang w:val="en-US" w:eastAsia="zh-CN"/>
        </w:rPr>
        <w:t>六</w:t>
      </w:r>
      <w:r>
        <w:rPr>
          <w:rFonts w:hint="eastAsia"/>
          <w:lang w:eastAsia="zh-CN"/>
        </w:rPr>
        <w:t>、</w:t>
      </w:r>
      <w:r>
        <w:t>经费构成说明（不超过 1000 字，不含表格字数）</w:t>
      </w:r>
    </w:p>
    <w:p w14:paraId="024BB83E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4" w:line="360" w:lineRule="auto" w:after="120"/>
        <w:ind w:firstLine="480"/>
        <w:jc w:val="left"/>
        <w:textAlignment w:val="auto"/>
        <w:rPr>
          <w:rFonts w:hint="eastAsia" w:ascii="宋体" w:hAnsi="宋体" w:eastAsia="宋体" w:cs="宋体"/>
          <w:i/>
          <w:iCs/>
          <w:spacing w:val="-4"/>
          <w:sz w:val="24"/>
          <w:szCs w:val="24"/>
          <w:lang w:val="en-US" w:eastAsia="zh-CN"/>
        </w:rPr>
      </w:pPr>
      <w:r>
        <w:rPr>
          <w:rFonts w:ascii="宋体" w:hAnsi="宋体" w:eastAsia="宋体"/>
          <w:b w:val="0"/>
          <w:sz w:val="24"/>
          <w:highlight w:val="yellow"/>
        </w:rPr>
        <w:t>【待团队填写】榜额、学校配套和预算依据。硬件按经批准的设备购置、改造或云算力计入；当前性能分析不支持为单序列增加同机第二张显卡。若冻结评价量超过50小时或单机可靠性威胁9月21日锁结果，优先租用第二台兼容Linux/CUDA主机并行独立序列。预算表应覆盖设备、材料测试、差旅会议、知识产权、劳务咨询及其他支出。</w:t>
      </w:r>
    </w:p>
    <w:p w14:paraId="75BD9EBA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1"/>
        <w:jc w:val="center"/>
        <w:textAlignment w:val="auto"/>
        <w:rPr>
          <w:rFonts w:hint="default" w:ascii="宋体" w:hAnsi="宋体" w:eastAsia="宋体" w:cs="宋体"/>
          <w:i/>
          <w:iCs/>
          <w:spacing w:val="-2"/>
          <w:lang w:val="en-US" w:eastAsia="zh-CN"/>
        </w:rPr>
      </w:pPr>
      <w:r>
        <w:rPr>
          <w:rFonts w:hint="eastAsia" w:ascii="宋体" w:hAnsi="宋体" w:eastAsia="宋体" w:cs="宋体"/>
          <w:i/>
          <w:iCs/>
          <w:spacing w:val="-2"/>
          <w:lang w:val="en-US" w:eastAsia="zh-CN"/>
        </w:rPr>
        <w:t>表 经费构成说明</w:t>
      </w:r>
    </w:p>
    <w:tbl>
      <w:tblPr>
        <w:tblStyle w:val="12"/>
        <w:tblW w:w="9064" w:type="dxa"/>
        <w:tblInd w:w="7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483"/>
        <w:gridCol w:w="1802"/>
        <w:gridCol w:w="2779"/>
      </w:tblGrid>
      <w:tr w14:paraId="34AA717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2" w:hRule="atLeast"/>
        </w:trPr>
        <w:tc>
          <w:tcPr>
            <w:tcW w:w="4483" w:type="dxa"/>
            <w:tcBorders>
              <w:top w:val="single" w:color="000000" w:sz="6" w:space="0"/>
              <w:left w:val="single" w:color="000000" w:sz="6" w:space="0"/>
            </w:tcBorders>
            <w:vAlign w:val="top"/>
          </w:tcPr>
          <w:p w14:paraId="0E661618">
            <w:pPr>
              <w:spacing w:before="194" w:line="174" w:lineRule="auto"/>
              <w:ind w:left="1765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spacing w:val="-2"/>
                <w:sz w:val="21"/>
                <w:szCs w:val="21"/>
              </w:rPr>
              <w:t>科目名称</w:t>
            </w:r>
          </w:p>
        </w:tc>
        <w:tc>
          <w:tcPr>
            <w:tcW w:w="1802" w:type="dxa"/>
            <w:tcBorders>
              <w:top w:val="single" w:color="000000" w:sz="6" w:space="0"/>
            </w:tcBorders>
            <w:vAlign w:val="top"/>
          </w:tcPr>
          <w:p w14:paraId="52878C95">
            <w:pPr>
              <w:spacing w:before="190" w:line="177" w:lineRule="auto"/>
              <w:ind w:left="548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spacing w:val="-2"/>
                <w:sz w:val="21"/>
                <w:szCs w:val="21"/>
              </w:rPr>
              <w:t>预算数</w:t>
            </w:r>
          </w:p>
        </w:tc>
        <w:tc>
          <w:tcPr>
            <w:tcW w:w="2779" w:type="dxa"/>
            <w:tcBorders>
              <w:top w:val="single" w:color="000000" w:sz="6" w:space="0"/>
              <w:right w:val="single" w:color="000000" w:sz="6" w:space="0"/>
            </w:tcBorders>
            <w:vAlign w:val="top"/>
          </w:tcPr>
          <w:p w14:paraId="357D5076">
            <w:pPr>
              <w:spacing w:before="193" w:line="174" w:lineRule="auto"/>
              <w:ind w:left="1157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spacing w:val="-3"/>
                <w:sz w:val="21"/>
                <w:szCs w:val="21"/>
              </w:rPr>
              <w:t>备注</w:t>
            </w:r>
          </w:p>
        </w:tc>
      </w:tr>
      <w:tr w14:paraId="38ED6EF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3" w:hRule="atLeast"/>
        </w:trPr>
        <w:tc>
          <w:tcPr>
            <w:tcW w:w="4483" w:type="dxa"/>
            <w:tcBorders>
              <w:left w:val="single" w:color="000000" w:sz="6" w:space="0"/>
            </w:tcBorders>
            <w:vAlign w:val="top"/>
          </w:tcPr>
          <w:p w14:paraId="72E06D97">
            <w:pPr>
              <w:spacing w:before="139" w:line="241" w:lineRule="auto"/>
              <w:ind w:left="11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榜额支出合计</w:t>
            </w:r>
          </w:p>
        </w:tc>
        <w:tc>
          <w:tcPr>
            <w:tcW w:w="1802" w:type="dxa"/>
            <w:vAlign w:val="top"/>
          </w:tcPr>
          <w:p w14:paraId="3DD56C72">
            <w:pPr>
              <w:pStyle w:val="13"/>
            </w:pPr>
            <w:r>
              <w:rPr>
                <w:rFonts w:ascii="宋体" w:hAnsi="宋体" w:eastAsia="宋体"/>
                <w:b w:val="0"/>
                <w:sz w:val="20"/>
                <w:highlight w:val="yellow"/>
              </w:rPr>
              <w:t>【待填】</w:t>
            </w:r>
          </w:p>
        </w:tc>
        <w:tc>
          <w:tcPr>
            <w:tcW w:w="2779" w:type="dxa"/>
            <w:tcBorders>
              <w:right w:val="single" w:color="000000" w:sz="6" w:space="0"/>
            </w:tcBorders>
            <w:vAlign w:val="top"/>
          </w:tcPr>
          <w:p w14:paraId="58069206">
            <w:pPr>
              <w:pStyle w:val="13"/>
            </w:pPr>
            <w:r>
              <w:rPr>
                <w:rFonts w:ascii="宋体" w:hAnsi="宋体" w:eastAsia="宋体"/>
                <w:b w:val="0"/>
                <w:sz w:val="20"/>
                <w:highlight w:val="yellow"/>
              </w:rPr>
              <w:t>【待填】</w:t>
            </w:r>
          </w:p>
        </w:tc>
      </w:tr>
      <w:tr w14:paraId="67C840D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5" w:hRule="atLeast"/>
        </w:trPr>
        <w:tc>
          <w:tcPr>
            <w:tcW w:w="4483" w:type="dxa"/>
            <w:tcBorders>
              <w:left w:val="single" w:color="000000" w:sz="6" w:space="0"/>
            </w:tcBorders>
            <w:vAlign w:val="top"/>
          </w:tcPr>
          <w:p w14:paraId="11DC4EE6">
            <w:pPr>
              <w:spacing w:before="140" w:line="242" w:lineRule="auto"/>
              <w:ind w:left="9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2"/>
                <w:sz w:val="21"/>
                <w:szCs w:val="21"/>
              </w:rPr>
              <w:t>（</w:t>
            </w:r>
            <w:r>
              <w:rPr>
                <w:rFonts w:hint="eastAsia" w:ascii="宋体" w:hAnsi="宋体" w:eastAsia="宋体" w:cs="宋体"/>
                <w:spacing w:val="-58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-12"/>
                <w:sz w:val="21"/>
                <w:szCs w:val="21"/>
              </w:rPr>
              <w:t>一）直接费用</w:t>
            </w:r>
          </w:p>
        </w:tc>
        <w:tc>
          <w:tcPr>
            <w:tcW w:w="1802" w:type="dxa"/>
            <w:vAlign w:val="top"/>
          </w:tcPr>
          <w:p w14:paraId="19EB77C6">
            <w:pPr>
              <w:pStyle w:val="13"/>
            </w:pPr>
            <w:r>
              <w:rPr>
                <w:rFonts w:ascii="宋体" w:hAnsi="宋体" w:eastAsia="宋体"/>
                <w:b w:val="0"/>
                <w:sz w:val="20"/>
                <w:highlight w:val="yellow"/>
              </w:rPr>
              <w:t>【待填】</w:t>
            </w:r>
          </w:p>
        </w:tc>
        <w:tc>
          <w:tcPr>
            <w:tcW w:w="2779" w:type="dxa"/>
            <w:tcBorders>
              <w:right w:val="single" w:color="000000" w:sz="6" w:space="0"/>
            </w:tcBorders>
            <w:vAlign w:val="top"/>
          </w:tcPr>
          <w:p w14:paraId="27C48A4A">
            <w:pPr>
              <w:pStyle w:val="13"/>
            </w:pPr>
            <w:r>
              <w:rPr>
                <w:rFonts w:ascii="宋体" w:hAnsi="宋体" w:eastAsia="宋体"/>
                <w:b w:val="0"/>
                <w:sz w:val="20"/>
                <w:highlight w:val="yellow"/>
              </w:rPr>
              <w:t>【待填】</w:t>
            </w:r>
          </w:p>
        </w:tc>
      </w:tr>
      <w:tr w14:paraId="558C5D2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3" w:hRule="atLeast"/>
        </w:trPr>
        <w:tc>
          <w:tcPr>
            <w:tcW w:w="4483" w:type="dxa"/>
            <w:tcBorders>
              <w:left w:val="single" w:color="000000" w:sz="6" w:space="0"/>
            </w:tcBorders>
            <w:vAlign w:val="top"/>
          </w:tcPr>
          <w:p w14:paraId="21B24E01">
            <w:pPr>
              <w:spacing w:before="141" w:line="316" w:lineRule="exact"/>
              <w:ind w:left="3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1"/>
                <w:position w:val="1"/>
                <w:sz w:val="21"/>
                <w:szCs w:val="21"/>
                <w:lang w:eastAsia="zh-CN"/>
              </w:rPr>
              <w:t>1.</w:t>
            </w:r>
            <w:r>
              <w:rPr>
                <w:rFonts w:hint="eastAsia" w:ascii="宋体" w:hAnsi="宋体" w:eastAsia="宋体" w:cs="宋体"/>
                <w:spacing w:val="-11"/>
                <w:position w:val="1"/>
                <w:sz w:val="21"/>
                <w:szCs w:val="21"/>
              </w:rPr>
              <w:t>设备费</w:t>
            </w:r>
          </w:p>
        </w:tc>
        <w:tc>
          <w:tcPr>
            <w:tcW w:w="1802" w:type="dxa"/>
            <w:vAlign w:val="top"/>
          </w:tcPr>
          <w:p w14:paraId="137104A0">
            <w:pPr>
              <w:pStyle w:val="13"/>
            </w:pPr>
            <w:r>
              <w:rPr>
                <w:rFonts w:ascii="宋体" w:hAnsi="宋体" w:eastAsia="宋体"/>
                <w:b w:val="0"/>
                <w:sz w:val="20"/>
                <w:highlight w:val="yellow"/>
              </w:rPr>
              <w:t>【待填】</w:t>
            </w:r>
          </w:p>
        </w:tc>
        <w:tc>
          <w:tcPr>
            <w:tcW w:w="2779" w:type="dxa"/>
            <w:tcBorders>
              <w:right w:val="single" w:color="000000" w:sz="6" w:space="0"/>
            </w:tcBorders>
            <w:vAlign w:val="top"/>
          </w:tcPr>
          <w:p w14:paraId="260B9061">
            <w:pPr>
              <w:pStyle w:val="13"/>
            </w:pPr>
            <w:r>
              <w:rPr>
                <w:rFonts w:ascii="宋体" w:hAnsi="宋体" w:eastAsia="宋体"/>
                <w:b w:val="0"/>
                <w:sz w:val="20"/>
                <w:highlight w:val="yellow"/>
              </w:rPr>
              <w:t>【待填】</w:t>
            </w:r>
          </w:p>
        </w:tc>
      </w:tr>
      <w:tr w14:paraId="088990E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3" w:hRule="atLeast"/>
        </w:trPr>
        <w:tc>
          <w:tcPr>
            <w:tcW w:w="4483" w:type="dxa"/>
            <w:tcBorders>
              <w:left w:val="single" w:color="000000" w:sz="6" w:space="0"/>
            </w:tcBorders>
            <w:vAlign w:val="top"/>
          </w:tcPr>
          <w:p w14:paraId="124A95F1">
            <w:pPr>
              <w:spacing w:before="143" w:line="315" w:lineRule="exact"/>
              <w:ind w:left="34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3"/>
                <w:position w:val="1"/>
                <w:sz w:val="21"/>
                <w:szCs w:val="21"/>
              </w:rPr>
              <w:t>（</w:t>
            </w:r>
            <w:r>
              <w:rPr>
                <w:rFonts w:hint="eastAsia" w:ascii="宋体" w:hAnsi="宋体" w:eastAsia="宋体" w:cs="宋体"/>
                <w:spacing w:val="-59"/>
                <w:position w:val="1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-13"/>
                <w:position w:val="1"/>
                <w:sz w:val="21"/>
                <w:szCs w:val="21"/>
              </w:rPr>
              <w:t>1</w:t>
            </w:r>
            <w:r>
              <w:rPr>
                <w:rFonts w:hint="eastAsia" w:ascii="宋体" w:hAnsi="宋体" w:eastAsia="宋体" w:cs="宋体"/>
                <w:spacing w:val="-29"/>
                <w:position w:val="1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-13"/>
                <w:position w:val="1"/>
                <w:sz w:val="21"/>
                <w:szCs w:val="21"/>
              </w:rPr>
              <w:t>）设备购置费</w:t>
            </w:r>
          </w:p>
        </w:tc>
        <w:tc>
          <w:tcPr>
            <w:tcW w:w="1802" w:type="dxa"/>
            <w:vAlign w:val="top"/>
          </w:tcPr>
          <w:p w14:paraId="4EF64168">
            <w:pPr>
              <w:pStyle w:val="13"/>
            </w:pPr>
            <w:r>
              <w:rPr>
                <w:rFonts w:ascii="宋体" w:hAnsi="宋体" w:eastAsia="宋体"/>
                <w:b w:val="0"/>
                <w:sz w:val="20"/>
                <w:highlight w:val="yellow"/>
              </w:rPr>
              <w:t>【待填】</w:t>
            </w:r>
          </w:p>
        </w:tc>
        <w:tc>
          <w:tcPr>
            <w:tcW w:w="2779" w:type="dxa"/>
            <w:tcBorders>
              <w:right w:val="single" w:color="000000" w:sz="6" w:space="0"/>
            </w:tcBorders>
            <w:vAlign w:val="top"/>
          </w:tcPr>
          <w:p w14:paraId="59A8E8A8">
            <w:pPr>
              <w:pStyle w:val="13"/>
            </w:pPr>
            <w:r>
              <w:rPr>
                <w:rFonts w:ascii="宋体" w:hAnsi="宋体" w:eastAsia="宋体"/>
                <w:b w:val="0"/>
                <w:sz w:val="20"/>
                <w:highlight w:val="yellow"/>
              </w:rPr>
              <w:t>【待填】</w:t>
            </w:r>
          </w:p>
        </w:tc>
      </w:tr>
      <w:tr w14:paraId="1618E66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5" w:hRule="atLeast"/>
        </w:trPr>
        <w:tc>
          <w:tcPr>
            <w:tcW w:w="4483" w:type="dxa"/>
            <w:tcBorders>
              <w:left w:val="single" w:color="000000" w:sz="6" w:space="0"/>
            </w:tcBorders>
            <w:vAlign w:val="top"/>
          </w:tcPr>
          <w:p w14:paraId="7ABC8AF1">
            <w:pPr>
              <w:spacing w:before="145"/>
              <w:ind w:left="34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（2）设备试制费</w:t>
            </w:r>
          </w:p>
        </w:tc>
        <w:tc>
          <w:tcPr>
            <w:tcW w:w="1802" w:type="dxa"/>
            <w:vAlign w:val="top"/>
          </w:tcPr>
          <w:p w14:paraId="7D3B870F">
            <w:pPr>
              <w:pStyle w:val="13"/>
            </w:pPr>
            <w:r>
              <w:rPr>
                <w:rFonts w:ascii="宋体" w:hAnsi="宋体" w:eastAsia="宋体"/>
                <w:b w:val="0"/>
                <w:sz w:val="20"/>
                <w:highlight w:val="yellow"/>
              </w:rPr>
              <w:t>【待填】</w:t>
            </w:r>
          </w:p>
        </w:tc>
        <w:tc>
          <w:tcPr>
            <w:tcW w:w="2779" w:type="dxa"/>
            <w:tcBorders>
              <w:right w:val="single" w:color="000000" w:sz="6" w:space="0"/>
            </w:tcBorders>
            <w:vAlign w:val="top"/>
          </w:tcPr>
          <w:p w14:paraId="68BC42C9">
            <w:pPr>
              <w:pStyle w:val="13"/>
            </w:pPr>
            <w:r>
              <w:rPr>
                <w:rFonts w:ascii="宋体" w:hAnsi="宋体" w:eastAsia="宋体"/>
                <w:b w:val="0"/>
                <w:sz w:val="20"/>
                <w:highlight w:val="yellow"/>
              </w:rPr>
              <w:t>【待填】</w:t>
            </w:r>
          </w:p>
        </w:tc>
      </w:tr>
      <w:tr w14:paraId="060A2C8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3" w:hRule="atLeast"/>
        </w:trPr>
        <w:tc>
          <w:tcPr>
            <w:tcW w:w="4483" w:type="dxa"/>
            <w:tcBorders>
              <w:left w:val="single" w:color="000000" w:sz="6" w:space="0"/>
            </w:tcBorders>
            <w:vAlign w:val="top"/>
          </w:tcPr>
          <w:p w14:paraId="08C333AC">
            <w:pPr>
              <w:spacing w:before="146"/>
              <w:ind w:left="34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（3）设备改造租赁费</w:t>
            </w:r>
          </w:p>
        </w:tc>
        <w:tc>
          <w:tcPr>
            <w:tcW w:w="1802" w:type="dxa"/>
            <w:vAlign w:val="top"/>
          </w:tcPr>
          <w:p w14:paraId="45098346">
            <w:pPr>
              <w:pStyle w:val="13"/>
            </w:pPr>
            <w:r>
              <w:rPr>
                <w:rFonts w:ascii="宋体" w:hAnsi="宋体" w:eastAsia="宋体"/>
                <w:b w:val="0"/>
                <w:sz w:val="20"/>
                <w:highlight w:val="yellow"/>
              </w:rPr>
              <w:t>【待填】</w:t>
            </w:r>
          </w:p>
        </w:tc>
        <w:tc>
          <w:tcPr>
            <w:tcW w:w="2779" w:type="dxa"/>
            <w:tcBorders>
              <w:right w:val="single" w:color="000000" w:sz="6" w:space="0"/>
            </w:tcBorders>
            <w:vAlign w:val="top"/>
          </w:tcPr>
          <w:p w14:paraId="7D5B92EC">
            <w:pPr>
              <w:pStyle w:val="13"/>
            </w:pPr>
            <w:r>
              <w:rPr>
                <w:rFonts w:ascii="宋体" w:hAnsi="宋体" w:eastAsia="宋体"/>
                <w:b w:val="0"/>
                <w:sz w:val="20"/>
                <w:highlight w:val="yellow"/>
              </w:rPr>
              <w:t>【待填】</w:t>
            </w:r>
          </w:p>
        </w:tc>
      </w:tr>
      <w:tr w14:paraId="08CFA76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3" w:hRule="atLeast"/>
        </w:trPr>
        <w:tc>
          <w:tcPr>
            <w:tcW w:w="4483" w:type="dxa"/>
            <w:tcBorders>
              <w:left w:val="single" w:color="000000" w:sz="6" w:space="0"/>
            </w:tcBorders>
            <w:vAlign w:val="top"/>
          </w:tcPr>
          <w:p w14:paraId="1FA08C08">
            <w:pPr>
              <w:spacing w:before="117" w:line="315" w:lineRule="exact"/>
              <w:ind w:left="35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5"/>
                <w:position w:val="1"/>
                <w:sz w:val="21"/>
                <w:szCs w:val="21"/>
                <w:lang w:eastAsia="zh-CN"/>
              </w:rPr>
              <w:t>2.</w:t>
            </w:r>
            <w:r>
              <w:rPr>
                <w:rFonts w:hint="eastAsia" w:ascii="宋体" w:hAnsi="宋体" w:eastAsia="宋体" w:cs="宋体"/>
                <w:spacing w:val="-5"/>
                <w:position w:val="1"/>
                <w:sz w:val="21"/>
                <w:szCs w:val="21"/>
              </w:rPr>
              <w:t>材料费/测试化验加工费/燃料动力费</w:t>
            </w:r>
          </w:p>
        </w:tc>
        <w:tc>
          <w:tcPr>
            <w:tcW w:w="1802" w:type="dxa"/>
            <w:vAlign w:val="top"/>
          </w:tcPr>
          <w:p w14:paraId="414FF6E3">
            <w:pPr>
              <w:pStyle w:val="13"/>
            </w:pPr>
            <w:r>
              <w:rPr>
                <w:rFonts w:ascii="宋体" w:hAnsi="宋体" w:eastAsia="宋体"/>
                <w:b w:val="0"/>
                <w:sz w:val="20"/>
                <w:highlight w:val="yellow"/>
              </w:rPr>
              <w:t>【待填】</w:t>
            </w:r>
          </w:p>
        </w:tc>
        <w:tc>
          <w:tcPr>
            <w:tcW w:w="2779" w:type="dxa"/>
            <w:tcBorders>
              <w:right w:val="single" w:color="000000" w:sz="6" w:space="0"/>
            </w:tcBorders>
            <w:vAlign w:val="top"/>
          </w:tcPr>
          <w:p w14:paraId="50EE54F9">
            <w:pPr>
              <w:pStyle w:val="13"/>
            </w:pPr>
            <w:r>
              <w:rPr>
                <w:rFonts w:ascii="宋体" w:hAnsi="宋体" w:eastAsia="宋体"/>
                <w:b w:val="0"/>
                <w:sz w:val="20"/>
                <w:highlight w:val="yellow"/>
              </w:rPr>
              <w:t>【待填】</w:t>
            </w:r>
          </w:p>
        </w:tc>
      </w:tr>
      <w:tr w14:paraId="2D0B6BF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5" w:hRule="atLeast"/>
        </w:trPr>
        <w:tc>
          <w:tcPr>
            <w:tcW w:w="4483" w:type="dxa"/>
            <w:tcBorders>
              <w:left w:val="single" w:color="000000" w:sz="6" w:space="0"/>
            </w:tcBorders>
            <w:vAlign w:val="top"/>
          </w:tcPr>
          <w:p w14:paraId="47B25987">
            <w:pPr>
              <w:spacing w:before="119" w:line="315" w:lineRule="exact"/>
              <w:ind w:left="36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position w:val="1"/>
                <w:sz w:val="21"/>
                <w:szCs w:val="21"/>
                <w:lang w:eastAsia="zh-CN"/>
              </w:rPr>
              <w:t>3.</w:t>
            </w:r>
            <w:r>
              <w:rPr>
                <w:rFonts w:hint="eastAsia" w:ascii="宋体" w:hAnsi="宋体" w:eastAsia="宋体" w:cs="宋体"/>
                <w:spacing w:val="-1"/>
                <w:position w:val="1"/>
                <w:sz w:val="21"/>
                <w:szCs w:val="21"/>
              </w:rPr>
              <w:t>差旅费/会议费/国际合作交流费</w:t>
            </w:r>
          </w:p>
        </w:tc>
        <w:tc>
          <w:tcPr>
            <w:tcW w:w="1802" w:type="dxa"/>
            <w:vAlign w:val="top"/>
          </w:tcPr>
          <w:p w14:paraId="43F14D39">
            <w:pPr>
              <w:pStyle w:val="13"/>
            </w:pPr>
            <w:r>
              <w:rPr>
                <w:rFonts w:ascii="宋体" w:hAnsi="宋体" w:eastAsia="宋体"/>
                <w:b w:val="0"/>
                <w:sz w:val="20"/>
                <w:highlight w:val="yellow"/>
              </w:rPr>
              <w:t>【待填】</w:t>
            </w:r>
          </w:p>
        </w:tc>
        <w:tc>
          <w:tcPr>
            <w:tcW w:w="2779" w:type="dxa"/>
            <w:tcBorders>
              <w:right w:val="single" w:color="000000" w:sz="6" w:space="0"/>
            </w:tcBorders>
            <w:vAlign w:val="top"/>
          </w:tcPr>
          <w:p w14:paraId="013056F0">
            <w:pPr>
              <w:pStyle w:val="13"/>
            </w:pPr>
            <w:r>
              <w:rPr>
                <w:rFonts w:ascii="宋体" w:hAnsi="宋体" w:eastAsia="宋体"/>
                <w:b w:val="0"/>
                <w:sz w:val="20"/>
                <w:highlight w:val="yellow"/>
              </w:rPr>
              <w:t>【待填】</w:t>
            </w:r>
          </w:p>
        </w:tc>
      </w:tr>
      <w:tr w14:paraId="214FBE6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3" w:hRule="atLeast"/>
        </w:trPr>
        <w:tc>
          <w:tcPr>
            <w:tcW w:w="4483" w:type="dxa"/>
            <w:tcBorders>
              <w:left w:val="single" w:color="000000" w:sz="6" w:space="0"/>
            </w:tcBorders>
            <w:vAlign w:val="top"/>
          </w:tcPr>
          <w:p w14:paraId="4B07066D">
            <w:pPr>
              <w:spacing w:before="149" w:line="241" w:lineRule="auto"/>
              <w:ind w:left="35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4.知识产权（专利、论文）费</w:t>
            </w:r>
          </w:p>
        </w:tc>
        <w:tc>
          <w:tcPr>
            <w:tcW w:w="1802" w:type="dxa"/>
            <w:vAlign w:val="top"/>
          </w:tcPr>
          <w:p w14:paraId="36EB06F0">
            <w:pPr>
              <w:pStyle w:val="13"/>
            </w:pPr>
            <w:r>
              <w:rPr>
                <w:rFonts w:ascii="宋体" w:hAnsi="宋体" w:eastAsia="宋体"/>
                <w:b w:val="0"/>
                <w:sz w:val="20"/>
                <w:highlight w:val="yellow"/>
              </w:rPr>
              <w:t>【待填】</w:t>
            </w:r>
          </w:p>
        </w:tc>
        <w:tc>
          <w:tcPr>
            <w:tcW w:w="2779" w:type="dxa"/>
            <w:tcBorders>
              <w:right w:val="single" w:color="000000" w:sz="6" w:space="0"/>
            </w:tcBorders>
            <w:vAlign w:val="top"/>
          </w:tcPr>
          <w:p w14:paraId="6957BD59">
            <w:pPr>
              <w:pStyle w:val="13"/>
            </w:pPr>
            <w:r>
              <w:rPr>
                <w:rFonts w:ascii="宋体" w:hAnsi="宋体" w:eastAsia="宋体"/>
                <w:b w:val="0"/>
                <w:sz w:val="20"/>
                <w:highlight w:val="yellow"/>
              </w:rPr>
              <w:t>【待填】</w:t>
            </w:r>
          </w:p>
        </w:tc>
      </w:tr>
      <w:tr w14:paraId="6B331C8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3" w:hRule="atLeast"/>
        </w:trPr>
        <w:tc>
          <w:tcPr>
            <w:tcW w:w="4483" w:type="dxa"/>
            <w:tcBorders>
              <w:left w:val="single" w:color="000000" w:sz="6" w:space="0"/>
            </w:tcBorders>
            <w:vAlign w:val="top"/>
          </w:tcPr>
          <w:p w14:paraId="6069A4A8">
            <w:pPr>
              <w:spacing w:before="121" w:line="315" w:lineRule="exact"/>
              <w:ind w:left="36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position w:val="1"/>
                <w:sz w:val="21"/>
                <w:szCs w:val="21"/>
                <w:lang w:eastAsia="zh-CN"/>
              </w:rPr>
              <w:t>5.</w:t>
            </w:r>
            <w:r>
              <w:rPr>
                <w:rFonts w:hint="eastAsia" w:ascii="宋体" w:hAnsi="宋体" w:eastAsia="宋体" w:cs="宋体"/>
                <w:spacing w:val="-1"/>
                <w:position w:val="1"/>
                <w:sz w:val="21"/>
                <w:szCs w:val="21"/>
              </w:rPr>
              <w:t>劳务费/专家咨询费</w:t>
            </w:r>
          </w:p>
        </w:tc>
        <w:tc>
          <w:tcPr>
            <w:tcW w:w="1802" w:type="dxa"/>
            <w:vAlign w:val="top"/>
          </w:tcPr>
          <w:p w14:paraId="6E26467F">
            <w:pPr>
              <w:pStyle w:val="13"/>
            </w:pPr>
            <w:r>
              <w:rPr>
                <w:rFonts w:ascii="宋体" w:hAnsi="宋体" w:eastAsia="宋体"/>
                <w:b w:val="0"/>
                <w:sz w:val="20"/>
                <w:highlight w:val="yellow"/>
              </w:rPr>
              <w:t>【待填】</w:t>
            </w:r>
          </w:p>
        </w:tc>
        <w:tc>
          <w:tcPr>
            <w:tcW w:w="2779" w:type="dxa"/>
            <w:tcBorders>
              <w:right w:val="single" w:color="000000" w:sz="6" w:space="0"/>
            </w:tcBorders>
            <w:vAlign w:val="top"/>
          </w:tcPr>
          <w:p w14:paraId="044EF478">
            <w:pPr>
              <w:pStyle w:val="13"/>
            </w:pPr>
            <w:r>
              <w:rPr>
                <w:rFonts w:ascii="宋体" w:hAnsi="宋体" w:eastAsia="宋体"/>
                <w:b w:val="0"/>
                <w:sz w:val="20"/>
                <w:highlight w:val="yellow"/>
              </w:rPr>
              <w:t>【待填】</w:t>
            </w:r>
          </w:p>
        </w:tc>
      </w:tr>
      <w:tr w14:paraId="487E423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 w:hRule="atLeast"/>
        </w:trPr>
        <w:tc>
          <w:tcPr>
            <w:tcW w:w="4483" w:type="dxa"/>
            <w:tcBorders>
              <w:left w:val="single" w:color="000000" w:sz="6" w:space="0"/>
              <w:bottom w:val="single" w:color="000000" w:sz="6" w:space="0"/>
            </w:tcBorders>
            <w:vAlign w:val="top"/>
          </w:tcPr>
          <w:p w14:paraId="444B787B">
            <w:pPr>
              <w:spacing w:before="153"/>
              <w:ind w:left="36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8"/>
                <w:sz w:val="21"/>
                <w:szCs w:val="21"/>
                <w:lang w:eastAsia="zh-CN"/>
              </w:rPr>
              <w:t>6.</w:t>
            </w:r>
            <w:r>
              <w:rPr>
                <w:rFonts w:hint="eastAsia" w:ascii="宋体" w:hAnsi="宋体" w:eastAsia="宋体" w:cs="宋体"/>
                <w:spacing w:val="-8"/>
                <w:sz w:val="21"/>
                <w:szCs w:val="21"/>
              </w:rPr>
              <w:t>其他支出</w:t>
            </w:r>
          </w:p>
        </w:tc>
        <w:tc>
          <w:tcPr>
            <w:tcW w:w="1802" w:type="dxa"/>
            <w:tcBorders>
              <w:bottom w:val="single" w:color="000000" w:sz="6" w:space="0"/>
            </w:tcBorders>
            <w:vAlign w:val="top"/>
          </w:tcPr>
          <w:p w14:paraId="04E863AE">
            <w:pPr>
              <w:pStyle w:val="13"/>
            </w:pPr>
            <w:r>
              <w:rPr>
                <w:rFonts w:ascii="宋体" w:hAnsi="宋体" w:eastAsia="宋体"/>
                <w:b w:val="0"/>
                <w:sz w:val="20"/>
                <w:highlight w:val="yellow"/>
              </w:rPr>
              <w:t>【待填】</w:t>
            </w:r>
          </w:p>
        </w:tc>
        <w:tc>
          <w:tcPr>
            <w:tcW w:w="2779" w:type="dxa"/>
            <w:tcBorders>
              <w:bottom w:val="single" w:color="000000" w:sz="6" w:space="0"/>
              <w:right w:val="single" w:color="000000" w:sz="6" w:space="0"/>
            </w:tcBorders>
            <w:vAlign w:val="top"/>
          </w:tcPr>
          <w:p w14:paraId="740DE4D7">
            <w:pPr>
              <w:pStyle w:val="13"/>
            </w:pPr>
            <w:r>
              <w:rPr>
                <w:rFonts w:ascii="宋体" w:hAnsi="宋体" w:eastAsia="宋体"/>
                <w:b w:val="0"/>
                <w:sz w:val="20"/>
                <w:highlight w:val="yellow"/>
              </w:rPr>
              <w:t>【待填】</w:t>
            </w:r>
          </w:p>
        </w:tc>
      </w:tr>
    </w:tbl>
    <w:p w14:paraId="13DEFB2A">
      <w:pPr>
        <w:pStyle w:val="2"/>
        <w:bidi w:val="0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七、</w:t>
      </w:r>
      <w:r>
        <w:rPr>
          <w:rFonts w:hint="eastAsia"/>
          <w:lang w:eastAsia="zh-CN"/>
        </w:rPr>
        <w:t>风险分析及应对举措（不超过1000字）</w:t>
      </w:r>
    </w:p>
    <w:p>
      <w:pPr>
        <w:spacing w:line="360" w:lineRule="auto" w:after="120"/>
        <w:ind w:firstLine="480"/>
        <w:jc w:val="both"/>
      </w:pPr>
      <w:r>
        <w:rPr>
          <w:rFonts w:ascii="宋体" w:hAnsi="宋体" w:eastAsia="宋体"/>
          <w:b w:val="0"/>
          <w:sz w:val="24"/>
        </w:rPr>
        <w:t>连续第二或第三铲受挖后坑壁、斗内余料或车载库存影响时，每铲重新观测，完整走廊不满足即停止并留样；MPM计算慢时先冻结可靠闭环，独立序列可分配第二台兼容Linux/CUDA主机，不拆分同一物理序列；满斗率使用固定斗容和体积算法，质量只作诊断并执行已知体积与分辨率检查；不同介质只采用来源明确的参数或列为后续实土标定；仿真作品边界、视频时长、STEP/GLB和源码入口由团队通过登录页或组委会确认；校内法人证书、知识产权证明与行政章自9月14日起并行办理。</w:t>
      </w:r>
    </w:p>
    <w:p w14:paraId="608E0F00">
      <w:pPr>
        <w:pStyle w:val="2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八、相关支撑性附件</w:t>
      </w:r>
    </w:p>
    <w:p w14:paraId="6EA454EC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4" w:line="241" w:lineRule="auto"/>
        <w:jc w:val="left"/>
        <w:textAlignment w:val="auto"/>
        <w:rPr>
          <w:rFonts w:hint="eastAsia" w:ascii="宋体" w:hAnsi="宋体" w:eastAsia="宋体" w:cs="宋体"/>
          <w:i/>
          <w:iCs/>
          <w:spacing w:val="-4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i/>
          <w:iCs/>
          <w:spacing w:val="-4"/>
          <w:sz w:val="24"/>
          <w:szCs w:val="24"/>
          <w:lang w:val="en-US" w:eastAsia="zh-CN"/>
        </w:rPr>
        <w:t>①</w:t>
      </w:r>
      <w:r>
        <w:rPr>
          <w:rFonts w:hint="eastAsia" w:ascii="宋体" w:hAnsi="宋体" w:eastAsia="宋体" w:cs="宋体"/>
          <w:i/>
          <w:iCs/>
          <w:spacing w:val="-4"/>
          <w:sz w:val="24"/>
          <w:szCs w:val="24"/>
          <w:lang w:val="en-US" w:eastAsia="zh-CN"/>
        </w:rPr>
        <w:t>企业需提供营业执照和近三年审计报告（没有审计报告的公司需进行说明；成立不足 3 年的公司需提供全部审计报告）；高校需提供事业单位法人证书</w:t>
      </w:r>
      <w:bookmarkStart w:id="0" w:name="_GoBack"/>
      <w:bookmarkEnd w:id="0"/>
      <w:r>
        <w:rPr>
          <w:rFonts w:hint="eastAsia" w:ascii="宋体" w:hAnsi="宋体" w:eastAsia="宋体" w:cs="宋体"/>
          <w:i/>
          <w:iCs/>
          <w:spacing w:val="-4"/>
          <w:sz w:val="24"/>
          <w:szCs w:val="24"/>
          <w:lang w:val="en-US" w:eastAsia="zh-CN"/>
        </w:rPr>
        <w:t>（必填）。</w:t>
      </w:r>
    </w:p>
    <w:p w14:paraId="5AF7D32A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4" w:line="241" w:lineRule="auto"/>
        <w:jc w:val="left"/>
        <w:textAlignment w:val="auto"/>
        <w:rPr>
          <w:rFonts w:hint="eastAsia" w:ascii="宋体" w:hAnsi="宋体" w:eastAsia="宋体" w:cs="宋体"/>
          <w:i/>
          <w:iCs/>
          <w:spacing w:val="-4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i/>
          <w:iCs/>
          <w:spacing w:val="-4"/>
          <w:sz w:val="24"/>
          <w:szCs w:val="24"/>
          <w:lang w:val="en-US" w:eastAsia="zh-CN"/>
        </w:rPr>
        <w:t>②</w:t>
      </w:r>
      <w:r>
        <w:rPr>
          <w:rFonts w:hint="eastAsia" w:ascii="宋体" w:hAnsi="宋体" w:eastAsia="宋体" w:cs="宋体"/>
          <w:i/>
          <w:iCs/>
          <w:spacing w:val="-4"/>
          <w:sz w:val="24"/>
          <w:szCs w:val="24"/>
          <w:lang w:val="en-US" w:eastAsia="zh-CN"/>
        </w:rPr>
        <w:t>与本项目强相关的论文、专利、软著等知识产权证明（必填）。</w:t>
      </w:r>
    </w:p>
    <w:p w14:paraId="0E12E6CA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4" w:line="241" w:lineRule="auto"/>
        <w:jc w:val="left"/>
        <w:textAlignment w:val="auto"/>
        <w:rPr>
          <w:rFonts w:hint="default" w:ascii="宋体" w:hAnsi="宋体" w:eastAsia="宋体" w:cs="宋体"/>
          <w:i/>
          <w:iCs/>
          <w:spacing w:val="-4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i/>
          <w:iCs/>
          <w:spacing w:val="-4"/>
          <w:sz w:val="24"/>
          <w:szCs w:val="24"/>
          <w:lang w:val="en-US" w:eastAsia="zh-CN"/>
        </w:rPr>
        <w:t>③</w:t>
      </w:r>
      <w:r>
        <w:rPr>
          <w:rFonts w:hint="eastAsia" w:ascii="宋体" w:hAnsi="宋体" w:eastAsia="宋体" w:cs="宋体"/>
          <w:i/>
          <w:iCs/>
          <w:spacing w:val="-4"/>
          <w:sz w:val="24"/>
          <w:szCs w:val="24"/>
          <w:lang w:val="en-US" w:eastAsia="zh-CN"/>
        </w:rPr>
        <w:t>单位同意参评证明（附件1）（必填）</w:t>
      </w:r>
    </w:p>
    <w:p w14:paraId="48B1DB64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4" w:line="241" w:lineRule="auto"/>
        <w:jc w:val="left"/>
        <w:textAlignment w:val="auto"/>
        <w:rPr>
          <w:rFonts w:hint="eastAsia" w:ascii="宋体" w:hAnsi="宋体" w:eastAsia="宋体" w:cs="宋体"/>
          <w:i/>
          <w:iCs/>
          <w:spacing w:val="-4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i/>
          <w:iCs/>
          <w:spacing w:val="-4"/>
          <w:sz w:val="24"/>
          <w:szCs w:val="24"/>
          <w:lang w:val="en-US" w:eastAsia="zh-CN"/>
        </w:rPr>
        <w:t>④</w:t>
      </w:r>
      <w:r>
        <w:rPr>
          <w:rFonts w:hint="eastAsia" w:ascii="宋体" w:hAnsi="宋体" w:eastAsia="宋体" w:cs="宋体"/>
          <w:i/>
          <w:iCs/>
          <w:spacing w:val="-4"/>
          <w:sz w:val="24"/>
          <w:szCs w:val="24"/>
          <w:lang w:val="en-US" w:eastAsia="zh-CN"/>
        </w:rPr>
        <w:t>与本项目强相关科研资质批复证明（选填）。</w:t>
      </w:r>
    </w:p>
    <w:p w14:paraId="29A49B89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4" w:line="241" w:lineRule="auto"/>
        <w:jc w:val="left"/>
        <w:textAlignment w:val="auto"/>
        <w:rPr>
          <w:rFonts w:hint="eastAsia" w:ascii="宋体" w:hAnsi="宋体" w:eastAsia="宋体" w:cs="宋体"/>
          <w:i/>
          <w:iCs/>
          <w:spacing w:val="-4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i/>
          <w:iCs/>
          <w:spacing w:val="-4"/>
          <w:sz w:val="24"/>
          <w:szCs w:val="24"/>
          <w:lang w:val="en-US" w:eastAsia="zh-CN"/>
        </w:rPr>
        <w:t>⑤</w:t>
      </w:r>
      <w:r>
        <w:rPr>
          <w:rFonts w:hint="eastAsia" w:ascii="宋体" w:hAnsi="宋体" w:eastAsia="宋体" w:cs="宋体"/>
          <w:i/>
          <w:iCs/>
          <w:spacing w:val="-4"/>
          <w:sz w:val="24"/>
          <w:szCs w:val="24"/>
          <w:lang w:val="en-US" w:eastAsia="zh-CN"/>
        </w:rPr>
        <w:t>与本项目强相关的奖项证书（选填）。</w:t>
      </w:r>
    </w:p>
    <w:p w14:paraId="7EDDABFB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4" w:line="241" w:lineRule="auto"/>
        <w:jc w:val="left"/>
        <w:textAlignment w:val="auto"/>
        <w:rPr>
          <w:rFonts w:hint="eastAsia" w:ascii="宋体" w:hAnsi="宋体" w:eastAsia="宋体" w:cs="宋体"/>
          <w:i/>
          <w:iCs/>
          <w:spacing w:val="-4"/>
          <w:sz w:val="24"/>
          <w:szCs w:val="24"/>
          <w:lang w:val="en-US" w:eastAsia="zh-CN"/>
        </w:rPr>
        <w:sectPr>
          <w:footerReference r:id="rId3" w:type="default"/>
          <w:pgSz w:w="11905" w:h="16840"/>
          <w:pgMar w:top="400" w:right="1420" w:bottom="1734" w:left="1551" w:header="0" w:footer="1466" w:gutter="0"/>
          <w:cols w:space="720" w:num="1"/>
        </w:sectPr>
      </w:pPr>
      <w:r>
        <w:rPr>
          <w:rFonts w:hint="eastAsia" w:ascii="微软雅黑" w:hAnsi="微软雅黑" w:eastAsia="微软雅黑" w:cs="微软雅黑"/>
          <w:i/>
          <w:iCs/>
          <w:spacing w:val="-4"/>
          <w:sz w:val="24"/>
          <w:szCs w:val="24"/>
          <w:lang w:val="en-US" w:eastAsia="zh-CN"/>
        </w:rPr>
        <w:t>⑥</w:t>
      </w:r>
      <w:r>
        <w:rPr>
          <w:rFonts w:hint="eastAsia" w:ascii="宋体" w:hAnsi="宋体" w:eastAsia="宋体" w:cs="宋体"/>
          <w:i/>
          <w:iCs/>
          <w:spacing w:val="-4"/>
          <w:sz w:val="24"/>
          <w:szCs w:val="24"/>
          <w:lang w:val="en-US" w:eastAsia="zh-CN"/>
        </w:rPr>
        <w:t>其他相关支撑材料（选填）</w:t>
      </w:r>
    </w:p>
    <w:p w14:paraId="00C02EBE">
      <w:pPr>
        <w:pStyle w:val="2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附件</w:t>
      </w:r>
      <w:r>
        <w:rPr>
          <w:rFonts w:hint="eastAsia"/>
          <w:lang w:val="en-US" w:eastAsia="zh-CN"/>
        </w:rPr>
        <w:t>1</w:t>
      </w:r>
    </w:p>
    <w:p w14:paraId="16244BD8">
      <w:pPr>
        <w:spacing w:before="167" w:line="208" w:lineRule="auto"/>
        <w:jc w:val="center"/>
        <w:outlineLvl w:val="1"/>
        <w:rPr>
          <w:rFonts w:ascii="微软雅黑" w:hAnsi="微软雅黑" w:eastAsia="微软雅黑" w:cs="微软雅黑"/>
          <w:sz w:val="32"/>
          <w:szCs w:val="32"/>
        </w:rPr>
      </w:pPr>
      <w:r>
        <w:rPr>
          <w:rFonts w:ascii="微软雅黑" w:hAnsi="微软雅黑" w:eastAsia="微软雅黑" w:cs="微软雅黑"/>
          <w:spacing w:val="9"/>
          <w:sz w:val="32"/>
          <w:szCs w:val="32"/>
        </w:rPr>
        <w:t>关于同意</w:t>
      </w:r>
      <w:r>
        <w:rPr>
          <w:rFonts w:hint="eastAsia" w:ascii="微软雅黑" w:hAnsi="微软雅黑" w:eastAsia="微软雅黑" w:cs="微软雅黑"/>
          <w:spacing w:val="9"/>
          <w:sz w:val="32"/>
          <w:szCs w:val="32"/>
          <w:lang w:val="en-US" w:eastAsia="zh-CN"/>
        </w:rPr>
        <w:t>参加第十五届中国创新创业大赛AI+工程机械专业赛“揭榜挂帅”模块相关</w:t>
      </w:r>
      <w:r>
        <w:rPr>
          <w:rFonts w:ascii="微软雅黑" w:hAnsi="微软雅黑" w:eastAsia="微软雅黑" w:cs="微软雅黑"/>
          <w:spacing w:val="9"/>
          <w:sz w:val="32"/>
          <w:szCs w:val="32"/>
        </w:rPr>
        <w:t>科技攻关项目的证明</w:t>
      </w:r>
    </w:p>
    <w:p w14:paraId="5855F9B2">
      <w:pPr>
        <w:spacing w:line="275" w:lineRule="auto"/>
        <w:rPr>
          <w:rFonts w:ascii="Arial"/>
          <w:sz w:val="21"/>
        </w:rPr>
      </w:pPr>
    </w:p>
    <w:p w14:paraId="2C9CD7A8">
      <w:pPr>
        <w:spacing w:line="276" w:lineRule="auto"/>
        <w:rPr>
          <w:rFonts w:ascii="Arial"/>
          <w:sz w:val="21"/>
        </w:rPr>
      </w:pPr>
    </w:p>
    <w:p w14:paraId="29932119">
      <w:pPr>
        <w:pStyle w:val="3"/>
        <w:spacing w:before="108" w:line="307" w:lineRule="auto"/>
        <w:ind w:left="33" w:firstLine="645"/>
      </w:pPr>
      <w:r>
        <w:rPr>
          <w:spacing w:val="-9"/>
        </w:rPr>
        <w:t>兹有我单位</w:t>
      </w:r>
      <w:r>
        <w:rPr>
          <w:spacing w:val="-9"/>
          <w:sz w:val="33"/>
          <w:szCs w:val="33"/>
          <w:u w:val="single" w:color="auto"/>
        </w:rPr>
        <w:t xml:space="preserve">    </w:t>
      </w:r>
      <w:r>
        <w:rPr>
          <w:i/>
          <w:iCs/>
          <w:spacing w:val="-9"/>
          <w:sz w:val="33"/>
          <w:szCs w:val="33"/>
          <w:u w:val="single" w:color="auto"/>
        </w:rPr>
        <w:t>（技术带头人</w:t>
      </w:r>
      <w:r>
        <w:rPr>
          <w:spacing w:val="-9"/>
          <w:u w:val="single" w:color="auto"/>
        </w:rPr>
        <w:t xml:space="preserve">）   </w:t>
      </w:r>
      <w:r>
        <w:rPr>
          <w:spacing w:val="-87"/>
        </w:rPr>
        <w:t xml:space="preserve"> </w:t>
      </w:r>
      <w:r>
        <w:rPr>
          <w:spacing w:val="-9"/>
        </w:rPr>
        <w:t>团队提交了</w:t>
      </w:r>
      <w:r>
        <w:rPr>
          <w:spacing w:val="75"/>
          <w:sz w:val="33"/>
          <w:szCs w:val="33"/>
          <w:u w:val="single" w:color="auto"/>
        </w:rPr>
        <w:t xml:space="preserve"> </w:t>
      </w:r>
      <w:r>
        <w:rPr>
          <w:i/>
          <w:iCs/>
          <w:spacing w:val="-9"/>
          <w:sz w:val="33"/>
          <w:szCs w:val="33"/>
          <w:u w:val="single" w:color="auto"/>
        </w:rPr>
        <w:t>需求名称</w:t>
      </w:r>
      <w:r>
        <w:rPr>
          <w:spacing w:val="-9"/>
          <w:sz w:val="33"/>
          <w:szCs w:val="33"/>
          <w:u w:val="single" w:color="auto"/>
        </w:rPr>
        <w:t xml:space="preserve"> </w:t>
      </w:r>
      <w:r>
        <w:rPr>
          <w:spacing w:val="-2"/>
        </w:rPr>
        <w:t>项目，参评</w:t>
      </w:r>
      <w:r>
        <w:rPr>
          <w:rFonts w:hint="eastAsia"/>
          <w:spacing w:val="-2"/>
          <w:lang w:val="en-US" w:eastAsia="zh-CN"/>
        </w:rPr>
        <w:t>第十五届中国创新创业大赛AI+工程机械专业赛“揭榜挂帅”模块相关</w:t>
      </w:r>
      <w:r>
        <w:rPr>
          <w:spacing w:val="-2"/>
        </w:rPr>
        <w:t>科</w:t>
      </w:r>
      <w:r>
        <w:rPr>
          <w:spacing w:val="-3"/>
        </w:rPr>
        <w:t>技攻关项目。</w:t>
      </w:r>
    </w:p>
    <w:p w14:paraId="40CE11FD">
      <w:pPr>
        <w:pStyle w:val="3"/>
        <w:spacing w:line="267" w:lineRule="auto"/>
        <w:ind w:left="670"/>
      </w:pPr>
      <w:r>
        <w:rPr>
          <w:spacing w:val="-8"/>
        </w:rPr>
        <w:t>本项目由</w:t>
      </w:r>
      <w:r>
        <w:rPr>
          <w:spacing w:val="3"/>
          <w:sz w:val="33"/>
          <w:szCs w:val="33"/>
          <w:u w:val="single" w:color="auto"/>
        </w:rPr>
        <w:t xml:space="preserve">         </w:t>
      </w:r>
      <w:r>
        <w:rPr>
          <w:i/>
          <w:iCs/>
          <w:spacing w:val="-8"/>
          <w:sz w:val="33"/>
          <w:szCs w:val="33"/>
          <w:u w:val="single" w:color="auto"/>
        </w:rPr>
        <w:t>单位全称</w:t>
      </w:r>
      <w:r>
        <w:rPr>
          <w:spacing w:val="7"/>
          <w:sz w:val="33"/>
          <w:szCs w:val="33"/>
          <w:u w:val="single" w:color="auto"/>
        </w:rPr>
        <w:t xml:space="preserve">           </w:t>
      </w:r>
      <w:r>
        <w:rPr>
          <w:spacing w:val="-134"/>
          <w:sz w:val="33"/>
          <w:szCs w:val="33"/>
        </w:rPr>
        <w:t xml:space="preserve"> </w:t>
      </w:r>
      <w:r>
        <w:rPr>
          <w:spacing w:val="-8"/>
        </w:rPr>
        <w:t xml:space="preserve">单独 </w:t>
      </w:r>
      <w:r>
        <w:rPr>
          <w:rFonts w:ascii="Times New Roman" w:hAnsi="Times New Roman" w:eastAsia="Times New Roman" w:cs="Times New Roman"/>
          <w:spacing w:val="-8"/>
        </w:rPr>
        <w:t xml:space="preserve">/  </w:t>
      </w:r>
      <w:r>
        <w:rPr>
          <w:spacing w:val="-8"/>
        </w:rPr>
        <w:t>联合</w:t>
      </w:r>
    </w:p>
    <w:p w14:paraId="5F0E8524">
      <w:pPr>
        <w:pStyle w:val="3"/>
        <w:spacing w:before="119" w:line="317" w:lineRule="auto"/>
        <w:ind w:left="32" w:right="33" w:hanging="32"/>
      </w:pPr>
      <w:r>
        <w:rPr>
          <w:spacing w:val="-22"/>
        </w:rPr>
        <w:t>（</w:t>
      </w:r>
      <w:r>
        <w:rPr>
          <w:spacing w:val="-106"/>
        </w:rPr>
        <w:t xml:space="preserve"> </w:t>
      </w:r>
      <w:r>
        <w:rPr>
          <w:spacing w:val="12"/>
          <w:sz w:val="33"/>
          <w:szCs w:val="33"/>
          <w:u w:val="single" w:color="auto"/>
        </w:rPr>
        <w:t xml:space="preserve">      </w:t>
      </w:r>
      <w:r>
        <w:rPr>
          <w:i/>
          <w:iCs/>
          <w:spacing w:val="-22"/>
          <w:sz w:val="33"/>
          <w:szCs w:val="33"/>
          <w:u w:val="single" w:color="auto"/>
        </w:rPr>
        <w:t>联合单位名称</w:t>
      </w:r>
      <w:r>
        <w:rPr>
          <w:rFonts w:hint="eastAsia"/>
          <w:i/>
          <w:iCs/>
          <w:spacing w:val="-22"/>
          <w:sz w:val="33"/>
          <w:szCs w:val="33"/>
          <w:u w:val="single" w:color="auto"/>
          <w:lang w:eastAsia="zh-CN"/>
        </w:rPr>
        <w:t>全称</w:t>
      </w:r>
      <w:r>
        <w:rPr>
          <w:i/>
          <w:iCs/>
          <w:spacing w:val="-22"/>
          <w:sz w:val="33"/>
          <w:szCs w:val="33"/>
          <w:u w:val="single" w:color="auto"/>
        </w:rPr>
        <w:t>，顿号隔开</w:t>
      </w:r>
      <w:r>
        <w:rPr>
          <w:spacing w:val="5"/>
          <w:sz w:val="33"/>
          <w:szCs w:val="33"/>
          <w:u w:val="single" w:color="auto"/>
        </w:rPr>
        <w:t xml:space="preserve">                  </w:t>
      </w:r>
      <w:r>
        <w:rPr>
          <w:spacing w:val="-118"/>
          <w:sz w:val="33"/>
          <w:szCs w:val="33"/>
        </w:rPr>
        <w:t xml:space="preserve"> </w:t>
      </w:r>
      <w:r>
        <w:rPr>
          <w:spacing w:val="-22"/>
        </w:rPr>
        <w:t>）</w:t>
      </w:r>
      <w:r>
        <w:rPr>
          <w:spacing w:val="-4"/>
        </w:rPr>
        <w:t>作为意向揭榜方提出揭榜申请。</w:t>
      </w:r>
    </w:p>
    <w:p w14:paraId="054FE16F">
      <w:pPr>
        <w:pStyle w:val="3"/>
        <w:spacing w:before="7" w:line="322" w:lineRule="auto"/>
        <w:ind w:left="29" w:firstLine="648"/>
      </w:pPr>
      <w:r>
        <w:rPr>
          <w:spacing w:val="-6"/>
        </w:rPr>
        <w:t>经单位审核，同意</w:t>
      </w:r>
      <w:r>
        <w:rPr>
          <w:spacing w:val="-2"/>
        </w:rPr>
        <w:t>参评</w:t>
      </w:r>
      <w:r>
        <w:rPr>
          <w:rFonts w:hint="eastAsia"/>
          <w:spacing w:val="-2"/>
          <w:lang w:val="en-US" w:eastAsia="zh-CN"/>
        </w:rPr>
        <w:t>第十五届中国创新创业大赛AI+工程机械专业赛“揭榜挂帅”模块相关</w:t>
      </w:r>
      <w:r>
        <w:rPr>
          <w:spacing w:val="-2"/>
        </w:rPr>
        <w:t>科</w:t>
      </w:r>
      <w:r>
        <w:rPr>
          <w:spacing w:val="-3"/>
        </w:rPr>
        <w:t>技攻关项目</w:t>
      </w:r>
      <w:r>
        <w:rPr>
          <w:spacing w:val="-9"/>
        </w:rPr>
        <w:t>。</w:t>
      </w:r>
    </w:p>
    <w:p w14:paraId="7A1CC45B">
      <w:pPr>
        <w:spacing w:line="455" w:lineRule="auto"/>
        <w:rPr>
          <w:rFonts w:ascii="Arial"/>
          <w:sz w:val="21"/>
        </w:rPr>
      </w:pPr>
    </w:p>
    <w:p w14:paraId="69F40ED8">
      <w:pPr>
        <w:pStyle w:val="3"/>
        <w:spacing w:before="105" w:line="421" w:lineRule="exact"/>
        <w:ind w:left="28"/>
      </w:pPr>
      <w:r>
        <w:rPr>
          <w:spacing w:val="-9"/>
          <w:position w:val="1"/>
        </w:rPr>
        <w:t>特此证明。</w:t>
      </w:r>
    </w:p>
    <w:p w14:paraId="03CBC667">
      <w:pPr>
        <w:spacing w:line="331" w:lineRule="auto"/>
        <w:rPr>
          <w:rFonts w:ascii="Arial"/>
          <w:sz w:val="21"/>
        </w:rPr>
      </w:pPr>
    </w:p>
    <w:p w14:paraId="02D05314">
      <w:pPr>
        <w:spacing w:line="331" w:lineRule="auto"/>
        <w:rPr>
          <w:rFonts w:ascii="Arial"/>
          <w:sz w:val="21"/>
        </w:rPr>
      </w:pPr>
    </w:p>
    <w:p w14:paraId="34506394">
      <w:pPr>
        <w:pStyle w:val="3"/>
        <w:spacing w:before="105"/>
        <w:ind w:left="4592"/>
      </w:pPr>
      <w:r>
        <w:rPr>
          <w:spacing w:val="-21"/>
        </w:rPr>
        <w:t>揭榜单位（盖章</w:t>
      </w:r>
      <w:r>
        <w:rPr>
          <w:spacing w:val="-10"/>
        </w:rPr>
        <w:t>）：</w:t>
      </w:r>
    </w:p>
    <w:p w14:paraId="064662A3">
      <w:pPr>
        <w:spacing w:line="302" w:lineRule="auto"/>
        <w:rPr>
          <w:rFonts w:ascii="Arial"/>
          <w:sz w:val="21"/>
        </w:rPr>
      </w:pPr>
    </w:p>
    <w:p w14:paraId="5062164B">
      <w:pPr>
        <w:spacing w:line="303" w:lineRule="auto"/>
        <w:rPr>
          <w:rFonts w:ascii="Arial"/>
          <w:sz w:val="21"/>
        </w:rPr>
      </w:pPr>
    </w:p>
    <w:p w14:paraId="1D2E67E0">
      <w:pPr>
        <w:pStyle w:val="3"/>
        <w:spacing w:before="108" w:line="349" w:lineRule="auto"/>
        <w:ind w:left="108" w:right="165" w:hanging="18"/>
        <w:rPr>
          <w:sz w:val="33"/>
          <w:szCs w:val="33"/>
        </w:rPr>
      </w:pPr>
      <w:r>
        <w:rPr>
          <w:i/>
          <w:iCs/>
          <w:spacing w:val="-14"/>
          <w:sz w:val="33"/>
          <w:szCs w:val="33"/>
        </w:rPr>
        <w:t>（注：高校盖学校行政章，企业</w:t>
      </w:r>
      <w:r>
        <w:rPr>
          <w:rFonts w:ascii="Times New Roman" w:hAnsi="Times New Roman" w:eastAsia="Times New Roman" w:cs="Times New Roman"/>
          <w:i/>
          <w:iCs/>
          <w:spacing w:val="-14"/>
        </w:rPr>
        <w:t>/</w:t>
      </w:r>
      <w:r>
        <w:rPr>
          <w:i/>
          <w:iCs/>
          <w:spacing w:val="-14"/>
          <w:sz w:val="33"/>
          <w:szCs w:val="33"/>
        </w:rPr>
        <w:t>科研院所盖法</w:t>
      </w:r>
      <w:r>
        <w:rPr>
          <w:i/>
          <w:iCs/>
          <w:spacing w:val="-15"/>
          <w:sz w:val="33"/>
          <w:szCs w:val="33"/>
        </w:rPr>
        <w:t>人单位行政章。</w:t>
      </w:r>
      <w:r>
        <w:rPr>
          <w:i/>
          <w:iCs/>
          <w:spacing w:val="-17"/>
          <w:sz w:val="33"/>
          <w:szCs w:val="33"/>
        </w:rPr>
        <w:t>斜体内容打印时删除）</w:t>
      </w:r>
    </w:p>
    <w:p w14:paraId="4B6823A7">
      <w:pPr>
        <w:spacing w:line="292" w:lineRule="auto"/>
        <w:rPr>
          <w:rFonts w:ascii="Arial"/>
          <w:sz w:val="21"/>
        </w:rPr>
      </w:pPr>
    </w:p>
    <w:p w14:paraId="667181A6">
      <w:pPr>
        <w:spacing w:line="292" w:lineRule="auto"/>
        <w:rPr>
          <w:rFonts w:ascii="Arial"/>
          <w:sz w:val="21"/>
        </w:rPr>
      </w:pPr>
    </w:p>
    <w:p w14:paraId="0F7555B2">
      <w:pPr>
        <w:pStyle w:val="3"/>
        <w:spacing w:before="104" w:line="241" w:lineRule="auto"/>
        <w:jc w:val="right"/>
      </w:pPr>
      <w:r>
        <w:rPr>
          <w:spacing w:val="-46"/>
        </w:rPr>
        <w:t>年</w:t>
      </w:r>
      <w:r>
        <w:rPr>
          <w:spacing w:val="7"/>
        </w:rPr>
        <w:t xml:space="preserve">    </w:t>
      </w:r>
      <w:r>
        <w:rPr>
          <w:spacing w:val="-46"/>
        </w:rPr>
        <w:t>月</w:t>
      </w:r>
      <w:r>
        <w:rPr>
          <w:spacing w:val="22"/>
        </w:rPr>
        <w:t xml:space="preserve">    </w:t>
      </w:r>
      <w:r>
        <w:rPr>
          <w:spacing w:val="-46"/>
        </w:rPr>
        <w:t>日</w:t>
      </w:r>
    </w:p>
    <w:p w14:paraId="353F9BC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F36E81">
    <w:pPr>
      <w:pStyle w:val="6"/>
      <w:jc w:val="center"/>
    </w:pPr>
    <w:r>
      <w:rPr>
        <w:rFonts w:ascii="宋体" w:hAnsi="宋体" w:eastAsia="宋体"/>
        <w:b w:val="0"/>
        <w:sz w:val="18"/>
      </w:rPr>
      <w:t>技术草稿 v0.1｜定量结果与团队信息待冻结后复核</w:t>
    </w:r>
  </w:p>
  <w:p w14:paraId="6BD3ECA1">
    <w:pPr>
      <w:pStyle w:val="6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BC3237"/>
    <w:rsid w:val="0232601D"/>
    <w:rsid w:val="02A0181E"/>
    <w:rsid w:val="02D71FC2"/>
    <w:rsid w:val="033250C0"/>
    <w:rsid w:val="0A602BAB"/>
    <w:rsid w:val="0B9064E7"/>
    <w:rsid w:val="0D974935"/>
    <w:rsid w:val="10914B80"/>
    <w:rsid w:val="109921D0"/>
    <w:rsid w:val="10E47627"/>
    <w:rsid w:val="17183929"/>
    <w:rsid w:val="183C7463"/>
    <w:rsid w:val="27924108"/>
    <w:rsid w:val="28FB56AC"/>
    <w:rsid w:val="29410CDA"/>
    <w:rsid w:val="2D9C6C76"/>
    <w:rsid w:val="2FD7142C"/>
    <w:rsid w:val="31617DE2"/>
    <w:rsid w:val="31A142C7"/>
    <w:rsid w:val="36390EAD"/>
    <w:rsid w:val="3813633A"/>
    <w:rsid w:val="39F25508"/>
    <w:rsid w:val="3A6A1EB3"/>
    <w:rsid w:val="3B9946FC"/>
    <w:rsid w:val="3BC72A9F"/>
    <w:rsid w:val="3F635044"/>
    <w:rsid w:val="45683409"/>
    <w:rsid w:val="477558AD"/>
    <w:rsid w:val="556F311C"/>
    <w:rsid w:val="63CB1A70"/>
    <w:rsid w:val="63D619DB"/>
    <w:rsid w:val="66D6776C"/>
    <w:rsid w:val="6AEF2079"/>
    <w:rsid w:val="6F69446A"/>
    <w:rsid w:val="73EB283A"/>
    <w:rsid w:val="743A13FE"/>
    <w:rsid w:val="74D507D3"/>
    <w:rsid w:val="7C4A4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3"/>
    <w:link w:val="11"/>
    <w:qFormat/>
    <w:uiPriority w:val="0"/>
    <w:pPr>
      <w:spacing w:before="0" w:beforeAutospacing="1" w:after="0" w:afterAutospacing="1" w:line="240" w:lineRule="auto"/>
      <w:jc w:val="left"/>
      <w:outlineLvl w:val="0"/>
    </w:pPr>
    <w:rPr>
      <w:rFonts w:hint="eastAsia" w:ascii="宋体" w:hAnsi="宋体" w:eastAsia="微软雅黑" w:cs="宋体"/>
      <w:bCs/>
      <w:color w:val="000000" w:themeColor="text1"/>
      <w:sz w:val="28"/>
      <w:szCs w:val="48"/>
      <w:lang w:bidi="ar"/>
      <w14:textFill>
        <w14:solidFill>
          <w14:schemeClr w14:val="tx1"/>
        </w14:solidFill>
      </w14:textFill>
    </w:rPr>
  </w:style>
  <w:style w:type="paragraph" w:styleId="4">
    <w:name w:val="heading 2"/>
    <w:basedOn w:val="1"/>
    <w:next w:val="3"/>
    <w:link w:val="9"/>
    <w:semiHidden/>
    <w:unhideWhenUsed/>
    <w:qFormat/>
    <w:uiPriority w:val="0"/>
    <w:pPr>
      <w:keepNext/>
      <w:keepLines/>
      <w:snapToGrid w:val="0"/>
      <w:outlineLvl w:val="1"/>
    </w:pPr>
    <w:rPr>
      <w:rFonts w:eastAsia="微软雅黑" w:asciiTheme="majorAscii" w:hAnsiTheme="majorAscii" w:cstheme="majorBidi"/>
      <w:bCs/>
      <w:color w:val="000000" w:themeColor="text1"/>
      <w:sz w:val="24"/>
      <w:szCs w:val="26"/>
      <w14:textFill>
        <w14:solidFill>
          <w14:schemeClr w14:val="tx1"/>
        </w14:solidFill>
      </w14:textFill>
    </w:rPr>
  </w:style>
  <w:style w:type="paragraph" w:styleId="5">
    <w:name w:val="heading 3"/>
    <w:basedOn w:val="1"/>
    <w:next w:val="1"/>
    <w:link w:val="10"/>
    <w:semiHidden/>
    <w:unhideWhenUsed/>
    <w:qFormat/>
    <w:uiPriority w:val="0"/>
    <w:pPr>
      <w:keepNext/>
      <w:keepLines/>
      <w:adjustRightInd w:val="0"/>
      <w:snapToGrid w:val="0"/>
      <w:outlineLvl w:val="2"/>
    </w:pPr>
    <w:rPr>
      <w:rFonts w:eastAsia="微软雅黑" w:asciiTheme="majorAscii" w:hAnsiTheme="majorAscii" w:cstheme="majorBidi"/>
      <w:bCs/>
      <w:color w:val="4874CB" w:themeColor="accent1"/>
      <w:sz w:val="24"/>
      <w14:textFill>
        <w14:solidFill>
          <w14:schemeClr w14:val="accent1"/>
        </w14:solidFill>
      </w14:textFill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  <w:pPr>
      <w:spacing w:after="120" w:afterLines="0" w:afterAutospacing="0"/>
    </w:p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9">
    <w:name w:val="Heading 2 Char"/>
    <w:basedOn w:val="8"/>
    <w:link w:val="4"/>
    <w:qFormat/>
    <w:uiPriority w:val="9"/>
    <w:rPr>
      <w:rFonts w:eastAsia="微软雅黑" w:asciiTheme="majorAscii" w:hAnsiTheme="majorAscii" w:cstheme="majorBidi"/>
      <w:bCs/>
      <w:color w:val="000000" w:themeColor="text1"/>
      <w:sz w:val="24"/>
      <w:szCs w:val="26"/>
      <w14:textFill>
        <w14:solidFill>
          <w14:schemeClr w14:val="tx1"/>
        </w14:solidFill>
      </w14:textFill>
    </w:rPr>
  </w:style>
  <w:style w:type="character" w:customStyle="1" w:styleId="10">
    <w:name w:val="Heading 3 Char"/>
    <w:basedOn w:val="8"/>
    <w:link w:val="5"/>
    <w:qFormat/>
    <w:uiPriority w:val="9"/>
    <w:rPr>
      <w:rFonts w:eastAsia="微软雅黑" w:asciiTheme="majorAscii" w:hAnsiTheme="majorAscii" w:cstheme="majorBidi"/>
      <w:bCs/>
      <w:color w:val="4874CB" w:themeColor="accent1"/>
      <w:sz w:val="24"/>
      <w14:textFill>
        <w14:solidFill>
          <w14:schemeClr w14:val="accent1"/>
        </w14:solidFill>
      </w14:textFill>
    </w:rPr>
  </w:style>
  <w:style w:type="character" w:customStyle="1" w:styleId="11">
    <w:name w:val="Heading 1 Char"/>
    <w:basedOn w:val="8"/>
    <w:link w:val="2"/>
    <w:qFormat/>
    <w:uiPriority w:val="9"/>
    <w:rPr>
      <w:rFonts w:ascii="宋体" w:hAnsi="宋体" w:eastAsia="微软雅黑" w:cs="宋体"/>
      <w:bCs/>
      <w:color w:val="000000" w:themeColor="text1"/>
      <w:kern w:val="2"/>
      <w:sz w:val="28"/>
      <w:szCs w:val="28"/>
      <w:lang w:eastAsia="zh-CN"/>
      <w14:textFill>
        <w14:solidFill>
          <w14:schemeClr w14:val="tx1"/>
        </w14:solidFill>
      </w14:textFill>
    </w:rPr>
  </w:style>
  <w:style w:type="table" w:customStyle="1" w:styleId="12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3">
    <w:name w:val="Table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customStyle="1" w:styleId="正文（技术草稿）">
    <w:name w:val="正文（技术草稿）"/>
    <w:rPr>
      <w:rFonts w:ascii="宋体" w:hAnsi="宋体" w:eastAsia="宋体"/>
      <w:sz w:val="24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ntractReview xmlns="http://schemas.wps.cn/vas-ai-hub/contract-review">
  <reviewItems>
    <reviewItem>
      <errorID>cc22766c-5abe-4ebf-841e-c44ad249b805</errorID>
      <errorWord>揭榜挂帅</errorWord>
      <group>L1_Political</group>
      <groupName>政治性问题</groupName>
      <ability>L2_Keyword</ability>
      <abilityName>固定表述</abilityName>
      <candidateList>
        <item>“揭榜挂帅”</item>
      </candidateList>
      <explain>注意检查当前固定表述标点是否使用规范。</explain>
      <paraID>29932119</paraID>
      <start>58</start>
      <end>64</end>
      <status>modified</status>
      <modifiedWord>“揭榜挂帅”</modifiedWord>
      <trackRevisions>false</trackRevisions>
    </reviewItem>
    <reviewItem>
      <errorID>e9cda373-bbb8-4a6d-8b8b-ce8112c0647a</errorID>
      <errorWord>揭榜挂帅</errorWord>
      <group>L1_Political</group>
      <groupName>政治性问题</groupName>
      <ability>L2_Keyword</ability>
      <abilityName>固定表述</abilityName>
      <candidateList>
        <item>“揭榜挂帅”</item>
      </candidateList>
      <explain>注意检查当前固定表述标点是否使用规范。</explain>
      <paraID> 54FE16F</paraID>
      <start>32</start>
      <end>38</end>
      <status>modified</status>
      <modifiedWord>“揭榜挂帅”</modifiedWord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589ae244-c2c7-4979-a2e9-fe364fa6a9c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1165</Words>
  <Characters>1208</Characters>
  <Lines>0</Lines>
  <Paragraphs>0</Paragraphs>
  <TotalTime>7</TotalTime>
  <ScaleCrop>false</ScaleCrop>
  <LinksUpToDate>false</LinksUpToDate>
  <CharactersWithSpaces>1294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2026-08-08T07:55:00Z</dcterms:created>
  <dc:creator>参赛团队（待填）</dc:creator>
  <cp:lastModifiedBy>参赛团队（待填）</cp:lastModifiedBy>
  <cp:lastPrinted>2026-08-30T02:18:00Z</cp:lastPrinted>
  <dcterms:modified xsi:type="dcterms:W3CDTF">2026-08-31T03:44:11Z</dcterms:modified>
  <dc:title>面向复杂介质动态地形的约束感知与反馈连续自主挖装系统</dc:title>
  <dc:subject>揭榜命题一：复杂介质工况自主挖掘</dc:subject>
  <dc:description>2026-09-14技术草稿；黄色内容待团队回填；指标须以冻结评价结果更新。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94C09D0334B84E9D96020427B4CA7283_13</vt:lpwstr>
  </property>
  <property fmtid="{D5CDD505-2E9C-101B-9397-08002B2CF9AE}" pid="4" name="KSOTemplateDocerSaveRecord">
    <vt:lpwstr>eyJoZGlkIjoiMDQ3MTJmM2I3NjhmMTc5YTA2OTYwNjk5MTQ5YTYzNGIiLCJ1c2VySWQiOiIxODIxNDg3Njk2In0=</vt:lpwstr>
  </property>
</Properties>
</file>