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80"/>
      </w:pPr>
      <w:r>
        <w:rPr>
          <w:b/>
          <w:color w:val="1F5C38"/>
          <w:sz w:val="20"/>
        </w:rPr>
        <w:t>FINAL YEAR PROJECT  ·  DEFENSE DOSSIER</w:t>
      </w:r>
    </w:p>
    <w:p>
      <w:pPr>
        <w:spacing w:after="120"/>
      </w:pPr>
      <w:r>
        <w:rPr>
          <w:b/>
          <w:color w:val="1A1A1A"/>
          <w:sz w:val="68"/>
        </w:rPr>
        <w:t>CropSense AI</w:t>
      </w:r>
    </w:p>
    <w:p>
      <w:pPr>
        <w:spacing w:after="400"/>
      </w:pPr>
      <w:r>
        <w:rPr>
          <w:color w:val="555F58"/>
          <w:sz w:val="30"/>
        </w:rPr>
        <w:t>Crop Disease Detection System</w:t>
      </w:r>
    </w:p>
    <w:p>
      <w:pPr>
        <w:spacing w:after="520"/>
      </w:pPr>
      <w:r>
        <w:rPr>
          <w:color w:val="3A443C"/>
          <w:sz w:val="22"/>
        </w:rPr>
        <w:t>A leaf photo goes in; a ranked disease hypothesis, a confidence band, a Grad-CAM heatmap and bilingual crop-care guidance come out — across three clients, one FastAPI service and one EfficientNetB2 model. This document is the complete walkthrough of how the system is built, why each decision was made, and where it is honestly weak.</w:t>
      </w:r>
    </w:p>
    <w:tbl>
      <w:tblPr>
        <w:tblStyle w:val="TableGrid"/>
        <w:jc w:val="left"/>
        <w:tblLook w:firstColumn="1" w:firstRow="1" w:lastColumn="0" w:lastRow="0" w:noHBand="0" w:noVBand="1" w:val="04A0"/>
        <w:tblLayout w:type="fixed"/>
        <w:tblW w:w="9000" w:type="dxa"/>
      </w:tblPr>
      <w:tblGrid>
        <w:gridCol w:w="2160"/>
        <w:gridCol w:w="6840"/>
      </w:tblGrid>
      <w:tr>
        <w:tc>
          <w:tcPr>
            <w:tcW w:type="dxa" w:w="2160"/>
          </w:tcPr>
          <w:p>
            <w:pPr>
              <w:spacing w:after="20" w:before="20"/>
            </w:pPr>
            <w:r>
              <w:rPr>
                <w:sz w:val="18"/>
              </w:rPr>
              <w:t>Classes</w:t>
            </w:r>
          </w:p>
        </w:tc>
        <w:tc>
          <w:tcPr>
            <w:tcW w:type="dxa" w:w="6840"/>
          </w:tcPr>
          <w:p>
            <w:pPr>
              <w:spacing w:after="20" w:before="20"/>
            </w:pPr>
            <w:r>
              <w:rPr>
                <w:sz w:val="18"/>
              </w:rPr>
              <w:t>52 — 51 disease/healthy + 1 Unknown catch-all</w:t>
            </w:r>
          </w:p>
        </w:tc>
      </w:tr>
      <w:tr>
        <w:tc>
          <w:tcPr>
            <w:tcW w:type="dxa" w:w="2160"/>
          </w:tcPr>
          <w:p>
            <w:pPr>
              <w:spacing w:after="20" w:before="20"/>
            </w:pPr>
            <w:r>
              <w:rPr>
                <w:sz w:val="18"/>
              </w:rPr>
              <w:t>Crops covered</w:t>
            </w:r>
          </w:p>
        </w:tc>
        <w:tc>
          <w:tcPr>
            <w:tcW w:type="dxa" w:w="6840"/>
          </w:tcPr>
          <w:p>
            <w:pPr>
              <w:spacing w:after="20" w:before="20"/>
            </w:pPr>
            <w:r>
              <w:rPr>
                <w:sz w:val="18"/>
              </w:rPr>
              <w:t>10 — Apple, Banana, Citrus, Cucumber, Grape, Maize, Mango, Potato, Rice, Tomato</w:t>
            </w:r>
          </w:p>
        </w:tc>
      </w:tr>
      <w:tr>
        <w:tc>
          <w:tcPr>
            <w:tcW w:type="dxa" w:w="2160"/>
          </w:tcPr>
          <w:p>
            <w:pPr>
              <w:spacing w:after="20" w:before="20"/>
            </w:pPr>
            <w:r>
              <w:rPr>
                <w:sz w:val="18"/>
              </w:rPr>
              <w:t>Lab training images</w:t>
            </w:r>
          </w:p>
        </w:tc>
        <w:tc>
          <w:tcPr>
            <w:tcW w:type="dxa" w:w="6840"/>
          </w:tcPr>
          <w:p>
            <w:pPr>
              <w:spacing w:after="20" w:before="20"/>
            </w:pPr>
            <w:r>
              <w:rPr>
                <w:sz w:val="18"/>
              </w:rPr>
              <w:t>38,348 across 51 classes</w:t>
            </w:r>
          </w:p>
        </w:tc>
      </w:tr>
      <w:tr>
        <w:tc>
          <w:tcPr>
            <w:tcW w:type="dxa" w:w="2160"/>
          </w:tcPr>
          <w:p>
            <w:pPr>
              <w:spacing w:after="20" w:before="20"/>
            </w:pPr>
            <w:r>
              <w:rPr>
                <w:sz w:val="18"/>
              </w:rPr>
              <w:t>Real field images</w:t>
            </w:r>
          </w:p>
        </w:tc>
        <w:tc>
          <w:tcPr>
            <w:tcW w:type="dxa" w:w="6840"/>
          </w:tcPr>
          <w:p>
            <w:pPr>
              <w:spacing w:after="20" w:before="20"/>
            </w:pPr>
            <w:r>
              <w:rPr>
                <w:sz w:val="18"/>
              </w:rPr>
              <w:t>1,593 across 51 classes</w:t>
            </w:r>
          </w:p>
        </w:tc>
      </w:tr>
      <w:tr>
        <w:tc>
          <w:tcPr>
            <w:tcW w:type="dxa" w:w="2160"/>
          </w:tcPr>
          <w:p>
            <w:pPr>
              <w:spacing w:after="20" w:before="20"/>
            </w:pPr>
            <w:r>
              <w:rPr>
                <w:sz w:val="18"/>
              </w:rPr>
              <w:t>Backbone</w:t>
            </w:r>
          </w:p>
        </w:tc>
        <w:tc>
          <w:tcPr>
            <w:tcW w:type="dxa" w:w="6840"/>
          </w:tcPr>
          <w:p>
            <w:pPr>
              <w:spacing w:after="20" w:before="20"/>
            </w:pPr>
            <w:r>
              <w:rPr>
                <w:sz w:val="18"/>
              </w:rPr>
              <w:t>EfficientNetB2 (ImageNet-pretrained), 224 × 224 × 3</w:t>
            </w:r>
          </w:p>
        </w:tc>
      </w:tr>
      <w:tr>
        <w:tc>
          <w:tcPr>
            <w:tcW w:type="dxa" w:w="2160"/>
          </w:tcPr>
          <w:p>
            <w:pPr>
              <w:spacing w:after="20" w:before="20"/>
            </w:pPr>
            <w:r>
              <w:rPr>
                <w:sz w:val="18"/>
              </w:rPr>
              <w:t>Clients</w:t>
            </w:r>
          </w:p>
        </w:tc>
        <w:tc>
          <w:tcPr>
            <w:tcW w:type="dxa" w:w="6840"/>
          </w:tcPr>
          <w:p>
            <w:pPr>
              <w:spacing w:after="20" w:before="20"/>
            </w:pPr>
            <w:r>
              <w:rPr>
                <w:sz w:val="18"/>
              </w:rPr>
              <w:t>React web app · React Native (Expo) mobile app · direct REST API</w:t>
            </w:r>
          </w:p>
        </w:tc>
      </w:tr>
      <w:tr>
        <w:tc>
          <w:tcPr>
            <w:tcW w:type="dxa" w:w="2160"/>
          </w:tcPr>
          <w:p>
            <w:pPr>
              <w:spacing w:after="20" w:before="20"/>
            </w:pPr>
            <w:r>
              <w:rPr>
                <w:sz w:val="18"/>
              </w:rPr>
              <w:t>Stack</w:t>
            </w:r>
          </w:p>
        </w:tc>
        <w:tc>
          <w:tcPr>
            <w:tcW w:type="dxa" w:w="6840"/>
          </w:tcPr>
          <w:p>
            <w:pPr>
              <w:spacing w:after="20" w:before="20"/>
            </w:pPr>
            <w:r>
              <w:rPr>
                <w:sz w:val="18"/>
              </w:rPr>
              <w:t>FastAPI · TensorFlow 2.21 · PostgreSQL 16 · Docker Compose</w:t>
            </w:r>
          </w:p>
        </w:tc>
      </w:tr>
      <w:tr>
        <w:tc>
          <w:tcPr>
            <w:tcW w:type="dxa" w:w="2160"/>
          </w:tcPr>
          <w:p>
            <w:pPr>
              <w:spacing w:after="20" w:before="20"/>
            </w:pPr>
            <w:r>
              <w:rPr>
                <w:sz w:val="18"/>
              </w:rPr>
              <w:t>Source</w:t>
            </w:r>
          </w:p>
        </w:tc>
        <w:tc>
          <w:tcPr>
            <w:tcW w:type="dxa" w:w="6840"/>
          </w:tcPr>
          <w:p>
            <w:pPr>
              <w:spacing w:after="20" w:before="20"/>
            </w:pPr>
            <w:r>
              <w:rPr>
                <w:sz w:val="18"/>
              </w:rPr>
              <w:t>Repository branch main, commit 79c0e33 — deployed live on Hugging Face Spaces and Vercel</w:t>
            </w:r>
          </w:p>
        </w:tc>
      </w:tr>
    </w:tbl>
    <w:p>
      <w:pPr>
        <w:spacing w:after="120"/>
      </w:pPr>
    </w:p>
    <w:p>
      <w:pPr>
        <w:spacing w:before="320"/>
      </w:pPr>
      <w:r>
        <w:rPr>
          <w:i/>
          <w:color w:val="555F58"/>
          <w:sz w:val="18"/>
        </w:rPr>
        <w:t>Every figure, threshold, hyperparameter and file path in this document was read from the source code rather than reconstructed from the README. Where the README and the code disagree, the code is reported.</w:t>
      </w:r>
    </w:p>
    <w:p>
      <w:r>
        <w:br w:type="page"/>
      </w:r>
    </w:p>
    <w:p>
      <w:pPr>
        <w:pStyle w:val="Heading1"/>
      </w:pPr>
      <w:r>
        <w:t>Contents</w:t>
      </w:r>
    </w:p>
    <w:p>
      <w:fldSimple w:instr="TOC \o &quot;1-2&quot; \h \z \u">
        <w:r>
          <w:t>Right-click here and choose “Update Field” to build the table of contents.</w:t>
        </w:r>
      </w:fldSimple>
    </w:p>
    <w:p>
      <w:r>
        <w:br w:type="page"/>
      </w:r>
    </w:p>
    <w:p>
      <w:pPr>
        <w:pStyle w:val="Heading1"/>
      </w:pPr>
      <w:r>
        <w:t>1.  What the system does</w:t>
      </w:r>
    </w:p>
    <w:p>
      <w:r>
        <w:t xml:space="preserve">A farmer photographs a diseased leaf. Within a few seconds the system answers three questions: </w:t>
      </w:r>
      <w:r>
        <w:rPr>
          <w:b/>
        </w:rPr>
        <w:t>what is probably wrong</w:t>
      </w:r>
      <w:r>
        <w:t xml:space="preserve">, </w:t>
      </w:r>
      <w:r>
        <w:rPr>
          <w:b/>
        </w:rPr>
        <w:t>how sure is it</w:t>
      </w:r>
      <w:r>
        <w:t xml:space="preserve">, and </w:t>
      </w:r>
      <w:r>
        <w:rPr>
          <w:b/>
        </w:rPr>
        <w:t>what should I do about it</w:t>
      </w:r>
      <w:r>
        <w:t xml:space="preserve"> — in English or Nepali, with a visual explanation of where the model was looking.</w:t>
      </w:r>
    </w:p>
    <w:p>
      <w:r>
        <w:t xml:space="preserve">The framing throughout the product is deliberate. Every result is labelled a </w:t>
      </w:r>
      <w:r>
        <w:rPr>
          <w:b/>
        </w:rPr>
        <w:t>possible match</w:t>
      </w:r>
      <w:r>
        <w:t>, never a diagnosis. Confidence is surfaced as a band (High / Moderate / Uncertain) rather than a bare percentage, and every treatment recommendation carries a disclaimer telling the user to confirm dose, pre-harvest interval and local registration with an agrovet before spraying. This is a decision-support tool, not an oracle.</w:t>
      </w:r>
    </w:p>
    <w:p>
      <w:pPr>
        <w:pStyle w:val="Heading2"/>
      </w:pPr>
      <w:r>
        <w:t>1.1  Scope</w:t>
      </w:r>
    </w:p>
    <w:p>
      <w:r>
        <w:t xml:space="preserve">The model covers </w:t>
      </w:r>
      <w:r>
        <w:rPr>
          <w:b/>
        </w:rPr>
        <w:t>10 crops</w:t>
      </w:r>
      <w:r>
        <w:t xml:space="preserve"> and </w:t>
      </w:r>
      <w:r>
        <w:rPr>
          <w:b/>
        </w:rPr>
        <w:t>51 disease-or-healthy classes</w:t>
      </w:r>
      <w:r>
        <w:t xml:space="preserve">, plus one deliberate 52nd class — </w:t>
      </w:r>
      <w:r>
        <w:rPr>
          <w:rFonts w:ascii="Consolas" w:hAnsi="Consolas"/>
          <w:color w:val="33443A"/>
          <w:sz w:val="19"/>
        </w:rPr>
        <w:t>Unknown___Unknown</w:t>
      </w:r>
      <w:r>
        <w:t xml:space="preserve"> — that exists to absorb leaves the model was never trained on.</w:t>
      </w:r>
    </w:p>
    <w:tbl>
      <w:tblPr>
        <w:tblStyle w:val="TableGrid"/>
        <w:jc w:val="left"/>
        <w:tblLook w:firstColumn="1" w:firstRow="1" w:lastColumn="0" w:lastRow="0" w:noHBand="0" w:noVBand="1" w:val="04A0"/>
        <w:tblLayout w:type="fixed"/>
        <w:tblW w:w="9000" w:type="dxa"/>
      </w:tblPr>
      <w:tblGrid>
        <w:gridCol w:w="1584"/>
        <w:gridCol w:w="1007"/>
        <w:gridCol w:w="6408"/>
      </w:tblGrid>
      <w:tr>
        <w:tc>
          <w:tcPr>
            <w:tcW w:type="dxa" w:w="1584"/>
            <w:shd w:val="clear" w:color="auto" w:fill="E8EDE6"/>
          </w:tcPr>
          <w:p>
            <w:pPr>
              <w:spacing w:after="20" w:before="20"/>
            </w:pPr>
            <w:r>
              <w:rPr>
                <w:b/>
                <w:color w:val="333D36"/>
                <w:sz w:val="18"/>
              </w:rPr>
              <w:t>Crop</w:t>
            </w:r>
          </w:p>
        </w:tc>
        <w:tc>
          <w:tcPr>
            <w:tcW w:type="dxa" w:w="1008"/>
            <w:shd w:val="clear" w:color="auto" w:fill="E8EDE6"/>
          </w:tcPr>
          <w:p>
            <w:pPr>
              <w:spacing w:after="20" w:before="20"/>
            </w:pPr>
            <w:r>
              <w:rPr>
                <w:b/>
                <w:color w:val="333D36"/>
                <w:sz w:val="18"/>
              </w:rPr>
              <w:t>Classes</w:t>
            </w:r>
          </w:p>
        </w:tc>
        <w:tc>
          <w:tcPr>
            <w:tcW w:type="dxa" w:w="6408"/>
            <w:shd w:val="clear" w:color="auto" w:fill="E8EDE6"/>
          </w:tcPr>
          <w:p>
            <w:pPr>
              <w:spacing w:after="20" w:before="20"/>
            </w:pPr>
            <w:r>
              <w:rPr>
                <w:b/>
                <w:color w:val="333D36"/>
                <w:sz w:val="18"/>
              </w:rPr>
              <w:t>Conditions covered</w:t>
            </w:r>
          </w:p>
        </w:tc>
      </w:tr>
      <w:tr>
        <w:tc>
          <w:tcPr>
            <w:tcW w:type="dxa" w:w="1584"/>
          </w:tcPr>
          <w:p>
            <w:pPr>
              <w:spacing w:after="20" w:before="20"/>
            </w:pPr>
            <w:r>
              <w:rPr>
                <w:sz w:val="18"/>
              </w:rPr>
              <w:t>Apple</w:t>
            </w:r>
          </w:p>
        </w:tc>
        <w:tc>
          <w:tcPr>
            <w:tcW w:type="dxa" w:w="1008"/>
          </w:tcPr>
          <w:p>
            <w:pPr>
              <w:spacing w:after="20" w:before="20"/>
            </w:pPr>
            <w:r>
              <w:rPr>
                <w:sz w:val="18"/>
              </w:rPr>
              <w:t>4</w:t>
            </w:r>
          </w:p>
        </w:tc>
        <w:tc>
          <w:tcPr>
            <w:tcW w:type="dxa" w:w="6408"/>
          </w:tcPr>
          <w:p>
            <w:pPr>
              <w:spacing w:after="20" w:before="20"/>
            </w:pPr>
            <w:r>
              <w:rPr>
                <w:sz w:val="18"/>
              </w:rPr>
              <w:t>Black Rot, Cedar Rust, Scab, Healthy</w:t>
            </w:r>
          </w:p>
        </w:tc>
      </w:tr>
      <w:tr>
        <w:tc>
          <w:tcPr>
            <w:tcW w:type="dxa" w:w="1584"/>
          </w:tcPr>
          <w:p>
            <w:pPr>
              <w:spacing w:after="20" w:before="20"/>
            </w:pPr>
            <w:r>
              <w:rPr>
                <w:sz w:val="18"/>
              </w:rPr>
              <w:t>Banana</w:t>
            </w:r>
          </w:p>
        </w:tc>
        <w:tc>
          <w:tcPr>
            <w:tcW w:type="dxa" w:w="1008"/>
          </w:tcPr>
          <w:p>
            <w:pPr>
              <w:spacing w:after="20" w:before="20"/>
            </w:pPr>
            <w:r>
              <w:rPr>
                <w:sz w:val="18"/>
              </w:rPr>
              <w:t>7</w:t>
            </w:r>
          </w:p>
        </w:tc>
        <w:tc>
          <w:tcPr>
            <w:tcW w:type="dxa" w:w="6408"/>
          </w:tcPr>
          <w:p>
            <w:pPr>
              <w:spacing w:after="20" w:before="20"/>
            </w:pPr>
            <w:r>
              <w:rPr>
                <w:sz w:val="18"/>
              </w:rPr>
              <w:t>Black Sigatoka, Yellow Sigatoka, Bract Mosaic Virus, Insect Pest, Moko, Panama, Healthy</w:t>
            </w:r>
          </w:p>
        </w:tc>
      </w:tr>
      <w:tr>
        <w:tc>
          <w:tcPr>
            <w:tcW w:type="dxa" w:w="1584"/>
          </w:tcPr>
          <w:p>
            <w:pPr>
              <w:spacing w:after="20" w:before="20"/>
            </w:pPr>
            <w:r>
              <w:rPr>
                <w:sz w:val="18"/>
              </w:rPr>
              <w:t>Citrus</w:t>
            </w:r>
          </w:p>
        </w:tc>
        <w:tc>
          <w:tcPr>
            <w:tcW w:type="dxa" w:w="1008"/>
          </w:tcPr>
          <w:p>
            <w:pPr>
              <w:spacing w:after="20" w:before="20"/>
            </w:pPr>
            <w:r>
              <w:rPr>
                <w:sz w:val="18"/>
              </w:rPr>
              <w:t>3</w:t>
            </w:r>
          </w:p>
        </w:tc>
        <w:tc>
          <w:tcPr>
            <w:tcW w:type="dxa" w:w="6408"/>
          </w:tcPr>
          <w:p>
            <w:pPr>
              <w:spacing w:after="20" w:before="20"/>
            </w:pPr>
            <w:r>
              <w:rPr>
                <w:sz w:val="18"/>
              </w:rPr>
              <w:t>Canker, Greening, Healthy</w:t>
            </w:r>
          </w:p>
        </w:tc>
      </w:tr>
      <w:tr>
        <w:tc>
          <w:tcPr>
            <w:tcW w:type="dxa" w:w="1584"/>
          </w:tcPr>
          <w:p>
            <w:pPr>
              <w:spacing w:after="20" w:before="20"/>
            </w:pPr>
            <w:r>
              <w:rPr>
                <w:sz w:val="18"/>
              </w:rPr>
              <w:t>Cucumber</w:t>
            </w:r>
          </w:p>
        </w:tc>
        <w:tc>
          <w:tcPr>
            <w:tcW w:type="dxa" w:w="1008"/>
          </w:tcPr>
          <w:p>
            <w:pPr>
              <w:spacing w:after="20" w:before="20"/>
            </w:pPr>
            <w:r>
              <w:rPr>
                <w:sz w:val="18"/>
              </w:rPr>
              <w:t>3</w:t>
            </w:r>
          </w:p>
        </w:tc>
        <w:tc>
          <w:tcPr>
            <w:tcW w:type="dxa" w:w="6408"/>
          </w:tcPr>
          <w:p>
            <w:pPr>
              <w:spacing w:after="20" w:before="20"/>
            </w:pPr>
            <w:r>
              <w:rPr>
                <w:sz w:val="18"/>
              </w:rPr>
              <w:t>Downy Mildew, Powdery Mildew, Healthy</w:t>
            </w:r>
          </w:p>
        </w:tc>
      </w:tr>
      <w:tr>
        <w:tc>
          <w:tcPr>
            <w:tcW w:type="dxa" w:w="1584"/>
          </w:tcPr>
          <w:p>
            <w:pPr>
              <w:spacing w:after="20" w:before="20"/>
            </w:pPr>
            <w:r>
              <w:rPr>
                <w:sz w:val="18"/>
              </w:rPr>
              <w:t>Grape</w:t>
            </w:r>
          </w:p>
        </w:tc>
        <w:tc>
          <w:tcPr>
            <w:tcW w:type="dxa" w:w="1008"/>
          </w:tcPr>
          <w:p>
            <w:pPr>
              <w:spacing w:after="20" w:before="20"/>
            </w:pPr>
            <w:r>
              <w:rPr>
                <w:sz w:val="18"/>
              </w:rPr>
              <w:t>4</w:t>
            </w:r>
          </w:p>
        </w:tc>
        <w:tc>
          <w:tcPr>
            <w:tcW w:type="dxa" w:w="6408"/>
          </w:tcPr>
          <w:p>
            <w:pPr>
              <w:spacing w:after="20" w:before="20"/>
            </w:pPr>
            <w:r>
              <w:rPr>
                <w:sz w:val="18"/>
              </w:rPr>
              <w:t>Black Measles, Black Rot, Leaf Blight, Healthy</w:t>
            </w:r>
          </w:p>
        </w:tc>
      </w:tr>
      <w:tr>
        <w:tc>
          <w:tcPr>
            <w:tcW w:type="dxa" w:w="1584"/>
          </w:tcPr>
          <w:p>
            <w:pPr>
              <w:spacing w:after="20" w:before="20"/>
            </w:pPr>
            <w:r>
              <w:rPr>
                <w:sz w:val="18"/>
              </w:rPr>
              <w:t>Maize</w:t>
            </w:r>
          </w:p>
        </w:tc>
        <w:tc>
          <w:tcPr>
            <w:tcW w:type="dxa" w:w="1008"/>
          </w:tcPr>
          <w:p>
            <w:pPr>
              <w:spacing w:after="20" w:before="20"/>
            </w:pPr>
            <w:r>
              <w:rPr>
                <w:sz w:val="18"/>
              </w:rPr>
              <w:t>3</w:t>
            </w:r>
          </w:p>
        </w:tc>
        <w:tc>
          <w:tcPr>
            <w:tcW w:type="dxa" w:w="6408"/>
          </w:tcPr>
          <w:p>
            <w:pPr>
              <w:spacing w:after="20" w:before="20"/>
            </w:pPr>
            <w:r>
              <w:rPr>
                <w:sz w:val="18"/>
              </w:rPr>
              <w:t>Common Rust, Northern Leaf Blight, Healthy</w:t>
            </w:r>
          </w:p>
        </w:tc>
      </w:tr>
      <w:tr>
        <w:tc>
          <w:tcPr>
            <w:tcW w:type="dxa" w:w="1584"/>
          </w:tcPr>
          <w:p>
            <w:pPr>
              <w:spacing w:after="20" w:before="20"/>
            </w:pPr>
            <w:r>
              <w:rPr>
                <w:sz w:val="18"/>
              </w:rPr>
              <w:t>Mango</w:t>
            </w:r>
          </w:p>
        </w:tc>
        <w:tc>
          <w:tcPr>
            <w:tcW w:type="dxa" w:w="1008"/>
          </w:tcPr>
          <w:p>
            <w:pPr>
              <w:spacing w:after="20" w:before="20"/>
            </w:pPr>
            <w:r>
              <w:rPr>
                <w:sz w:val="18"/>
              </w:rPr>
              <w:t>8</w:t>
            </w:r>
          </w:p>
        </w:tc>
        <w:tc>
          <w:tcPr>
            <w:tcW w:type="dxa" w:w="6408"/>
          </w:tcPr>
          <w:p>
            <w:pPr>
              <w:spacing w:after="20" w:before="20"/>
            </w:pPr>
            <w:r>
              <w:rPr>
                <w:sz w:val="18"/>
              </w:rPr>
              <w:t>Anthracnose, Bacterial Canker, Cutting Weevil, Die Back, Gall Midge, Powdery Mildew, Sooty Mould, Healthy</w:t>
            </w:r>
          </w:p>
        </w:tc>
      </w:tr>
      <w:tr>
        <w:tc>
          <w:tcPr>
            <w:tcW w:type="dxa" w:w="1584"/>
          </w:tcPr>
          <w:p>
            <w:pPr>
              <w:spacing w:after="20" w:before="20"/>
            </w:pPr>
            <w:r>
              <w:rPr>
                <w:sz w:val="18"/>
              </w:rPr>
              <w:t>Potato</w:t>
            </w:r>
          </w:p>
        </w:tc>
        <w:tc>
          <w:tcPr>
            <w:tcW w:type="dxa" w:w="1008"/>
          </w:tcPr>
          <w:p>
            <w:pPr>
              <w:spacing w:after="20" w:before="20"/>
            </w:pPr>
            <w:r>
              <w:rPr>
                <w:sz w:val="18"/>
              </w:rPr>
              <w:t>3</w:t>
            </w:r>
          </w:p>
        </w:tc>
        <w:tc>
          <w:tcPr>
            <w:tcW w:type="dxa" w:w="6408"/>
          </w:tcPr>
          <w:p>
            <w:pPr>
              <w:spacing w:after="20" w:before="20"/>
            </w:pPr>
            <w:r>
              <w:rPr>
                <w:sz w:val="18"/>
              </w:rPr>
              <w:t>Early Blight, Late Blight, Healthy</w:t>
            </w:r>
          </w:p>
        </w:tc>
      </w:tr>
      <w:tr>
        <w:tc>
          <w:tcPr>
            <w:tcW w:type="dxa" w:w="1584"/>
          </w:tcPr>
          <w:p>
            <w:pPr>
              <w:spacing w:after="20" w:before="20"/>
            </w:pPr>
            <w:r>
              <w:rPr>
                <w:sz w:val="18"/>
              </w:rPr>
              <w:t>Rice</w:t>
            </w:r>
          </w:p>
        </w:tc>
        <w:tc>
          <w:tcPr>
            <w:tcW w:type="dxa" w:w="1008"/>
          </w:tcPr>
          <w:p>
            <w:pPr>
              <w:spacing w:after="20" w:before="20"/>
            </w:pPr>
            <w:r>
              <w:rPr>
                <w:sz w:val="18"/>
              </w:rPr>
              <w:t>6</w:t>
            </w:r>
          </w:p>
        </w:tc>
        <w:tc>
          <w:tcPr>
            <w:tcW w:type="dxa" w:w="6408"/>
          </w:tcPr>
          <w:p>
            <w:pPr>
              <w:spacing w:after="20" w:before="20"/>
            </w:pPr>
            <w:r>
              <w:rPr>
                <w:sz w:val="18"/>
              </w:rPr>
              <w:t>Bacterial Leaf Blight, Brown Spot, Leaf Blast, Leaf Scald, Leaf Smut, Narrow Brown Spot</w:t>
            </w:r>
          </w:p>
        </w:tc>
      </w:tr>
      <w:tr>
        <w:tc>
          <w:tcPr>
            <w:tcW w:type="dxa" w:w="1584"/>
          </w:tcPr>
          <w:p>
            <w:pPr>
              <w:spacing w:after="20" w:before="20"/>
            </w:pPr>
            <w:r>
              <w:rPr>
                <w:sz w:val="18"/>
              </w:rPr>
              <w:t>Tomato</w:t>
            </w:r>
          </w:p>
        </w:tc>
        <w:tc>
          <w:tcPr>
            <w:tcW w:type="dxa" w:w="1008"/>
          </w:tcPr>
          <w:p>
            <w:pPr>
              <w:spacing w:after="20" w:before="20"/>
            </w:pPr>
            <w:r>
              <w:rPr>
                <w:sz w:val="18"/>
              </w:rPr>
              <w:t>10</w:t>
            </w:r>
          </w:p>
        </w:tc>
        <w:tc>
          <w:tcPr>
            <w:tcW w:type="dxa" w:w="6408"/>
          </w:tcPr>
          <w:p>
            <w:pPr>
              <w:spacing w:after="20" w:before="20"/>
            </w:pPr>
            <w:r>
              <w:rPr>
                <w:sz w:val="18"/>
              </w:rPr>
              <w:t>Bacterial Spot, Early Blight, Late Blight, Leaf Mold, Mosaic Virus, Septoria Leaf Spot, Spider Mites, Target Spot, Yellow Leaf Curl Virus, Healthy</w:t>
            </w:r>
          </w:p>
        </w:tc>
      </w:tr>
      <w:tr>
        <w:tc>
          <w:tcPr>
            <w:tcW w:type="dxa" w:w="1584"/>
          </w:tcPr>
          <w:p>
            <w:pPr>
              <w:spacing w:after="20" w:before="20"/>
            </w:pPr>
            <w:r>
              <w:rPr>
                <w:sz w:val="18"/>
              </w:rPr>
              <w:t>— (catch-all)</w:t>
            </w:r>
          </w:p>
        </w:tc>
        <w:tc>
          <w:tcPr>
            <w:tcW w:type="dxa" w:w="1008"/>
          </w:tcPr>
          <w:p>
            <w:pPr>
              <w:spacing w:after="20" w:before="20"/>
            </w:pPr>
            <w:r>
              <w:rPr>
                <w:sz w:val="18"/>
              </w:rPr>
              <w:t>1</w:t>
            </w:r>
          </w:p>
        </w:tc>
        <w:tc>
          <w:tcPr>
            <w:tcW w:type="dxa" w:w="6408"/>
          </w:tcPr>
          <w:p>
            <w:pPr>
              <w:spacing w:after="20" w:before="20"/>
            </w:pPr>
            <w:r>
              <w:rPr>
                <w:sz w:val="18"/>
              </w:rPr>
              <w:t>Unknown___Unknown</w:t>
            </w:r>
          </w:p>
        </w:tc>
      </w:tr>
    </w:tbl>
    <w:p>
      <w:pPr>
        <w:spacing w:before="40" w:after="200"/>
      </w:pPr>
      <w:r>
        <w:rPr>
          <w:i/>
          <w:color w:val="555F58"/>
          <w:sz w:val="17"/>
        </w:rPr>
        <w:t>Class distribution by crop, from backend/class_names.json. Rice is the only crop with no Healthy class.</w:t>
      </w:r>
    </w:p>
    <w:p>
      <w:r>
        <w:t xml:space="preserve">Labels use a strict </w:t>
      </w:r>
      <w:r>
        <w:rPr>
          <w:rFonts w:ascii="Consolas" w:hAnsi="Consolas"/>
          <w:color w:val="33443A"/>
          <w:sz w:val="19"/>
        </w:rPr>
        <w:t>Crop__Disease</w:t>
      </w:r>
      <w:r>
        <w:t xml:space="preserve"> convention. The backend derives the supported-crop list by splitting on </w:t>
      </w:r>
      <w:r>
        <w:rPr>
          <w:rFonts w:ascii="Consolas" w:hAnsi="Consolas"/>
          <w:color w:val="33443A"/>
          <w:sz w:val="19"/>
        </w:rPr>
        <w:t>__</w:t>
      </w:r>
      <w:r>
        <w:t xml:space="preserve"> at startup, so the user-facing message “this crop is not covered” can never drift out of sync with what the model was actually trained on.</w:t>
      </w:r>
    </w:p>
    <w:p>
      <w:pPr>
        <w:pStyle w:val="Heading1"/>
      </w:pPr>
      <w:r>
        <w:t>2.  System architecture</w:t>
      </w:r>
    </w:p>
    <w:p>
      <w:r>
        <w:t xml:space="preserve">Three clients, one service. The web app, the mobile app and any direct API consumer all hit the same </w:t>
      </w:r>
      <w:r>
        <w:rPr>
          <w:rFonts w:ascii="Consolas" w:hAnsi="Consolas"/>
          <w:color w:val="33443A"/>
          <w:sz w:val="19"/>
        </w:rPr>
        <w:t>POST /predict</w:t>
      </w:r>
      <w:r>
        <w:t xml:space="preserve"> endpoint with the same multipart payload and get back the same JSON. There is no duplicated inference logic anywhere — a change to the confidence thresholds changes all three clients at once.</w:t>
      </w:r>
    </w:p>
    <w:p>
      <w:pPr>
        <w:spacing w:before="160" w:after="60"/>
        <w:jc w:val="center"/>
      </w:pPr>
      <w:r>
        <w:drawing>
          <wp:inline xmlns:a="http://schemas.openxmlformats.org/drawingml/2006/main" xmlns:pic="http://schemas.openxmlformats.org/drawingml/2006/picture">
            <wp:extent cx="5577840" cy="285665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77840" cy="2856651"/>
                    </a:xfrm>
                    <a:prstGeom prst="rect"/>
                  </pic:spPr>
                </pic:pic>
              </a:graphicData>
            </a:graphic>
          </wp:inline>
        </w:drawing>
      </w:r>
    </w:p>
    <w:p>
      <w:pPr>
        <w:spacing w:after="240"/>
        <w:jc w:val="center"/>
      </w:pPr>
      <w:r>
        <w:rPr>
          <w:i/>
          <w:color w:val="555F58"/>
          <w:sz w:val="17"/>
        </w:rPr>
        <w:t>Figure 1 — System architecture. Solid arrows are the required path; dashed arrows are optional. The database sits on a dashed edge deliberately: init_db() failure is caught and logged at startup, so a missing Postgres degrades the app to “no accounts” rather than taking prediction down.</w:t>
      </w:r>
    </w:p>
    <w:p>
      <w:pPr>
        <w:pStyle w:val="Heading2"/>
      </w:pPr>
      <w:r>
        <w:t>2.1  Why the database is not on the critical path</w:t>
      </w:r>
    </w:p>
    <w:p>
      <w:r>
        <w:t>Accounts are required by both clients, but the inference path deliberately is not coupled to them. /predict takes an OPTIONAL bearer token (HTTPBearer(auto_error=False)): with one the result is written to that user’s history, without one the diagnosis is still produced and simply not stored. Saving is wrapped in try/except, and init_db() failure at startup is caught and logged. The consequence is that a database outage, an expired token or a slow cold start can degrade the product to “no history”, never to “no diagnosis” — which is the property worth defending. The sign-in requirement itself lives in the clients.</w:t>
      </w:r>
    </w:p>
    <w:p>
      <w:pPr>
        <w:pStyle w:val="Heading2"/>
      </w:pPr>
      <w:r>
        <w:t>2.2  Repository layout</w:t>
      </w:r>
    </w:p>
    <w:tbl>
      <w:tblPr>
        <w:tblStyle w:val="TableGrid"/>
        <w:jc w:val="left"/>
        <w:tblLook w:firstColumn="1" w:firstRow="1" w:lastColumn="0" w:lastRow="0" w:noHBand="0" w:noVBand="1" w:val="04A0"/>
        <w:tblLayout w:type="fixed"/>
        <w:tblW w:w="9000" w:type="dxa"/>
      </w:tblPr>
      <w:tblGrid>
        <w:gridCol w:w="2160"/>
        <w:gridCol w:w="6840"/>
      </w:tblGrid>
      <w:tr>
        <w:tc>
          <w:tcPr>
            <w:tcW w:type="dxa" w:w="2160"/>
            <w:shd w:val="clear" w:color="auto" w:fill="E8EDE6"/>
          </w:tcPr>
          <w:p>
            <w:pPr>
              <w:spacing w:after="20" w:before="20"/>
            </w:pPr>
            <w:r>
              <w:rPr>
                <w:b/>
                <w:color w:val="333D36"/>
                <w:sz w:val="18"/>
              </w:rPr>
              <w:t>Path</w:t>
            </w:r>
          </w:p>
        </w:tc>
        <w:tc>
          <w:tcPr>
            <w:tcW w:type="dxa" w:w="6840"/>
            <w:shd w:val="clear" w:color="auto" w:fill="E8EDE6"/>
          </w:tcPr>
          <w:p>
            <w:pPr>
              <w:spacing w:after="20" w:before="20"/>
            </w:pPr>
            <w:r>
              <w:rPr>
                <w:b/>
                <w:color w:val="333D36"/>
                <w:sz w:val="18"/>
              </w:rPr>
              <w:t>Contains</w:t>
            </w:r>
          </w:p>
        </w:tc>
      </w:tr>
      <w:tr>
        <w:tc>
          <w:tcPr>
            <w:tcW w:type="dxa" w:w="2160"/>
          </w:tcPr>
          <w:p>
            <w:pPr>
              <w:spacing w:after="20" w:before="20"/>
            </w:pPr>
            <w:r>
              <w:rPr>
                <w:rFonts w:ascii="Consolas" w:hAnsi="Consolas"/>
                <w:sz w:val="17"/>
              </w:rPr>
              <w:t>backend/</w:t>
            </w:r>
          </w:p>
        </w:tc>
        <w:tc>
          <w:tcPr>
            <w:tcW w:type="dxa" w:w="6840"/>
          </w:tcPr>
          <w:p>
            <w:pPr>
              <w:spacing w:after="20" w:before="20"/>
            </w:pPr>
            <w:r>
              <w:rPr>
                <w:sz w:val="18"/>
              </w:rPr>
              <w:t>main.py (814 lines — model load, /predict, Grad-CAM, auth routes), auth.py, db.py, the JSON knowledge base, and the model weight folders</w:t>
            </w:r>
          </w:p>
        </w:tc>
      </w:tr>
      <w:tr>
        <w:tc>
          <w:tcPr>
            <w:tcW w:type="dxa" w:w="2160"/>
          </w:tcPr>
          <w:p>
            <w:pPr>
              <w:spacing w:after="20" w:before="20"/>
            </w:pPr>
            <w:r>
              <w:rPr>
                <w:rFonts w:ascii="Consolas" w:hAnsi="Consolas"/>
                <w:sz w:val="17"/>
              </w:rPr>
              <w:t>frontend/</w:t>
            </w:r>
          </w:p>
        </w:tc>
        <w:tc>
          <w:tcPr>
            <w:tcW w:type="dxa" w:w="6840"/>
          </w:tcPr>
          <w:p>
            <w:pPr>
              <w:spacing w:after="20" w:before="20"/>
            </w:pPr>
            <w:r>
              <w:rPr>
                <w:sz w:val="18"/>
              </w:rPr>
              <w:t>React 19 SPA — 12 routes, 2 contexts, a normalization layer, CSS-Modules design system, Vitest suite</w:t>
            </w:r>
          </w:p>
        </w:tc>
      </w:tr>
      <w:tr>
        <w:tc>
          <w:tcPr>
            <w:tcW w:type="dxa" w:w="2160"/>
          </w:tcPr>
          <w:p>
            <w:pPr>
              <w:spacing w:after="20" w:before="20"/>
            </w:pPr>
            <w:r>
              <w:rPr>
                <w:rFonts w:ascii="Consolas" w:hAnsi="Consolas"/>
                <w:sz w:val="17"/>
              </w:rPr>
              <w:t>mobile/</w:t>
            </w:r>
          </w:p>
        </w:tc>
        <w:tc>
          <w:tcPr>
            <w:tcW w:type="dxa" w:w="6840"/>
          </w:tcPr>
          <w:p>
            <w:pPr>
              <w:spacing w:after="20" w:before="20"/>
            </w:pPr>
            <w:r>
              <w:rPr>
                <w:sz w:val="18"/>
              </w:rPr>
              <w:t>Expo / React Native client — camera capture, crop chips, EN/NP toggle, shared result view</w:t>
            </w:r>
          </w:p>
        </w:tc>
      </w:tr>
      <w:tr>
        <w:tc>
          <w:tcPr>
            <w:tcW w:type="dxa" w:w="2160"/>
          </w:tcPr>
          <w:p>
            <w:pPr>
              <w:spacing w:after="20" w:before="20"/>
            </w:pPr>
            <w:r>
              <w:rPr>
                <w:rFonts w:ascii="Consolas" w:hAnsi="Consolas"/>
                <w:sz w:val="17"/>
              </w:rPr>
              <w:t>scripts/</w:t>
            </w:r>
          </w:p>
        </w:tc>
        <w:tc>
          <w:tcPr>
            <w:tcW w:type="dxa" w:w="6840"/>
          </w:tcPr>
          <w:p>
            <w:pPr>
              <w:spacing w:after="20" w:before="20"/>
            </w:pPr>
            <w:r>
              <w:rPr>
                <w:sz w:val="18"/>
              </w:rPr>
              <w:t>Two Colab training notebooks (Kaggle and Google Drive variants) plus the field-data acquisition and cleaning pipeline</w:t>
            </w:r>
          </w:p>
        </w:tc>
      </w:tr>
      <w:tr>
        <w:tc>
          <w:tcPr>
            <w:tcW w:type="dxa" w:w="2160"/>
          </w:tcPr>
          <w:p>
            <w:pPr>
              <w:spacing w:after="20" w:before="20"/>
            </w:pPr>
            <w:r>
              <w:rPr>
                <w:rFonts w:ascii="Consolas" w:hAnsi="Consolas"/>
                <w:sz w:val="17"/>
              </w:rPr>
              <w:t>database/</w:t>
            </w:r>
          </w:p>
        </w:tc>
        <w:tc>
          <w:tcPr>
            <w:tcW w:type="dxa" w:w="6840"/>
          </w:tcPr>
          <w:p>
            <w:pPr>
              <w:spacing w:after="20" w:before="20"/>
            </w:pPr>
            <w:r>
              <w:rPr>
                <w:sz w:val="18"/>
              </w:rPr>
              <w:t>schema.sql — mirrors what init_db() creates</w:t>
            </w:r>
          </w:p>
        </w:tc>
      </w:tr>
      <w:tr>
        <w:tc>
          <w:tcPr>
            <w:tcW w:type="dxa" w:w="2160"/>
          </w:tcPr>
          <w:p>
            <w:pPr>
              <w:spacing w:after="20" w:before="20"/>
            </w:pPr>
            <w:r>
              <w:rPr>
                <w:rFonts w:ascii="Consolas" w:hAnsi="Consolas"/>
                <w:sz w:val="17"/>
              </w:rPr>
              <w:t>field_data/</w:t>
            </w:r>
          </w:p>
        </w:tc>
        <w:tc>
          <w:tcPr>
            <w:tcW w:type="dxa" w:w="6840"/>
          </w:tcPr>
          <w:p>
            <w:pPr>
              <w:spacing w:after="20" w:before="20"/>
            </w:pPr>
            <w:r>
              <w:rPr>
                <w:sz w:val="18"/>
              </w:rPr>
              <w:t>1,592 curated real-world field photos across 51 class folders</w:t>
            </w:r>
          </w:p>
        </w:tc>
      </w:tr>
      <w:tr>
        <w:tc>
          <w:tcPr>
            <w:tcW w:type="dxa" w:w="2160"/>
          </w:tcPr>
          <w:p>
            <w:pPr>
              <w:spacing w:after="20" w:before="20"/>
            </w:pPr>
            <w:r>
              <w:rPr>
                <w:rFonts w:ascii="Consolas" w:hAnsi="Consolas"/>
                <w:sz w:val="17"/>
              </w:rPr>
              <w:t>docker-compose.yml</w:t>
            </w:r>
          </w:p>
        </w:tc>
        <w:tc>
          <w:tcPr>
            <w:tcW w:type="dxa" w:w="6840"/>
          </w:tcPr>
          <w:p>
            <w:pPr>
              <w:spacing w:after="20" w:before="20"/>
            </w:pPr>
            <w:r>
              <w:rPr>
                <w:sz w:val="18"/>
              </w:rPr>
              <w:t>Four services: db, backend, frontend, adminer</w:t>
            </w:r>
          </w:p>
        </w:tc>
      </w:tr>
    </w:tbl>
    <w:p>
      <w:pPr>
        <w:spacing w:after="120"/>
      </w:pPr>
    </w:p>
    <w:p>
      <w:r>
        <w:br w:type="page"/>
      </w:r>
    </w:p>
    <w:p>
      <w:pPr>
        <w:pStyle w:val="Heading1"/>
      </w:pPr>
      <w:r>
        <w:t>3.  The data</w:t>
      </w:r>
    </w:p>
    <w:p>
      <w:r>
        <w:t>Three distinct data sources feed the model, and they exist for three different reasons. Understanding this split is the key to defending the whole training design.</w:t>
      </w:r>
    </w:p>
    <w:tbl>
      <w:tblPr>
        <w:tblStyle w:val="TableGrid"/>
        <w:jc w:val="left"/>
        <w:tblLook w:firstColumn="1" w:firstRow="1" w:lastColumn="0" w:lastRow="0" w:noHBand="0" w:noVBand="1" w:val="04A0"/>
        <w:tblLayout w:type="fixed"/>
        <w:tblW w:w="9000" w:type="dxa"/>
      </w:tblPr>
      <w:tblGrid>
        <w:gridCol w:w="2160"/>
        <w:gridCol w:w="1007"/>
        <w:gridCol w:w="3024"/>
        <w:gridCol w:w="2808"/>
      </w:tblGrid>
      <w:tr>
        <w:tc>
          <w:tcPr>
            <w:tcW w:type="dxa" w:w="2160"/>
            <w:shd w:val="clear" w:color="auto" w:fill="E8EDE6"/>
          </w:tcPr>
          <w:p>
            <w:pPr>
              <w:spacing w:after="20" w:before="20"/>
            </w:pPr>
            <w:r>
              <w:rPr>
                <w:b/>
                <w:color w:val="333D36"/>
                <w:sz w:val="18"/>
              </w:rPr>
              <w:t>Source</w:t>
            </w:r>
          </w:p>
        </w:tc>
        <w:tc>
          <w:tcPr>
            <w:tcW w:type="dxa" w:w="1008"/>
            <w:shd w:val="clear" w:color="auto" w:fill="E8EDE6"/>
          </w:tcPr>
          <w:p>
            <w:pPr>
              <w:spacing w:after="20" w:before="20"/>
            </w:pPr>
            <w:r>
              <w:rPr>
                <w:b/>
                <w:color w:val="333D36"/>
                <w:sz w:val="18"/>
              </w:rPr>
              <w:t>Images</w:t>
            </w:r>
          </w:p>
        </w:tc>
        <w:tc>
          <w:tcPr>
            <w:tcW w:type="dxa" w:w="3024"/>
            <w:shd w:val="clear" w:color="auto" w:fill="E8EDE6"/>
          </w:tcPr>
          <w:p>
            <w:pPr>
              <w:spacing w:after="20" w:before="20"/>
            </w:pPr>
            <w:r>
              <w:rPr>
                <w:b/>
                <w:color w:val="333D36"/>
                <w:sz w:val="18"/>
              </w:rPr>
              <w:t>Character</w:t>
            </w:r>
          </w:p>
        </w:tc>
        <w:tc>
          <w:tcPr>
            <w:tcW w:type="dxa" w:w="2808"/>
            <w:shd w:val="clear" w:color="auto" w:fill="E8EDE6"/>
          </w:tcPr>
          <w:p>
            <w:pPr>
              <w:spacing w:after="20" w:before="20"/>
            </w:pPr>
            <w:r>
              <w:rPr>
                <w:b/>
                <w:color w:val="333D36"/>
                <w:sz w:val="18"/>
              </w:rPr>
              <w:t>Job it does</w:t>
            </w:r>
          </w:p>
        </w:tc>
      </w:tr>
      <w:tr>
        <w:tc>
          <w:tcPr>
            <w:tcW w:type="dxa" w:w="2160"/>
          </w:tcPr>
          <w:p>
            <w:pPr>
              <w:spacing w:after="20" w:before="20"/>
            </w:pPr>
            <w:r>
              <w:rPr>
                <w:sz w:val="18"/>
              </w:rPr>
              <w:t>Lab set (Dataset.zip)</w:t>
            </w:r>
          </w:p>
        </w:tc>
        <w:tc>
          <w:tcPr>
            <w:tcW w:type="dxa" w:w="1008"/>
          </w:tcPr>
          <w:p>
            <w:pPr>
              <w:spacing w:after="20" w:before="20"/>
            </w:pPr>
            <w:r>
              <w:rPr>
                <w:sz w:val="18"/>
              </w:rPr>
              <w:t>38,348</w:t>
            </w:r>
          </w:p>
        </w:tc>
        <w:tc>
          <w:tcPr>
            <w:tcW w:type="dxa" w:w="3024"/>
          </w:tcPr>
          <w:p>
            <w:pPr>
              <w:spacing w:after="20" w:before="20"/>
            </w:pPr>
            <w:r>
              <w:rPr>
                <w:sz w:val="18"/>
              </w:rPr>
              <w:t>Clean, single leaf, plain background, controlled light</w:t>
            </w:r>
          </w:p>
        </w:tc>
        <w:tc>
          <w:tcPr>
            <w:tcW w:type="dxa" w:w="2808"/>
          </w:tcPr>
          <w:p>
            <w:pPr>
              <w:spacing w:after="20" w:before="20"/>
            </w:pPr>
            <w:r>
              <w:rPr>
                <w:sz w:val="18"/>
              </w:rPr>
              <w:t>Teaches the visual signature of each disease</w:t>
            </w:r>
          </w:p>
        </w:tc>
      </w:tr>
      <w:tr>
        <w:tc>
          <w:tcPr>
            <w:tcW w:type="dxa" w:w="2160"/>
          </w:tcPr>
          <w:p>
            <w:pPr>
              <w:spacing w:after="20" w:before="20"/>
            </w:pPr>
            <w:r>
              <w:rPr>
                <w:sz w:val="18"/>
              </w:rPr>
              <w:t>Field set (field_data/)</w:t>
            </w:r>
          </w:p>
        </w:tc>
        <w:tc>
          <w:tcPr>
            <w:tcW w:type="dxa" w:w="1008"/>
          </w:tcPr>
          <w:p>
            <w:pPr>
              <w:spacing w:after="20" w:before="20"/>
            </w:pPr>
            <w:r>
              <w:rPr>
                <w:sz w:val="18"/>
              </w:rPr>
              <w:t>1,593</w:t>
            </w:r>
          </w:p>
        </w:tc>
        <w:tc>
          <w:tcPr>
            <w:tcW w:type="dxa" w:w="3024"/>
          </w:tcPr>
          <w:p>
            <w:pPr>
              <w:spacing w:after="20" w:before="20"/>
            </w:pPr>
            <w:r>
              <w:rPr>
                <w:sz w:val="18"/>
              </w:rPr>
              <w:t>Real phone/camera photos: clutter, shadow, multiple leaves</w:t>
            </w:r>
          </w:p>
        </w:tc>
        <w:tc>
          <w:tcPr>
            <w:tcW w:type="dxa" w:w="2808"/>
          </w:tcPr>
          <w:p>
            <w:pPr>
              <w:spacing w:after="20" w:before="20"/>
            </w:pPr>
            <w:r>
              <w:rPr>
                <w:sz w:val="18"/>
              </w:rPr>
              <w:t>Closes the lab→field domain gap</w:t>
            </w:r>
          </w:p>
        </w:tc>
      </w:tr>
      <w:tr>
        <w:tc>
          <w:tcPr>
            <w:tcW w:type="dxa" w:w="2160"/>
          </w:tcPr>
          <w:p>
            <w:pPr>
              <w:spacing w:after="20" w:before="20"/>
            </w:pPr>
            <w:r>
              <w:rPr>
                <w:sz w:val="18"/>
              </w:rPr>
              <w:t>Unknown set</w:t>
            </w:r>
          </w:p>
        </w:tc>
        <w:tc>
          <w:tcPr>
            <w:tcW w:type="dxa" w:w="1008"/>
          </w:tcPr>
          <w:p>
            <w:pPr>
              <w:spacing w:after="20" w:before="20"/>
            </w:pPr>
            <w:r>
              <w:rPr>
                <w:sz w:val="18"/>
              </w:rPr>
              <w:t>~1,000</w:t>
            </w:r>
          </w:p>
        </w:tc>
        <w:tc>
          <w:tcPr>
            <w:tcW w:type="dxa" w:w="3024"/>
          </w:tcPr>
          <w:p>
            <w:pPr>
              <w:spacing w:after="20" w:before="20"/>
            </w:pPr>
            <w:r>
              <w:rPr>
                <w:sz w:val="18"/>
              </w:rPr>
              <w:t>Real leaves of untrained crops + synthetic filler</w:t>
            </w:r>
          </w:p>
        </w:tc>
        <w:tc>
          <w:tcPr>
            <w:tcW w:type="dxa" w:w="2808"/>
          </w:tcPr>
          <w:p>
            <w:pPr>
              <w:spacing w:after="20" w:before="20"/>
            </w:pPr>
            <w:r>
              <w:rPr>
                <w:sz w:val="18"/>
              </w:rPr>
              <w:t>Teaches the model to decline</w:t>
            </w:r>
          </w:p>
        </w:tc>
      </w:tr>
    </w:tbl>
    <w:p>
      <w:pPr>
        <w:spacing w:after="120"/>
      </w:pPr>
    </w:p>
    <w:p>
      <w:pPr>
        <w:pStyle w:val="Heading2"/>
      </w:pPr>
      <w:r>
        <w:t>3.1  The imbalance problem</w:t>
      </w:r>
    </w:p>
    <w:p>
      <w:r>
        <w:t xml:space="preserve">The lab set is severely imbalanced. </w:t>
      </w:r>
      <w:r>
        <w:rPr>
          <w:rFonts w:ascii="Consolas" w:hAnsi="Consolas"/>
          <w:color w:val="33443A"/>
          <w:sz w:val="19"/>
        </w:rPr>
        <w:t>Maize__Common_rust</w:t>
      </w:r>
      <w:r>
        <w:t xml:space="preserve"> has 2,384 images; </w:t>
      </w:r>
      <w:r>
        <w:rPr>
          <w:rFonts w:ascii="Consolas" w:hAnsi="Consolas"/>
          <w:color w:val="33443A"/>
          <w:sz w:val="19"/>
        </w:rPr>
        <w:t>Banana__Yellow_Sigatoka</w:t>
      </w:r>
      <w:r>
        <w:t xml:space="preserve"> has 23. That is a </w:t>
      </w:r>
      <w:r>
        <w:rPr>
          <w:b/>
        </w:rPr>
        <w:t>104 : 1</w:t>
      </w:r>
      <w:r>
        <w:t xml:space="preserve"> ratio between the largest and smallest class. Left alone, a network trained on this will happily reach high overall accuracy by never predicting the rare classes at all — which is exactly why the project reports and checkpoints on </w:t>
      </w:r>
      <w:r>
        <w:rPr>
          <w:b/>
        </w:rPr>
        <w:t>macro-F1</w:t>
      </w:r>
      <w:r>
        <w:t xml:space="preserve"> rather than accuracy.</w:t>
      </w:r>
    </w:p>
    <w:tbl>
      <w:tblPr>
        <w:tblStyle w:val="TableGrid"/>
        <w:jc w:val="left"/>
        <w:tblLook w:firstColumn="1" w:firstRow="1" w:lastColumn="0" w:lastRow="0" w:noHBand="0" w:noVBand="1" w:val="04A0"/>
        <w:tblLayout w:type="fixed"/>
        <w:tblW w:w="8064" w:type="dxa"/>
      </w:tblPr>
      <w:tblGrid>
        <w:gridCol w:w="3024"/>
        <w:gridCol w:w="1007"/>
        <w:gridCol w:w="3024"/>
        <w:gridCol w:w="1007"/>
      </w:tblGrid>
      <w:tr>
        <w:tc>
          <w:tcPr>
            <w:tcW w:type="dxa" w:w="3024"/>
            <w:shd w:val="clear" w:color="auto" w:fill="E8EDE6"/>
          </w:tcPr>
          <w:p>
            <w:pPr>
              <w:spacing w:after="20" w:before="20"/>
            </w:pPr>
            <w:r>
              <w:rPr>
                <w:b/>
                <w:color w:val="333D36"/>
                <w:sz w:val="18"/>
              </w:rPr>
              <w:t>Largest classes</w:t>
            </w:r>
          </w:p>
        </w:tc>
        <w:tc>
          <w:tcPr>
            <w:tcW w:type="dxa" w:w="1008"/>
            <w:shd w:val="clear" w:color="auto" w:fill="E8EDE6"/>
          </w:tcPr>
          <w:p>
            <w:pPr>
              <w:spacing w:after="20" w:before="20"/>
            </w:pPr>
            <w:r>
              <w:rPr>
                <w:b/>
                <w:color w:val="333D36"/>
                <w:sz w:val="18"/>
              </w:rPr>
              <w:t>n</w:t>
            </w:r>
          </w:p>
        </w:tc>
        <w:tc>
          <w:tcPr>
            <w:tcW w:type="dxa" w:w="3024"/>
            <w:shd w:val="clear" w:color="auto" w:fill="E8EDE6"/>
          </w:tcPr>
          <w:p>
            <w:pPr>
              <w:spacing w:after="20" w:before="20"/>
            </w:pPr>
            <w:r>
              <w:rPr>
                <w:b/>
                <w:color w:val="333D36"/>
                <w:sz w:val="18"/>
              </w:rPr>
              <w:t>Smallest classes</w:t>
            </w:r>
          </w:p>
        </w:tc>
        <w:tc>
          <w:tcPr>
            <w:tcW w:type="dxa" w:w="1008"/>
            <w:shd w:val="clear" w:color="auto" w:fill="E8EDE6"/>
          </w:tcPr>
          <w:p>
            <w:pPr>
              <w:spacing w:after="20" w:before="20"/>
            </w:pPr>
            <w:r>
              <w:rPr>
                <w:b/>
                <w:color w:val="333D36"/>
                <w:sz w:val="18"/>
              </w:rPr>
              <w:t>n</w:t>
            </w:r>
          </w:p>
        </w:tc>
      </w:tr>
      <w:tr>
        <w:tc>
          <w:tcPr>
            <w:tcW w:type="dxa" w:w="3024"/>
          </w:tcPr>
          <w:p>
            <w:pPr>
              <w:spacing w:after="20" w:before="20"/>
            </w:pPr>
            <w:r>
              <w:rPr>
                <w:sz w:val="18"/>
              </w:rPr>
              <w:t>Maize Common Rust</w:t>
            </w:r>
          </w:p>
        </w:tc>
        <w:tc>
          <w:tcPr>
            <w:tcW w:type="dxa" w:w="1008"/>
          </w:tcPr>
          <w:p>
            <w:pPr>
              <w:spacing w:after="20" w:before="20"/>
            </w:pPr>
            <w:r>
              <w:rPr>
                <w:sz w:val="18"/>
              </w:rPr>
              <w:t>2,384</w:t>
            </w:r>
          </w:p>
        </w:tc>
        <w:tc>
          <w:tcPr>
            <w:tcW w:type="dxa" w:w="3024"/>
          </w:tcPr>
          <w:p>
            <w:pPr>
              <w:spacing w:after="20" w:before="20"/>
            </w:pPr>
            <w:r>
              <w:rPr>
                <w:sz w:val="18"/>
              </w:rPr>
              <w:t>Banana Yellow Sigatoka</w:t>
            </w:r>
          </w:p>
        </w:tc>
        <w:tc>
          <w:tcPr>
            <w:tcW w:type="dxa" w:w="1008"/>
          </w:tcPr>
          <w:p>
            <w:pPr>
              <w:spacing w:after="20" w:before="20"/>
            </w:pPr>
            <w:r>
              <w:rPr>
                <w:sz w:val="18"/>
              </w:rPr>
              <w:t>23</w:t>
            </w:r>
          </w:p>
        </w:tc>
      </w:tr>
      <w:tr>
        <w:tc>
          <w:tcPr>
            <w:tcW w:type="dxa" w:w="3024"/>
          </w:tcPr>
          <w:p>
            <w:pPr>
              <w:spacing w:after="20" w:before="20"/>
            </w:pPr>
            <w:r>
              <w:rPr>
                <w:sz w:val="18"/>
              </w:rPr>
              <w:t>Maize Northern Leaf Blight</w:t>
            </w:r>
          </w:p>
        </w:tc>
        <w:tc>
          <w:tcPr>
            <w:tcW w:type="dxa" w:w="1008"/>
          </w:tcPr>
          <w:p>
            <w:pPr>
              <w:spacing w:after="20" w:before="20"/>
            </w:pPr>
            <w:r>
              <w:rPr>
                <w:sz w:val="18"/>
              </w:rPr>
              <w:t>2,384</w:t>
            </w:r>
          </w:p>
        </w:tc>
        <w:tc>
          <w:tcPr>
            <w:tcW w:type="dxa" w:w="3024"/>
          </w:tcPr>
          <w:p>
            <w:pPr>
              <w:spacing w:after="20" w:before="20"/>
            </w:pPr>
            <w:r>
              <w:rPr>
                <w:sz w:val="18"/>
              </w:rPr>
              <w:t>Rice Leaf Smut</w:t>
            </w:r>
          </w:p>
        </w:tc>
        <w:tc>
          <w:tcPr>
            <w:tcW w:type="dxa" w:w="1008"/>
          </w:tcPr>
          <w:p>
            <w:pPr>
              <w:spacing w:after="20" w:before="20"/>
            </w:pPr>
            <w:r>
              <w:rPr>
                <w:sz w:val="18"/>
              </w:rPr>
              <w:t>40</w:t>
            </w:r>
          </w:p>
        </w:tc>
      </w:tr>
      <w:tr>
        <w:tc>
          <w:tcPr>
            <w:tcW w:type="dxa" w:w="3024"/>
          </w:tcPr>
          <w:p>
            <w:pPr>
              <w:spacing w:after="20" w:before="20"/>
            </w:pPr>
            <w:r>
              <w:rPr>
                <w:sz w:val="18"/>
              </w:rPr>
              <w:t>Grape Black Measles</w:t>
            </w:r>
          </w:p>
        </w:tc>
        <w:tc>
          <w:tcPr>
            <w:tcW w:type="dxa" w:w="1008"/>
          </w:tcPr>
          <w:p>
            <w:pPr>
              <w:spacing w:after="20" w:before="20"/>
            </w:pPr>
            <w:r>
              <w:rPr>
                <w:sz w:val="18"/>
              </w:rPr>
              <w:t>1,920</w:t>
            </w:r>
          </w:p>
        </w:tc>
        <w:tc>
          <w:tcPr>
            <w:tcW w:type="dxa" w:w="3024"/>
          </w:tcPr>
          <w:p>
            <w:pPr>
              <w:spacing w:after="20" w:before="20"/>
            </w:pPr>
            <w:r>
              <w:rPr>
                <w:sz w:val="18"/>
              </w:rPr>
              <w:t>Banana Panama</w:t>
            </w:r>
          </w:p>
        </w:tc>
        <w:tc>
          <w:tcPr>
            <w:tcW w:type="dxa" w:w="1008"/>
          </w:tcPr>
          <w:p>
            <w:pPr>
              <w:spacing w:after="20" w:before="20"/>
            </w:pPr>
            <w:r>
              <w:rPr>
                <w:sz w:val="18"/>
              </w:rPr>
              <w:t>41</w:t>
            </w:r>
          </w:p>
        </w:tc>
      </w:tr>
      <w:tr>
        <w:tc>
          <w:tcPr>
            <w:tcW w:type="dxa" w:w="3024"/>
          </w:tcPr>
          <w:p>
            <w:pPr>
              <w:spacing w:after="20" w:before="20"/>
            </w:pPr>
            <w:r>
              <w:rPr>
                <w:sz w:val="18"/>
              </w:rPr>
              <w:t>Grape Black Rot</w:t>
            </w:r>
          </w:p>
        </w:tc>
        <w:tc>
          <w:tcPr>
            <w:tcW w:type="dxa" w:w="1008"/>
          </w:tcPr>
          <w:p>
            <w:pPr>
              <w:spacing w:after="20" w:before="20"/>
            </w:pPr>
            <w:r>
              <w:rPr>
                <w:sz w:val="18"/>
              </w:rPr>
              <w:t>1,888</w:t>
            </w:r>
          </w:p>
        </w:tc>
        <w:tc>
          <w:tcPr>
            <w:tcW w:type="dxa" w:w="3024"/>
          </w:tcPr>
          <w:p>
            <w:pPr>
              <w:spacing w:after="20" w:before="20"/>
            </w:pPr>
            <w:r>
              <w:rPr>
                <w:sz w:val="18"/>
              </w:rPr>
              <w:t>Banana Bract Mosaic Virus</w:t>
            </w:r>
          </w:p>
        </w:tc>
        <w:tc>
          <w:tcPr>
            <w:tcW w:type="dxa" w:w="1008"/>
          </w:tcPr>
          <w:p>
            <w:pPr>
              <w:spacing w:after="20" w:before="20"/>
            </w:pPr>
            <w:r>
              <w:rPr>
                <w:sz w:val="18"/>
              </w:rPr>
              <w:t>50</w:t>
            </w:r>
          </w:p>
        </w:tc>
      </w:tr>
      <w:tr>
        <w:tc>
          <w:tcPr>
            <w:tcW w:type="dxa" w:w="3024"/>
          </w:tcPr>
          <w:p>
            <w:pPr>
              <w:spacing w:after="20" w:before="20"/>
            </w:pPr>
            <w:r>
              <w:rPr>
                <w:sz w:val="18"/>
              </w:rPr>
              <w:t>Maize Healthy</w:t>
            </w:r>
          </w:p>
        </w:tc>
        <w:tc>
          <w:tcPr>
            <w:tcW w:type="dxa" w:w="1008"/>
          </w:tcPr>
          <w:p>
            <w:pPr>
              <w:spacing w:after="20" w:before="20"/>
            </w:pPr>
            <w:r>
              <w:rPr>
                <w:sz w:val="18"/>
              </w:rPr>
              <w:t>1,859</w:t>
            </w:r>
          </w:p>
        </w:tc>
        <w:tc>
          <w:tcPr>
            <w:tcW w:type="dxa" w:w="3024"/>
          </w:tcPr>
          <w:p>
            <w:pPr>
              <w:spacing w:after="20" w:before="20"/>
            </w:pPr>
            <w:r>
              <w:rPr>
                <w:sz w:val="18"/>
              </w:rPr>
              <w:t>Banana Moko</w:t>
            </w:r>
          </w:p>
        </w:tc>
        <w:tc>
          <w:tcPr>
            <w:tcW w:type="dxa" w:w="1008"/>
          </w:tcPr>
          <w:p>
            <w:pPr>
              <w:spacing w:after="20" w:before="20"/>
            </w:pPr>
            <w:r>
              <w:rPr>
                <w:sz w:val="18"/>
              </w:rPr>
              <w:t>55</w:t>
            </w:r>
          </w:p>
        </w:tc>
      </w:tr>
    </w:tbl>
    <w:p>
      <w:pPr>
        <w:spacing w:before="40" w:after="200"/>
      </w:pPr>
      <w:r>
        <w:rPr>
          <w:i/>
          <w:color w:val="555F58"/>
          <w:sz w:val="17"/>
        </w:rPr>
        <w:t>The extremes of the lab set. The five largest classes hold more images than the twenty smallest combined.</w:t>
      </w:r>
    </w:p>
    <w:p>
      <w:pPr>
        <w:pStyle w:val="Heading2"/>
      </w:pPr>
      <w:r>
        <w:t>3.2  How the field data was acquired</w:t>
      </w:r>
    </w:p>
    <w:p>
      <w:r>
        <w:t xml:space="preserve">The field set was built rather than downloaded from an existing benchmark, and the acquisition pipeline is five scripts in </w:t>
      </w:r>
      <w:r>
        <w:rPr>
          <w:rFonts w:ascii="Consolas" w:hAnsi="Consolas"/>
          <w:color w:val="33443A"/>
          <w:sz w:val="19"/>
        </w:rPr>
        <w:t>scripts/</w:t>
      </w:r>
      <w:r>
        <w:t>. Being candid about the method matters more than dressing it up:</w:t>
      </w:r>
    </w:p>
    <w:p>
      <w:pPr>
        <w:pStyle w:val="ListNumber"/>
      </w:pPr>
      <w:r>
        <w:rPr>
          <w:b/>
        </w:rPr>
        <w:t>download_field_images.py</w:t>
      </w:r>
      <w:r>
        <w:t xml:space="preserve"> — crawls Bing Images via </w:t>
      </w:r>
      <w:r>
        <w:rPr>
          <w:rFonts w:ascii="Consolas" w:hAnsi="Consolas"/>
          <w:color w:val="33443A"/>
          <w:sz w:val="19"/>
        </w:rPr>
        <w:t>icrawler</w:t>
      </w:r>
      <w:r>
        <w:t xml:space="preserve"> with one hand-written query per class (“corn northern leaf blight field”, “rice bacterial leaf blight field”), targeting 50 raw images per class at a minimum size of 200 px.</w:t>
      </w:r>
    </w:p>
    <w:p>
      <w:pPr>
        <w:pStyle w:val="ListNumber"/>
      </w:pPr>
      <w:r>
        <w:rPr>
          <w:b/>
        </w:rPr>
        <w:t>clean_field_images.py</w:t>
      </w:r>
      <w:r>
        <w:t xml:space="preserve"> — removes only </w:t>
      </w:r>
      <w:r>
        <w:rPr>
          <w:i/>
        </w:rPr>
        <w:t>objective</w:t>
      </w:r>
      <w:r>
        <w:t xml:space="preserve"> junk with no label judgment: corrupt files, anything under 224 px on the short side, and near-duplicates inside a folder via 8×8 average-hash with a Hamming distance ≤ 4. Every deletion is logged to </w:t>
      </w:r>
      <w:r>
        <w:rPr>
          <w:rFonts w:ascii="Consolas" w:hAnsi="Consolas"/>
          <w:color w:val="33443A"/>
          <w:sz w:val="19"/>
        </w:rPr>
        <w:t>clean_field_report.txt</w:t>
      </w:r>
      <w:r>
        <w:t>.</w:t>
      </w:r>
    </w:p>
    <w:p>
      <w:pPr>
        <w:pStyle w:val="ListNumber"/>
      </w:pPr>
      <w:r>
        <w:rPr>
          <w:b/>
        </w:rPr>
        <w:t>delete_collisions.py</w:t>
      </w:r>
      <w:r>
        <w:t xml:space="preserve"> — if the same image appears in two different class folders, at least one label is wrong, so </w:t>
      </w:r>
      <w:r>
        <w:rPr>
          <w:i/>
        </w:rPr>
        <w:t>every</w:t>
      </w:r>
      <w:r>
        <w:t xml:space="preserve"> copy is deleted. On confusable disease pairs a wrong label costs more than a missing image.</w:t>
      </w:r>
    </w:p>
    <w:p>
      <w:pPr>
        <w:pStyle w:val="ListNumber"/>
      </w:pPr>
      <w:r>
        <w:rPr>
          <w:b/>
        </w:rPr>
        <w:t>build_montages.py</w:t>
      </w:r>
      <w:r>
        <w:t xml:space="preserve"> + </w:t>
      </w:r>
      <w:r>
        <w:rPr>
          <w:b/>
        </w:rPr>
        <w:t>apply_visual_deletions.py</w:t>
      </w:r>
      <w:r>
        <w:t xml:space="preserve"> — renders each class folder as a numbered contact sheet with a sidecar JSON index, so a human reviewer can say “delete tiles 3, 7, 12” and have that map back to real filenames. This is the manual label-verification step.</w:t>
      </w:r>
    </w:p>
    <w:p>
      <w:pPr>
        <w:pStyle w:val="ListNumber"/>
      </w:pPr>
      <w:r>
        <w:rPr>
          <w:b/>
        </w:rPr>
        <w:t>redownload_thin.py</w:t>
      </w:r>
      <w:r>
        <w:t xml:space="preserve"> — re-fills classes that fell below target after cleaning, using multiple queries per class including </w:t>
      </w:r>
      <w:r>
        <w:rPr>
          <w:i/>
        </w:rPr>
        <w:t>Latin pathogen names</w:t>
      </w:r>
      <w:r>
        <w:t xml:space="preserve"> (“apple frogeye leaf spot black rot Botryosphaeria”) to steer away from visual lookalikes.</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AF3E2"/>
          </w:tcPr>
          <w:p>
            <w:pPr>
              <w:spacing w:after="60"/>
            </w:pPr>
            <w:r>
              <w:rPr>
                <w:rFonts w:ascii="Calibri" w:hAnsi="Calibri"/>
                <w:b/>
                <w:color w:val="7A550E"/>
                <w:sz w:val="17"/>
              </w:rPr>
              <w:t>OWN THIS IN THE DEFENSE</w:t>
            </w:r>
          </w:p>
          <w:p>
            <w:pPr>
              <w:spacing w:after="0"/>
            </w:pPr>
            <w:r>
              <w:rPr>
                <w:sz w:val="20"/>
              </w:rPr>
              <w:t xml:space="preserve">Web-scraped field data carries label noise that a curated benchmark does not. The pipeline mitigates it (dedup, collision deletion, visual review, pathogen-specific requery) but does not eliminate it, and there is no agronomist sign-off on the labels. Because the field test slice is drawn from the same scrape as the field training slice, any residual mislabelling is </w:t>
            </w:r>
            <w:r>
              <w:rPr>
                <w:i/>
                <w:sz w:val="20"/>
              </w:rPr>
              <w:t>correlated</w:t>
            </w:r>
            <w:r>
              <w:rPr>
                <w:sz w:val="20"/>
              </w:rPr>
              <w:t xml:space="preserve"> across train and test — which would inflate the field score. Say this before the panel says it.</w:t>
            </w:r>
          </w:p>
        </w:tc>
      </w:tr>
    </w:tbl>
    <w:p>
      <w:pPr>
        <w:spacing w:after="80"/>
      </w:pPr>
    </w:p>
    <w:p>
      <w:pPr>
        <w:pStyle w:val="Heading2"/>
      </w:pPr>
      <w:r>
        <w:t>3.3  The Unknown class</w:t>
      </w:r>
    </w:p>
    <w:p>
      <w:r>
        <w:t xml:space="preserve">Sections 3 and 4 of the training notebook build </w:t>
      </w:r>
      <w:r>
        <w:rPr>
          <w:rFonts w:ascii="Consolas" w:hAnsi="Consolas"/>
          <w:color w:val="33443A"/>
          <w:sz w:val="19"/>
        </w:rPr>
        <w:t>Unknown___Unknown</w:t>
      </w:r>
      <w:r>
        <w:t xml:space="preserve"> up to </w:t>
      </w:r>
      <w:r>
        <w:rPr>
          <w:rFonts w:ascii="Consolas" w:hAnsi="Consolas"/>
          <w:color w:val="33443A"/>
          <w:sz w:val="19"/>
        </w:rPr>
        <w:t>TARGET_UNKNOWN_TOTAL = 1000</w:t>
      </w:r>
      <w:r>
        <w:t xml:space="preserve">, with synthetic content capped at </w:t>
      </w:r>
      <w:r>
        <w:rPr>
          <w:rFonts w:ascii="Consolas" w:hAnsi="Consolas"/>
          <w:color w:val="33443A"/>
          <w:sz w:val="19"/>
        </w:rPr>
        <w:t>SYNTH_MAX_SHARE = 0.35</w:t>
      </w:r>
      <w:r>
        <w:t>. The composition is deliberate and the notebook comments say why:</w:t>
      </w:r>
    </w:p>
    <w:p>
      <w:pPr>
        <w:pStyle w:val="ListBullet"/>
      </w:pPr>
      <w:r>
        <w:rPr>
          <w:b/>
        </w:rPr>
        <w:t>Real leaves of untrained crops</w:t>
      </w:r>
      <w:r>
        <w:t xml:space="preserve"> (guava, papaya, coffee…) do the actual work. A guava leaf looks like </w:t>
      </w:r>
      <w:r>
        <w:rPr>
          <w:i/>
        </w:rPr>
        <w:t>a leaf</w:t>
      </w:r>
      <w:r>
        <w:t>, so it lands near the healthy classes in feature space — only a real non-target leaf teaches the boundary.</w:t>
      </w:r>
    </w:p>
    <w:p>
      <w:pPr>
        <w:pStyle w:val="ListBullet"/>
      </w:pPr>
      <w:r>
        <w:rPr>
          <w:b/>
        </w:rPr>
        <w:t>Gaussian noise and crude leaf-like textures</w:t>
      </w:r>
      <w:r>
        <w:t xml:space="preserve"> only top the class up. They cover degenerate inputs — blur, sensor failure, a photo of nothing — and are explicitly </w:t>
      </w:r>
      <w:r>
        <w:rPr>
          <w:i/>
        </w:rPr>
        <w:t>not</w:t>
      </w:r>
      <w:r>
        <w:t xml:space="preserve"> the mechanism that rejects an untrained crop.</w:t>
      </w:r>
    </w:p>
    <w:p>
      <w:r>
        <w:br w:type="page"/>
      </w:r>
    </w:p>
    <w:p>
      <w:pPr>
        <w:pStyle w:val="Heading1"/>
      </w:pPr>
      <w:r>
        <w:t>4.  Training methodology</w:t>
      </w:r>
    </w:p>
    <w:p>
      <w:r>
        <w:t xml:space="preserve">The model is EfficientNetB2 with ImageNet-pretrained weights, fine-tuned in two phases. Every layer name in the notebook matches the architecture rebuilt in </w:t>
      </w:r>
      <w:r>
        <w:rPr>
          <w:rFonts w:ascii="Consolas" w:hAnsi="Consolas"/>
          <w:color w:val="33443A"/>
          <w:sz w:val="19"/>
        </w:rPr>
        <w:t>backend/main.py</w:t>
      </w:r>
      <w:r>
        <w:t xml:space="preserve">, which is what lets the backend load a bare </w:t>
      </w:r>
      <w:r>
        <w:rPr>
          <w:rFonts w:ascii="Consolas" w:hAnsi="Consolas"/>
          <w:color w:val="33443A"/>
          <w:sz w:val="19"/>
        </w:rPr>
        <w:t>.weights.h5</w:t>
      </w:r>
      <w:r>
        <w:t xml:space="preserve"> file rather than a full serialized model.</w:t>
      </w:r>
    </w:p>
    <w:p>
      <w:pPr>
        <w:spacing w:before="160" w:after="60"/>
        <w:jc w:val="center"/>
      </w:pPr>
      <w:r>
        <w:drawing>
          <wp:inline xmlns:a="http://schemas.openxmlformats.org/drawingml/2006/main" xmlns:pic="http://schemas.openxmlformats.org/drawingml/2006/picture">
            <wp:extent cx="5577840" cy="2039896"/>
            <wp:docPr id="2" name="Picture 2"/>
            <wp:cNvGraphicFramePr>
              <a:graphicFrameLocks noChangeAspect="1"/>
            </wp:cNvGraphicFramePr>
            <a:graphic>
              <a:graphicData uri="http://schemas.openxmlformats.org/drawingml/2006/picture">
                <pic:pic>
                  <pic:nvPicPr>
                    <pic:cNvPr id="0" name="training.png"/>
                    <pic:cNvPicPr/>
                  </pic:nvPicPr>
                  <pic:blipFill>
                    <a:blip r:embed="rId10"/>
                    <a:stretch>
                      <a:fillRect/>
                    </a:stretch>
                  </pic:blipFill>
                  <pic:spPr>
                    <a:xfrm>
                      <a:off x="0" y="0"/>
                      <a:ext cx="5577840" cy="2039896"/>
                    </a:xfrm>
                    <a:prstGeom prst="rect"/>
                  </pic:spPr>
                </pic:pic>
              </a:graphicData>
            </a:graphic>
          </wp:inline>
        </w:drawing>
      </w:r>
    </w:p>
    <w:p>
      <w:pPr>
        <w:spacing w:after="240"/>
        <w:jc w:val="center"/>
      </w:pPr>
      <w:r>
        <w:rPr>
          <w:i/>
          <w:color w:val="555F58"/>
          <w:sz w:val="17"/>
        </w:rPr>
        <w:t>Figure 2 — Training pipeline. The three outputs on the right must always travel together. Centroids in ood_stats.npz live in the penultimate feature space of one specific checkpoint and are meaningless against any other set of weights.</w:t>
      </w:r>
    </w:p>
    <w:p>
      <w:pPr>
        <w:pStyle w:val="Heading2"/>
      </w:pPr>
      <w:r>
        <w:t>4.1  Architecture</w:t>
      </w:r>
    </w:p>
    <w:p>
      <w:pPr>
        <w:spacing w:before="100" w:after="180" w:line="252" w:lineRule="auto"/>
        <w:ind w:left="259"/>
        <w:shd w:val="clear" w:color="auto" w:fill="F0F2EE"/>
      </w:pPr>
      <w:r>
        <w:rPr>
          <w:rFonts w:ascii="Consolas" w:hAnsi="Consolas"/>
          <w:color w:val="2A352E"/>
          <w:sz w:val="18"/>
        </w:rPr>
        <w:t>EfficientNetB2(include_top=False, weights='imagenet', input_shape=(224,224,3))</w:t>
      </w:r>
      <w:r>
        <w:br/>
      </w:r>
      <w:r>
        <w:rPr>
          <w:rFonts w:ascii="Consolas" w:hAnsi="Consolas"/>
          <w:color w:val="2A352E"/>
          <w:sz w:val="18"/>
        </w:rPr>
        <w:t xml:space="preserve">  -&gt; GlobalAveragePooling2D()</w:t>
      </w:r>
      <w:r>
        <w:br/>
      </w:r>
      <w:r>
        <w:rPr>
          <w:rFonts w:ascii="Consolas" w:hAnsi="Consolas"/>
          <w:color w:val="2A352E"/>
          <w:sz w:val="18"/>
        </w:rPr>
        <w:t xml:space="preserve">  -&gt; Dropout(0.5)</w:t>
      </w:r>
      <w:r>
        <w:br/>
      </w:r>
      <w:r>
        <w:rPr>
          <w:rFonts w:ascii="Consolas" w:hAnsi="Consolas"/>
          <w:color w:val="2A352E"/>
          <w:sz w:val="18"/>
        </w:rPr>
        <w:t xml:space="preserve">  -&gt; Dense(512, relu,  name='dense_hidden', kernel_regularizer=l2(1e-4))</w:t>
      </w:r>
      <w:r>
        <w:br/>
      </w:r>
      <w:r>
        <w:rPr>
          <w:rFonts w:ascii="Consolas" w:hAnsi="Consolas"/>
          <w:color w:val="2A352E"/>
          <w:sz w:val="18"/>
        </w:rPr>
        <w:t xml:space="preserve">  -&gt; Dropout(0.5)</w:t>
      </w:r>
      <w:r>
        <w:br/>
      </w:r>
      <w:r>
        <w:rPr>
          <w:rFonts w:ascii="Consolas" w:hAnsi="Consolas"/>
          <w:color w:val="2A352E"/>
          <w:sz w:val="18"/>
        </w:rPr>
        <w:t xml:space="preserve">  -&gt; Dense(52, softmax, name='dense_output', dtype='float32',</w:t>
      </w:r>
      <w:r>
        <w:br/>
      </w:r>
      <w:r>
        <w:rPr>
          <w:rFonts w:ascii="Consolas" w:hAnsi="Consolas"/>
          <w:color w:val="2A352E"/>
          <w:sz w:val="18"/>
        </w:rPr>
        <w:t xml:space="preserve">                        kernel_regularizer=l2(1e-4))</w:t>
      </w:r>
    </w:p>
    <w:p>
      <w:r>
        <w:t xml:space="preserve">Two details worth calling out. </w:t>
      </w:r>
      <w:r>
        <w:rPr>
          <w:rFonts w:ascii="Consolas" w:hAnsi="Consolas"/>
          <w:color w:val="33443A"/>
          <w:sz w:val="19"/>
        </w:rPr>
        <w:t>dense_hidden</w:t>
      </w:r>
      <w:r>
        <w:t xml:space="preserve"> is named because the open-set rejection mechanism needs to tap that exact layer at inference time. And </w:t>
      </w:r>
      <w:r>
        <w:rPr>
          <w:rFonts w:ascii="Consolas" w:hAnsi="Consolas"/>
          <w:color w:val="33443A"/>
          <w:sz w:val="19"/>
        </w:rPr>
        <w:t>dense_output</w:t>
      </w:r>
      <w:r>
        <w:t xml:space="preserve"> is pinned to </w:t>
      </w:r>
      <w:r>
        <w:rPr>
          <w:rFonts w:ascii="Consolas" w:hAnsi="Consolas"/>
          <w:color w:val="33443A"/>
          <w:sz w:val="19"/>
        </w:rPr>
        <w:t>float32</w:t>
      </w:r>
      <w:r>
        <w:t xml:space="preserve"> because the run uses mixed-precision </w:t>
      </w:r>
      <w:r>
        <w:rPr>
          <w:rFonts w:ascii="Consolas" w:hAnsi="Consolas"/>
          <w:color w:val="33443A"/>
          <w:sz w:val="19"/>
        </w:rPr>
        <w:t>float16</w:t>
      </w:r>
      <w:r>
        <w:t xml:space="preserve"> compute — softmax in fp16 is numerically unstable and would produce degenerate probabilities.</w:t>
      </w:r>
    </w:p>
    <w:p>
      <w:pPr>
        <w:pStyle w:val="Heading2"/>
      </w:pPr>
      <w:r>
        <w:t>4.2  Hyperparameters</w:t>
      </w:r>
    </w:p>
    <w:tbl>
      <w:tblPr>
        <w:tblStyle w:val="TableGrid"/>
        <w:jc w:val="left"/>
        <w:tblLook w:firstColumn="1" w:firstRow="1" w:lastColumn="0" w:lastRow="0" w:noHBand="0" w:noVBand="1" w:val="04A0"/>
        <w:tblLayout w:type="fixed"/>
        <w:tblW w:w="9000" w:type="dxa"/>
      </w:tblPr>
      <w:tblGrid>
        <w:gridCol w:w="1655"/>
        <w:gridCol w:w="1944"/>
        <w:gridCol w:w="1872"/>
        <w:gridCol w:w="3528"/>
      </w:tblGrid>
      <w:tr>
        <w:tc>
          <w:tcPr>
            <w:tcW w:type="dxa" w:w="1656"/>
            <w:shd w:val="clear" w:color="auto" w:fill="E8EDE6"/>
          </w:tcPr>
          <w:p>
            <w:pPr>
              <w:spacing w:after="20" w:before="20"/>
            </w:pPr>
            <w:r>
              <w:rPr>
                <w:b/>
                <w:color w:val="333D36"/>
                <w:sz w:val="18"/>
              </w:rPr>
              <w:t>Setting</w:t>
            </w:r>
          </w:p>
        </w:tc>
        <w:tc>
          <w:tcPr>
            <w:tcW w:type="dxa" w:w="1944"/>
            <w:shd w:val="clear" w:color="auto" w:fill="E8EDE6"/>
          </w:tcPr>
          <w:p>
            <w:pPr>
              <w:spacing w:after="20" w:before="20"/>
            </w:pPr>
            <w:r>
              <w:rPr>
                <w:b/>
                <w:color w:val="333D36"/>
                <w:sz w:val="18"/>
              </w:rPr>
              <w:t>Phase 1</w:t>
            </w:r>
          </w:p>
        </w:tc>
        <w:tc>
          <w:tcPr>
            <w:tcW w:type="dxa" w:w="1872"/>
            <w:shd w:val="clear" w:color="auto" w:fill="E8EDE6"/>
          </w:tcPr>
          <w:p>
            <w:pPr>
              <w:spacing w:after="20" w:before="20"/>
            </w:pPr>
            <w:r>
              <w:rPr>
                <w:b/>
                <w:color w:val="333D36"/>
                <w:sz w:val="18"/>
              </w:rPr>
              <w:t>Phase 2</w:t>
            </w:r>
          </w:p>
        </w:tc>
        <w:tc>
          <w:tcPr>
            <w:tcW w:type="dxa" w:w="3528"/>
            <w:shd w:val="clear" w:color="auto" w:fill="E8EDE6"/>
          </w:tcPr>
          <w:p>
            <w:pPr>
              <w:spacing w:after="20" w:before="20"/>
            </w:pPr>
            <w:r>
              <w:rPr>
                <w:b/>
                <w:color w:val="333D36"/>
                <w:sz w:val="18"/>
              </w:rPr>
              <w:t>Rationale</w:t>
            </w:r>
          </w:p>
        </w:tc>
      </w:tr>
      <w:tr>
        <w:tc>
          <w:tcPr>
            <w:tcW w:type="dxa" w:w="1656"/>
          </w:tcPr>
          <w:p>
            <w:pPr>
              <w:spacing w:after="20" w:before="20"/>
            </w:pPr>
            <w:r>
              <w:rPr>
                <w:sz w:val="18"/>
              </w:rPr>
              <w:t>Trainable</w:t>
            </w:r>
          </w:p>
        </w:tc>
        <w:tc>
          <w:tcPr>
            <w:tcW w:type="dxa" w:w="1944"/>
          </w:tcPr>
          <w:p>
            <w:pPr>
              <w:spacing w:after="20" w:before="20"/>
            </w:pPr>
            <w:r>
              <w:rPr>
                <w:sz w:val="18"/>
              </w:rPr>
              <w:t>Head only</w:t>
            </w:r>
          </w:p>
        </w:tc>
        <w:tc>
          <w:tcPr>
            <w:tcW w:type="dxa" w:w="1872"/>
          </w:tcPr>
          <w:p>
            <w:pPr>
              <w:spacing w:after="20" w:before="20"/>
            </w:pPr>
            <w:r>
              <w:rPr>
                <w:sz w:val="18"/>
              </w:rPr>
              <w:t>All but first 100</w:t>
            </w:r>
          </w:p>
        </w:tc>
        <w:tc>
          <w:tcPr>
            <w:tcW w:type="dxa" w:w="3528"/>
          </w:tcPr>
          <w:p>
            <w:pPr>
              <w:spacing w:after="20" w:before="20"/>
            </w:pPr>
            <w:r>
              <w:rPr>
                <w:sz w:val="18"/>
              </w:rPr>
              <w:t>Early layers hold generic edge/texture filters worth keeping</w:t>
            </w:r>
          </w:p>
        </w:tc>
      </w:tr>
      <w:tr>
        <w:tc>
          <w:tcPr>
            <w:tcW w:type="dxa" w:w="1656"/>
          </w:tcPr>
          <w:p>
            <w:pPr>
              <w:spacing w:after="20" w:before="20"/>
            </w:pPr>
            <w:r>
              <w:rPr>
                <w:sz w:val="18"/>
              </w:rPr>
              <w:t>Learning rate</w:t>
            </w:r>
          </w:p>
        </w:tc>
        <w:tc>
          <w:tcPr>
            <w:tcW w:type="dxa" w:w="1944"/>
          </w:tcPr>
          <w:p>
            <w:pPr>
              <w:spacing w:after="20" w:before="20"/>
            </w:pPr>
            <w:r>
              <w:rPr>
                <w:sz w:val="18"/>
              </w:rPr>
              <w:t>5e-4 (Adam)</w:t>
            </w:r>
          </w:p>
        </w:tc>
        <w:tc>
          <w:tcPr>
            <w:tcW w:type="dxa" w:w="1872"/>
          </w:tcPr>
          <w:p>
            <w:pPr>
              <w:spacing w:after="20" w:before="20"/>
            </w:pPr>
            <w:r>
              <w:rPr>
                <w:sz w:val="18"/>
              </w:rPr>
              <w:t>1e-4 → cosine, α=0.01</w:t>
            </w:r>
          </w:p>
        </w:tc>
        <w:tc>
          <w:tcPr>
            <w:tcW w:type="dxa" w:w="3528"/>
          </w:tcPr>
          <w:p>
            <w:pPr>
              <w:spacing w:after="20" w:before="20"/>
            </w:pPr>
            <w:r>
              <w:rPr>
                <w:sz w:val="18"/>
              </w:rPr>
              <w:t>A high LR on an unfrozen pretrained backbone destroys the features</w:t>
            </w:r>
          </w:p>
        </w:tc>
      </w:tr>
      <w:tr>
        <w:tc>
          <w:tcPr>
            <w:tcW w:type="dxa" w:w="1656"/>
          </w:tcPr>
          <w:p>
            <w:pPr>
              <w:spacing w:after="20" w:before="20"/>
            </w:pPr>
            <w:r>
              <w:rPr>
                <w:sz w:val="18"/>
              </w:rPr>
              <w:t>Epochs</w:t>
            </w:r>
          </w:p>
        </w:tc>
        <w:tc>
          <w:tcPr>
            <w:tcW w:type="dxa" w:w="1944"/>
          </w:tcPr>
          <w:p>
            <w:pPr>
              <w:spacing w:after="20" w:before="20"/>
            </w:pPr>
            <w:r>
              <w:rPr>
                <w:sz w:val="18"/>
              </w:rPr>
              <w:t>10</w:t>
            </w:r>
          </w:p>
        </w:tc>
        <w:tc>
          <w:tcPr>
            <w:tcW w:type="dxa" w:w="1872"/>
          </w:tcPr>
          <w:p>
            <w:pPr>
              <w:spacing w:after="20" w:before="20"/>
            </w:pPr>
            <w:r>
              <w:rPr>
                <w:sz w:val="18"/>
              </w:rPr>
              <w:t>15</w:t>
            </w:r>
          </w:p>
        </w:tc>
        <w:tc>
          <w:tcPr>
            <w:tcW w:type="dxa" w:w="3528"/>
          </w:tcPr>
          <w:p>
            <w:pPr>
              <w:spacing w:after="20" w:before="20"/>
            </w:pPr>
            <w:r>
              <w:rPr>
                <w:sz w:val="18"/>
              </w:rPr>
              <w:t>Both cut short by EarlyStopping in practice</w:t>
            </w:r>
          </w:p>
        </w:tc>
      </w:tr>
      <w:tr>
        <w:tc>
          <w:tcPr>
            <w:tcW w:type="dxa" w:w="1656"/>
          </w:tcPr>
          <w:p>
            <w:pPr>
              <w:spacing w:after="20" w:before="20"/>
            </w:pPr>
            <w:r>
              <w:rPr>
                <w:sz w:val="18"/>
              </w:rPr>
              <w:t>Batch size</w:t>
            </w:r>
          </w:p>
        </w:tc>
        <w:tc>
          <w:tcPr>
            <w:tcW w:type="dxa" w:w="1944"/>
          </w:tcPr>
          <w:p>
            <w:pPr>
              <w:spacing w:after="20" w:before="20"/>
            </w:pPr>
            <w:r>
              <w:rPr>
                <w:sz w:val="18"/>
              </w:rPr>
              <w:t>64</w:t>
            </w:r>
          </w:p>
        </w:tc>
        <w:tc>
          <w:tcPr>
            <w:tcW w:type="dxa" w:w="1872"/>
          </w:tcPr>
          <w:p>
            <w:pPr>
              <w:spacing w:after="20" w:before="20"/>
            </w:pPr>
            <w:r>
              <w:rPr>
                <w:sz w:val="18"/>
              </w:rPr>
              <w:t>64</w:t>
            </w:r>
          </w:p>
        </w:tc>
        <w:tc>
          <w:tcPr>
            <w:tcW w:type="dxa" w:w="3528"/>
          </w:tcPr>
          <w:p>
            <w:pPr>
              <w:spacing w:after="20" w:before="20"/>
            </w:pPr>
            <w:r>
              <w:rPr>
                <w:sz w:val="18"/>
              </w:rPr>
              <w:t>Halves step count and keeps a T4 GPU fed</w:t>
            </w:r>
          </w:p>
        </w:tc>
      </w:tr>
      <w:tr>
        <w:tc>
          <w:tcPr>
            <w:tcW w:type="dxa" w:w="1656"/>
          </w:tcPr>
          <w:p>
            <w:pPr>
              <w:spacing w:after="20" w:before="20"/>
            </w:pPr>
            <w:r>
              <w:rPr>
                <w:sz w:val="18"/>
              </w:rPr>
              <w:t>Loss</w:t>
            </w:r>
          </w:p>
        </w:tc>
        <w:tc>
          <w:tcPr>
            <w:tcW w:type="dxa" w:w="1944"/>
          </w:tcPr>
          <w:p>
            <w:pPr>
              <w:spacing w:after="20" w:before="20"/>
            </w:pPr>
            <w:r>
              <w:rPr>
                <w:sz w:val="18"/>
              </w:rPr>
              <w:t>Categorical CE, label smoothing 0.1</w:t>
            </w:r>
          </w:p>
        </w:tc>
        <w:tc>
          <w:tcPr>
            <w:tcW w:type="dxa" w:w="1872"/>
          </w:tcPr>
          <w:p>
            <w:pPr>
              <w:spacing w:after="20" w:before="20"/>
            </w:pPr>
            <w:r>
              <w:rPr>
                <w:sz w:val="18"/>
              </w:rPr>
              <w:t>same</w:t>
            </w:r>
          </w:p>
        </w:tc>
        <w:tc>
          <w:tcPr>
            <w:tcW w:type="dxa" w:w="3528"/>
          </w:tcPr>
          <w:p>
            <w:pPr>
              <w:spacing w:after="20" w:before="20"/>
            </w:pPr>
            <w:r>
              <w:rPr>
                <w:sz w:val="18"/>
              </w:rPr>
              <w:t>Stops the network becoming over-confident — directly serves the confidence thresholds</w:t>
            </w:r>
          </w:p>
        </w:tc>
      </w:tr>
      <w:tr>
        <w:tc>
          <w:tcPr>
            <w:tcW w:type="dxa" w:w="1656"/>
          </w:tcPr>
          <w:p>
            <w:pPr>
              <w:spacing w:after="20" w:before="20"/>
            </w:pPr>
            <w:r>
              <w:rPr>
                <w:sz w:val="18"/>
              </w:rPr>
              <w:t>Regularization</w:t>
            </w:r>
          </w:p>
        </w:tc>
        <w:tc>
          <w:tcPr>
            <w:tcW w:type="dxa" w:w="1944"/>
          </w:tcPr>
          <w:p>
            <w:pPr>
              <w:spacing w:after="20" w:before="20"/>
            </w:pPr>
            <w:r>
              <w:rPr>
                <w:sz w:val="18"/>
              </w:rPr>
              <w:t>Dropout 0.5 ×2, L2 1e-4</w:t>
            </w:r>
          </w:p>
        </w:tc>
        <w:tc>
          <w:tcPr>
            <w:tcW w:type="dxa" w:w="1872"/>
          </w:tcPr>
          <w:p>
            <w:pPr>
              <w:spacing w:after="20" w:before="20"/>
            </w:pPr>
            <w:r>
              <w:rPr>
                <w:sz w:val="18"/>
              </w:rPr>
              <w:t>same</w:t>
            </w:r>
          </w:p>
        </w:tc>
        <w:tc>
          <w:tcPr>
            <w:tcW w:type="dxa" w:w="3528"/>
          </w:tcPr>
          <w:p>
            <w:pPr>
              <w:spacing w:after="20" w:before="20"/>
            </w:pPr>
            <w:r>
              <w:rPr>
                <w:sz w:val="18"/>
              </w:rPr>
              <w:t>Small classes overfit fast</w:t>
            </w:r>
          </w:p>
        </w:tc>
      </w:tr>
      <w:tr>
        <w:tc>
          <w:tcPr>
            <w:tcW w:type="dxa" w:w="1656"/>
          </w:tcPr>
          <w:p>
            <w:pPr>
              <w:spacing w:after="20" w:before="20"/>
            </w:pPr>
            <w:r>
              <w:rPr>
                <w:sz w:val="18"/>
              </w:rPr>
              <w:t>Checkpoint monitor</w:t>
            </w:r>
          </w:p>
        </w:tc>
        <w:tc>
          <w:tcPr>
            <w:tcW w:type="dxa" w:w="1944"/>
          </w:tcPr>
          <w:p>
            <w:pPr>
              <w:spacing w:after="20" w:before="20"/>
            </w:pPr>
            <w:r>
              <w:rPr>
                <w:sz w:val="18"/>
              </w:rPr>
              <w:t>val_macro_f1 (max)</w:t>
            </w:r>
          </w:p>
        </w:tc>
        <w:tc>
          <w:tcPr>
            <w:tcW w:type="dxa" w:w="1872"/>
          </w:tcPr>
          <w:p>
            <w:pPr>
              <w:spacing w:after="20" w:before="20"/>
            </w:pPr>
            <w:r>
              <w:rPr>
                <w:sz w:val="18"/>
              </w:rPr>
              <w:t>same</w:t>
            </w:r>
          </w:p>
        </w:tc>
        <w:tc>
          <w:tcPr>
            <w:tcW w:type="dxa" w:w="3528"/>
          </w:tcPr>
          <w:p>
            <w:pPr>
              <w:spacing w:after="20" w:before="20"/>
            </w:pPr>
            <w:r>
              <w:rPr>
                <w:sz w:val="18"/>
              </w:rPr>
              <w:t>Accuracy would let the saved model win by ignoring rare classes</w:t>
            </w:r>
          </w:p>
        </w:tc>
      </w:tr>
      <w:tr>
        <w:tc>
          <w:tcPr>
            <w:tcW w:type="dxa" w:w="1656"/>
          </w:tcPr>
          <w:p>
            <w:pPr>
              <w:spacing w:after="20" w:before="20"/>
            </w:pPr>
            <w:r>
              <w:rPr>
                <w:sz w:val="18"/>
              </w:rPr>
              <w:t>EarlyStopping</w:t>
            </w:r>
          </w:p>
        </w:tc>
        <w:tc>
          <w:tcPr>
            <w:tcW w:type="dxa" w:w="1944"/>
          </w:tcPr>
          <w:p>
            <w:pPr>
              <w:spacing w:after="20" w:before="20"/>
            </w:pPr>
            <w:r>
              <w:rPr>
                <w:sz w:val="18"/>
              </w:rPr>
              <w:t>val_loss, patience 7</w:t>
            </w:r>
          </w:p>
        </w:tc>
        <w:tc>
          <w:tcPr>
            <w:tcW w:type="dxa" w:w="1872"/>
          </w:tcPr>
          <w:p>
            <w:pPr>
              <w:spacing w:after="20" w:before="20"/>
            </w:pPr>
            <w:r>
              <w:rPr>
                <w:sz w:val="18"/>
              </w:rPr>
              <w:t>same, restore best</w:t>
            </w:r>
          </w:p>
        </w:tc>
        <w:tc>
          <w:tcPr>
            <w:tcW w:type="dxa" w:w="3528"/>
          </w:tcPr>
          <w:p>
            <w:pPr>
              <w:spacing w:after="20" w:before="20"/>
            </w:pPr>
            <w:r>
              <w:rPr>
                <w:sz w:val="18"/>
              </w:rPr>
              <w:t>—</w:t>
            </w:r>
          </w:p>
        </w:tc>
      </w:tr>
      <w:tr>
        <w:tc>
          <w:tcPr>
            <w:tcW w:type="dxa" w:w="1656"/>
          </w:tcPr>
          <w:p>
            <w:pPr>
              <w:spacing w:after="20" w:before="20"/>
            </w:pPr>
            <w:r>
              <w:rPr>
                <w:sz w:val="18"/>
              </w:rPr>
              <w:t>Precision</w:t>
            </w:r>
          </w:p>
        </w:tc>
        <w:tc>
          <w:tcPr>
            <w:tcW w:type="dxa" w:w="1944"/>
          </w:tcPr>
          <w:p>
            <w:pPr>
              <w:spacing w:after="20" w:before="20"/>
            </w:pPr>
            <w:r>
              <w:rPr>
                <w:sz w:val="18"/>
              </w:rPr>
              <w:t>mixed_float16</w:t>
            </w:r>
          </w:p>
        </w:tc>
        <w:tc>
          <w:tcPr>
            <w:tcW w:type="dxa" w:w="1872"/>
          </w:tcPr>
          <w:p>
            <w:pPr>
              <w:spacing w:after="20" w:before="20"/>
            </w:pPr>
            <w:r>
              <w:rPr>
                <w:sz w:val="18"/>
              </w:rPr>
              <w:t>same</w:t>
            </w:r>
          </w:p>
        </w:tc>
        <w:tc>
          <w:tcPr>
            <w:tcW w:type="dxa" w:w="3528"/>
          </w:tcPr>
          <w:p>
            <w:pPr>
              <w:spacing w:after="20" w:before="20"/>
            </w:pPr>
            <w:r>
              <w:rPr>
                <w:sz w:val="18"/>
              </w:rPr>
              <w:t>~1.5–2× throughput on tensor cores</w:t>
            </w:r>
          </w:p>
        </w:tc>
      </w:tr>
    </w:tbl>
    <w:p>
      <w:pPr>
        <w:spacing w:before="40" w:after="200"/>
      </w:pPr>
      <w:r>
        <w:rPr>
          <w:i/>
          <w:color w:val="555F58"/>
          <w:sz w:val="17"/>
        </w:rPr>
        <w:t>From section 5 of scripts/train_colab_google.ipynb. Seeds are fixed at 42 for random, numpy and tensorflow.</w:t>
      </w:r>
    </w:p>
    <w:p>
      <w:pPr>
        <w:pStyle w:val="Heading2"/>
      </w:pPr>
      <w:r>
        <w:t>4.3  The three-layer imbalance defence</w:t>
      </w:r>
    </w:p>
    <w:p>
      <w:r>
        <w:t>The project does not rely on a single fix. It stacks three, in order, and each is deliberately gentle so they do not compound into over-correction:</w:t>
      </w:r>
    </w:p>
    <w:p>
      <w:pPr>
        <w:pStyle w:val="ListNumber"/>
      </w:pPr>
      <w:r>
        <w:rPr>
          <w:b/>
        </w:rPr>
        <w:t>Undersample the majorities</w:t>
      </w:r>
      <w:r>
        <w:t xml:space="preserve"> down to 2.0× the median class count, and </w:t>
      </w:r>
      <w:r>
        <w:rPr>
          <w:b/>
        </w:rPr>
        <w:t>oversample the minorities</w:t>
      </w:r>
      <w:r>
        <w:t xml:space="preserve"> up to 1.2× median (capped at 5× the real images, because repeating the same photo more than that just teaches memorization). This caps the ratio at roughly 2 : 1.</w:t>
      </w:r>
    </w:p>
    <w:p>
      <w:pPr>
        <w:pStyle w:val="ListNumber"/>
      </w:pPr>
      <w:r>
        <w:rPr>
          <w:b/>
        </w:rPr>
        <w:t>Protected prefixes.</w:t>
      </w:r>
      <w:r>
        <w:t xml:space="preserve"> Undersampling deletes files, so the code refuses to delete anything prefixed </w:t>
      </w:r>
      <w:r>
        <w:rPr>
          <w:rFonts w:ascii="Consolas" w:hAnsi="Consolas"/>
          <w:color w:val="33443A"/>
          <w:sz w:val="19"/>
        </w:rPr>
        <w:t>field_</w:t>
      </w:r>
      <w:r>
        <w:t xml:space="preserve"> (real field photos) or </w:t>
      </w:r>
      <w:r>
        <w:rPr>
          <w:rFonts w:ascii="Consolas" w:hAnsi="Consolas"/>
          <w:color w:val="33443A"/>
          <w:sz w:val="19"/>
        </w:rPr>
        <w:t>leaf_</w:t>
      </w:r>
      <w:r>
        <w:t xml:space="preserve"> (real non-target leaves) — the two scarcest and most valuable kinds of image in the run. Synthetic filler is dropped first, then ordinary lab images.</w:t>
      </w:r>
    </w:p>
    <w:p>
      <w:pPr>
        <w:pStyle w:val="ListNumber"/>
      </w:pPr>
      <w:r>
        <w:rPr>
          <w:b/>
        </w:rPr>
        <w:t>Sqrt-damped class weights:</w:t>
      </w:r>
      <w:r>
        <w:t xml:space="preserve"> </w:t>
      </w:r>
      <w:r>
        <w:rPr>
          <w:rFonts w:ascii="Consolas" w:hAnsi="Consolas"/>
          <w:color w:val="33443A"/>
          <w:sz w:val="19"/>
        </w:rPr>
        <w:t>w_i = sqrt(mean_count / n_i)</w:t>
      </w:r>
      <w:r>
        <w:t xml:space="preserve">. Because the counts are already inside a narrow band, these land near 1.0–1.5. The notebook comment records that the earlier </w:t>
      </w:r>
      <w:r>
        <w:rPr>
          <w:rFonts w:ascii="Consolas" w:hAnsi="Consolas"/>
          <w:color w:val="33443A"/>
          <w:sz w:val="19"/>
        </w:rPr>
        <w:t>max_count / n</w:t>
      </w:r>
      <w:r>
        <w:t xml:space="preserve"> scheme (weights 1–6) applied </w:t>
      </w:r>
      <w:r>
        <w:rPr>
          <w:i/>
        </w:rPr>
        <w:t>on top of</w:t>
      </w:r>
      <w:r>
        <w:t xml:space="preserve"> resampling double-corrected and destabilised training.</w:t>
      </w:r>
    </w:p>
    <w:p>
      <w:pPr>
        <w:pStyle w:val="Heading2"/>
      </w:pPr>
      <w:r>
        <w:t>4.4  Augmentation, and why it is unusual</w:t>
      </w:r>
    </w:p>
    <w:p>
      <w:r>
        <w:t xml:space="preserve">Standard geometric augmentation is present — rotation ±40°, width/height shift 0.25, shear 0.2, zoom 0.3, brightness 0.6–1.4, channel shift 30, horizontal flip, reflect fill. On top of that sits a custom </w:t>
      </w:r>
      <w:r>
        <w:rPr>
          <w:rFonts w:ascii="Consolas" w:hAnsi="Consolas"/>
          <w:color w:val="33443A"/>
          <w:sz w:val="19"/>
        </w:rPr>
        <w:t>field_augment</w:t>
      </w:r>
      <w:r>
        <w:t xml:space="preserve"> function that exists specifically to attack the lab→field gap by making clean lab photos look like phone photos:</w:t>
      </w:r>
    </w:p>
    <w:tbl>
      <w:tblPr>
        <w:tblStyle w:val="TableGrid"/>
        <w:jc w:val="left"/>
        <w:tblLook w:firstColumn="1" w:firstRow="1" w:lastColumn="0" w:lastRow="0" w:noHBand="0" w:noVBand="1" w:val="04A0"/>
        <w:tblLayout w:type="fixed"/>
        <w:tblW w:w="9000" w:type="dxa"/>
      </w:tblPr>
      <w:tblGrid>
        <w:gridCol w:w="1872"/>
        <w:gridCol w:w="720"/>
        <w:gridCol w:w="2520"/>
        <w:gridCol w:w="3888"/>
      </w:tblGrid>
      <w:tr>
        <w:tc>
          <w:tcPr>
            <w:tcW w:type="dxa" w:w="1872"/>
            <w:shd w:val="clear" w:color="auto" w:fill="E8EDE6"/>
          </w:tcPr>
          <w:p>
            <w:pPr>
              <w:spacing w:after="20" w:before="20"/>
            </w:pPr>
            <w:r>
              <w:rPr>
                <w:b/>
                <w:color w:val="333D36"/>
                <w:sz w:val="18"/>
              </w:rPr>
              <w:t>Transform</w:t>
            </w:r>
          </w:p>
        </w:tc>
        <w:tc>
          <w:tcPr>
            <w:tcW w:type="dxa" w:w="720"/>
            <w:shd w:val="clear" w:color="auto" w:fill="E8EDE6"/>
          </w:tcPr>
          <w:p>
            <w:pPr>
              <w:spacing w:after="20" w:before="20"/>
            </w:pPr>
            <w:r>
              <w:rPr>
                <w:b/>
                <w:color w:val="333D36"/>
                <w:sz w:val="18"/>
              </w:rPr>
              <w:t>p</w:t>
            </w:r>
          </w:p>
        </w:tc>
        <w:tc>
          <w:tcPr>
            <w:tcW w:type="dxa" w:w="2520"/>
            <w:shd w:val="clear" w:color="auto" w:fill="E8EDE6"/>
          </w:tcPr>
          <w:p>
            <w:pPr>
              <w:spacing w:after="20" w:before="20"/>
            </w:pPr>
            <w:r>
              <w:rPr>
                <w:b/>
                <w:color w:val="333D36"/>
                <w:sz w:val="18"/>
              </w:rPr>
              <w:t>Parameters</w:t>
            </w:r>
          </w:p>
        </w:tc>
        <w:tc>
          <w:tcPr>
            <w:tcW w:type="dxa" w:w="3888"/>
            <w:shd w:val="clear" w:color="auto" w:fill="E8EDE6"/>
          </w:tcPr>
          <w:p>
            <w:pPr>
              <w:spacing w:after="20" w:before="20"/>
            </w:pPr>
            <w:r>
              <w:rPr>
                <w:b/>
                <w:color w:val="333D36"/>
                <w:sz w:val="18"/>
              </w:rPr>
              <w:t>Real-world artefact it simulates</w:t>
            </w:r>
          </w:p>
        </w:tc>
      </w:tr>
      <w:tr>
        <w:tc>
          <w:tcPr>
            <w:tcW w:type="dxa" w:w="1872"/>
          </w:tcPr>
          <w:p>
            <w:pPr>
              <w:spacing w:after="20" w:before="20"/>
            </w:pPr>
            <w:r>
              <w:rPr>
                <w:sz w:val="18"/>
              </w:rPr>
              <w:t>Gaussian blur</w:t>
            </w:r>
          </w:p>
        </w:tc>
        <w:tc>
          <w:tcPr>
            <w:tcW w:type="dxa" w:w="720"/>
          </w:tcPr>
          <w:p>
            <w:pPr>
              <w:spacing w:after="20" w:before="20"/>
            </w:pPr>
            <w:r>
              <w:rPr>
                <w:sz w:val="18"/>
              </w:rPr>
              <w:t>0.35</w:t>
            </w:r>
          </w:p>
        </w:tc>
        <w:tc>
          <w:tcPr>
            <w:tcW w:type="dxa" w:w="2520"/>
          </w:tcPr>
          <w:p>
            <w:pPr>
              <w:spacing w:after="20" w:before="20"/>
            </w:pPr>
            <w:r>
              <w:rPr>
                <w:sz w:val="18"/>
              </w:rPr>
              <w:t>kernel 3 or 5</w:t>
            </w:r>
          </w:p>
        </w:tc>
        <w:tc>
          <w:tcPr>
            <w:tcW w:type="dxa" w:w="3888"/>
          </w:tcPr>
          <w:p>
            <w:pPr>
              <w:spacing w:after="20" w:before="20"/>
            </w:pPr>
            <w:r>
              <w:rPr>
                <w:sz w:val="18"/>
              </w:rPr>
              <w:t>Out-of-focus or motion-blurred phone shot</w:t>
            </w:r>
          </w:p>
        </w:tc>
      </w:tr>
      <w:tr>
        <w:tc>
          <w:tcPr>
            <w:tcW w:type="dxa" w:w="1872"/>
          </w:tcPr>
          <w:p>
            <w:pPr>
              <w:spacing w:after="20" w:before="20"/>
            </w:pPr>
            <w:r>
              <w:rPr>
                <w:sz w:val="18"/>
              </w:rPr>
              <w:t>Additive noise</w:t>
            </w:r>
          </w:p>
        </w:tc>
        <w:tc>
          <w:tcPr>
            <w:tcW w:type="dxa" w:w="720"/>
          </w:tcPr>
          <w:p>
            <w:pPr>
              <w:spacing w:after="20" w:before="20"/>
            </w:pPr>
            <w:r>
              <w:rPr>
                <w:sz w:val="18"/>
              </w:rPr>
              <w:t>0.30</w:t>
            </w:r>
          </w:p>
        </w:tc>
        <w:tc>
          <w:tcPr>
            <w:tcW w:type="dxa" w:w="2520"/>
          </w:tcPr>
          <w:p>
            <w:pPr>
              <w:spacing w:after="20" w:before="20"/>
            </w:pPr>
            <w:r>
              <w:rPr>
                <w:sz w:val="18"/>
              </w:rPr>
              <w:t>σ ∈ [4, 14]</w:t>
            </w:r>
          </w:p>
        </w:tc>
        <w:tc>
          <w:tcPr>
            <w:tcW w:type="dxa" w:w="3888"/>
          </w:tcPr>
          <w:p>
            <w:pPr>
              <w:spacing w:after="20" w:before="20"/>
            </w:pPr>
            <w:r>
              <w:rPr>
                <w:sz w:val="18"/>
              </w:rPr>
              <w:t>Small sensor noise in poor light</w:t>
            </w:r>
          </w:p>
        </w:tc>
      </w:tr>
      <w:tr>
        <w:tc>
          <w:tcPr>
            <w:tcW w:type="dxa" w:w="1872"/>
          </w:tcPr>
          <w:p>
            <w:pPr>
              <w:spacing w:after="20" w:before="20"/>
            </w:pPr>
            <w:r>
              <w:rPr>
                <w:sz w:val="18"/>
              </w:rPr>
              <w:t>Directional shadow</w:t>
            </w:r>
          </w:p>
        </w:tc>
        <w:tc>
          <w:tcPr>
            <w:tcW w:type="dxa" w:w="720"/>
          </w:tcPr>
          <w:p>
            <w:pPr>
              <w:spacing w:after="20" w:before="20"/>
            </w:pPr>
            <w:r>
              <w:rPr>
                <w:sz w:val="18"/>
              </w:rPr>
              <w:t>0.30</w:t>
            </w:r>
          </w:p>
        </w:tc>
        <w:tc>
          <w:tcPr>
            <w:tcW w:type="dxa" w:w="2520"/>
          </w:tcPr>
          <w:p>
            <w:pPr>
              <w:spacing w:after="20" w:before="20"/>
            </w:pPr>
            <w:r>
              <w:rPr>
                <w:sz w:val="18"/>
              </w:rPr>
              <w:t>linear ramp, strength 0.5–0.85</w:t>
            </w:r>
          </w:p>
        </w:tc>
        <w:tc>
          <w:tcPr>
            <w:tcW w:type="dxa" w:w="3888"/>
          </w:tcPr>
          <w:p>
            <w:pPr>
              <w:spacing w:after="20" w:before="20"/>
            </w:pPr>
            <w:r>
              <w:rPr>
                <w:sz w:val="18"/>
              </w:rPr>
              <w:t>Sun angle, the photographer’s own shadow</w:t>
            </w:r>
          </w:p>
        </w:tc>
      </w:tr>
    </w:tbl>
    <w:p>
      <w:pPr>
        <w:spacing w:after="120"/>
      </w:pPr>
    </w:p>
    <w:p>
      <w:r>
        <w:t>Vertical flip is deliberately disabled: leaves have a consistent tip-and-petiole orientation and an upside-down leaf is not a realistic input.</w:t>
      </w:r>
    </w:p>
    <w:p>
      <w:pPr>
        <w:pStyle w:val="Heading2"/>
      </w:pPr>
      <w:r>
        <w:t>4.5  Practical engineering in the notebook</w:t>
      </w:r>
    </w:p>
    <w:p>
      <w:r>
        <w:t>Three details worth mentioning if asked how the run was actually made to finish on free hardware:</w:t>
      </w:r>
    </w:p>
    <w:p>
      <w:pPr>
        <w:pStyle w:val="ListBullet"/>
      </w:pPr>
      <w:r>
        <w:rPr>
          <w:b/>
        </w:rPr>
        <w:t>Resume-safe checkpointing.</w:t>
      </w:r>
      <w:r>
        <w:t xml:space="preserve"> Phase-2 weights and an epoch counter are written to Google Drive after every epoch. If Colab disconnects mid-run, re-running all cells picks up from the last checkpoint instead of restarting.</w:t>
      </w:r>
    </w:p>
    <w:p>
      <w:pPr>
        <w:pStyle w:val="ListBullet"/>
      </w:pPr>
      <w:r>
        <w:rPr>
          <w:b/>
        </w:rPr>
        <w:t>Pre-resize on disk.</w:t>
      </w:r>
      <w:r>
        <w:t xml:space="preserve"> Every image is resized to 224×224 once, before training. Decoding a 4000×3000 phone photo costs more CPU per epoch than the forward pass costs GPU — and it would otherwise be paid every epoch.</w:t>
      </w:r>
    </w:p>
    <w:p>
      <w:pPr>
        <w:pStyle w:val="ListBullet"/>
      </w:pPr>
      <w:r>
        <w:rPr>
          <w:b/>
        </w:rPr>
        <w:t>Threaded loading.</w:t>
      </w:r>
      <w:r>
        <w:t xml:space="preserve"> Keras defaults to one loader thread; the run sets 8 workers with a 32-batch queue, using threads rather than processes because forked workers would inherit the same NumPy RNG state and repeat identical augmentations.</w:t>
      </w:r>
    </w:p>
    <w:p>
      <w:r>
        <w:br w:type="page"/>
      </w:r>
    </w:p>
    <w:p>
      <w:pPr>
        <w:pStyle w:val="Heading1"/>
      </w:pPr>
      <w:r>
        <w:t>5.  The inference pipeline</w:t>
      </w:r>
    </w:p>
    <w:p>
      <w:r>
        <w:t xml:space="preserve">This is the part of the system to know cold. A request to </w:t>
      </w:r>
      <w:r>
        <w:rPr>
          <w:rFonts w:ascii="Consolas" w:hAnsi="Consolas"/>
          <w:color w:val="33443A"/>
          <w:sz w:val="19"/>
        </w:rPr>
        <w:t>/predict</w:t>
      </w:r>
      <w:r>
        <w:t xml:space="preserve"> passes through a gauntlet with three separate exit points before it can produce a normal disease result.</w:t>
      </w:r>
    </w:p>
    <w:p>
      <w:pPr>
        <w:spacing w:before="160" w:after="60"/>
        <w:jc w:val="center"/>
      </w:pPr>
      <w:r>
        <w:drawing>
          <wp:inline xmlns:a="http://schemas.openxmlformats.org/drawingml/2006/main" xmlns:pic="http://schemas.openxmlformats.org/drawingml/2006/picture">
            <wp:extent cx="4754880" cy="4347319"/>
            <wp:docPr id="3" name="Picture 3"/>
            <wp:cNvGraphicFramePr>
              <a:graphicFrameLocks noChangeAspect="1"/>
            </wp:cNvGraphicFramePr>
            <a:graphic>
              <a:graphicData uri="http://schemas.openxmlformats.org/drawingml/2006/picture">
                <pic:pic>
                  <pic:nvPicPr>
                    <pic:cNvPr id="0" name="inference.png"/>
                    <pic:cNvPicPr/>
                  </pic:nvPicPr>
                  <pic:blipFill>
                    <a:blip r:embed="rId11"/>
                    <a:stretch>
                      <a:fillRect/>
                    </a:stretch>
                  </pic:blipFill>
                  <pic:spPr>
                    <a:xfrm>
                      <a:off x="0" y="0"/>
                      <a:ext cx="4754880" cy="4347319"/>
                    </a:xfrm>
                    <a:prstGeom prst="rect"/>
                  </pic:spPr>
                </pic:pic>
              </a:graphicData>
            </a:graphic>
          </wp:inline>
        </w:drawing>
      </w:r>
    </w:p>
    <w:p>
      <w:pPr>
        <w:spacing w:after="240"/>
        <w:jc w:val="center"/>
      </w:pPr>
      <w:r>
        <w:rPr>
          <w:i/>
          <w:color w:val="555F58"/>
          <w:sz w:val="17"/>
        </w:rPr>
        <w:t>Figure 3 — The /predict request path. Two red exits, one green path. Both exits return a well-formed result object with the same schema, so the client never has to branch on HTTP status to know the model declined.</w:t>
      </w:r>
    </w:p>
    <w:p>
      <w:pPr>
        <w:pStyle w:val="Heading2"/>
      </w:pPr>
      <w:r>
        <w:t>5.1  Step 1 — Leaf isolation (crop_to_leaf)</w:t>
      </w:r>
    </w:p>
    <w:p>
      <w:r>
        <w:t>The model was trained mostly on centred lab leaves, so a busy field photo of soil, sky and neighbouring plants is out of distribution before the classifier even sees it. This step builds a foreground mask and crops to it:</w:t>
      </w:r>
    </w:p>
    <w:p>
      <w:pPr>
        <w:pStyle w:val="ListBullet"/>
      </w:pPr>
      <w:r>
        <w:rPr>
          <w:b/>
        </w:rPr>
        <w:t>Green tissue:</w:t>
      </w:r>
      <w:r>
        <w:t xml:space="preserve"> Excess-Green index </w:t>
      </w:r>
      <w:r>
        <w:rPr>
          <w:rFonts w:ascii="Consolas" w:hAnsi="Consolas"/>
          <w:color w:val="33443A"/>
          <w:sz w:val="19"/>
        </w:rPr>
        <w:t>2G − R − B &gt; 15</w:t>
      </w:r>
      <w:r>
        <w:t>.</w:t>
      </w:r>
    </w:p>
    <w:p>
      <w:pPr>
        <w:pStyle w:val="ListBullet"/>
      </w:pPr>
      <w:r>
        <w:rPr>
          <w:b/>
        </w:rPr>
        <w:t>Diseased tissue:</w:t>
      </w:r>
      <w:r>
        <w:t xml:space="preserve"> HSV hue 15–45 with S &gt; 110 and V &gt; 90 — a deliberately </w:t>
      </w:r>
      <w:r>
        <w:rPr>
          <w:i/>
        </w:rPr>
        <w:t>narrow</w:t>
      </w:r>
      <w:r>
        <w:t xml:space="preserve"> band, so dull brown soil (which shares that hue) is not swept in as foreground.</w:t>
      </w:r>
    </w:p>
    <w:p>
      <w:pPr>
        <w:pStyle w:val="ListBullet"/>
      </w:pPr>
      <w:r>
        <w:t>Morphological open then close with a 7×7 ellipse, take the largest contour, pad its bounding box by 10%.</w:t>
      </w:r>
    </w:p>
    <w:p>
      <w:r>
        <w:t xml:space="preserve">The safety rails matter more than the mask. If the blob covers less than 5% of the frame the mask is untrustworthy; if it covers more than 90% the leaf already fills the frame (a lab photo); if the resulting crop is thinner than 15% of either dimension it is absurd. In all of those cases — and in any exception — the function returns the </w:t>
      </w:r>
      <w:r>
        <w:rPr>
          <w:b/>
        </w:rPr>
        <w:t>original image unchanged</w:t>
      </w:r>
      <w:r>
        <w:t>. It can only help, never mangle.</w:t>
      </w:r>
    </w:p>
    <w:p>
      <w:pPr>
        <w:pStyle w:val="Heading2"/>
      </w:pPr>
      <w:r>
        <w:t>5.2  Step 2 — Leaf pre-check (is_leaf_image)</w:t>
      </w:r>
    </w:p>
    <w:p>
      <w:r>
        <w:t>Four cheap independent heuristics; the image must pass at least three:</w:t>
      </w:r>
    </w:p>
    <w:tbl>
      <w:tblPr>
        <w:tblStyle w:val="TableGrid"/>
        <w:jc w:val="left"/>
        <w:tblLook w:firstColumn="1" w:firstRow="1" w:lastColumn="0" w:lastRow="0" w:noHBand="0" w:noVBand="1" w:val="04A0"/>
        <w:tblLayout w:type="fixed"/>
        <w:tblW w:w="9000" w:type="dxa"/>
      </w:tblPr>
      <w:tblGrid>
        <w:gridCol w:w="3888"/>
        <w:gridCol w:w="1296"/>
        <w:gridCol w:w="3816"/>
      </w:tblGrid>
      <w:tr>
        <w:tc>
          <w:tcPr>
            <w:tcW w:type="dxa" w:w="3888"/>
            <w:shd w:val="clear" w:color="auto" w:fill="E8EDE6"/>
          </w:tcPr>
          <w:p>
            <w:pPr>
              <w:spacing w:after="20" w:before="20"/>
            </w:pPr>
            <w:r>
              <w:rPr>
                <w:b/>
                <w:color w:val="333D36"/>
                <w:sz w:val="18"/>
              </w:rPr>
              <w:t>Test</w:t>
            </w:r>
          </w:p>
        </w:tc>
        <w:tc>
          <w:tcPr>
            <w:tcW w:type="dxa" w:w="1296"/>
            <w:shd w:val="clear" w:color="auto" w:fill="E8EDE6"/>
          </w:tcPr>
          <w:p>
            <w:pPr>
              <w:spacing w:after="20" w:before="20"/>
            </w:pPr>
            <w:r>
              <w:rPr>
                <w:b/>
                <w:color w:val="333D36"/>
                <w:sz w:val="18"/>
              </w:rPr>
              <w:t>Threshold</w:t>
            </w:r>
          </w:p>
        </w:tc>
        <w:tc>
          <w:tcPr>
            <w:tcW w:type="dxa" w:w="3816"/>
            <w:shd w:val="clear" w:color="auto" w:fill="E8EDE6"/>
          </w:tcPr>
          <w:p>
            <w:pPr>
              <w:spacing w:after="20" w:before="20"/>
            </w:pPr>
            <w:r>
              <w:rPr>
                <w:b/>
                <w:color w:val="333D36"/>
                <w:sz w:val="18"/>
              </w:rPr>
              <w:t>Catches</w:t>
            </w:r>
          </w:p>
        </w:tc>
      </w:tr>
      <w:tr>
        <w:tc>
          <w:tcPr>
            <w:tcW w:type="dxa" w:w="3888"/>
          </w:tcPr>
          <w:p>
            <w:pPr>
              <w:spacing w:after="20" w:before="20"/>
            </w:pPr>
            <w:r>
              <w:rPr>
                <w:sz w:val="18"/>
              </w:rPr>
              <w:t>Leaf-colour ratio (green HSV 35–85 ∪ brown 10–35)</w:t>
            </w:r>
          </w:p>
        </w:tc>
        <w:tc>
          <w:tcPr>
            <w:tcW w:type="dxa" w:w="1296"/>
          </w:tcPr>
          <w:p>
            <w:pPr>
              <w:spacing w:after="20" w:before="20"/>
            </w:pPr>
            <w:r>
              <w:rPr>
                <w:sz w:val="18"/>
              </w:rPr>
              <w:t>&gt; 0.05</w:t>
            </w:r>
          </w:p>
        </w:tc>
        <w:tc>
          <w:tcPr>
            <w:tcW w:type="dxa" w:w="3816"/>
          </w:tcPr>
          <w:p>
            <w:pPr>
              <w:spacing w:after="20" w:before="20"/>
            </w:pPr>
            <w:r>
              <w:rPr>
                <w:sz w:val="18"/>
              </w:rPr>
              <w:t>Photos with no vegetation at all</w:t>
            </w:r>
          </w:p>
        </w:tc>
      </w:tr>
      <w:tr>
        <w:tc>
          <w:tcPr>
            <w:tcW w:type="dxa" w:w="3888"/>
          </w:tcPr>
          <w:p>
            <w:pPr>
              <w:spacing w:after="20" w:before="20"/>
            </w:pPr>
            <w:r>
              <w:rPr>
                <w:sz w:val="18"/>
              </w:rPr>
              <w:t>Greyscale standard deviation</w:t>
            </w:r>
          </w:p>
        </w:tc>
        <w:tc>
          <w:tcPr>
            <w:tcW w:type="dxa" w:w="1296"/>
          </w:tcPr>
          <w:p>
            <w:pPr>
              <w:spacing w:after="20" w:before="20"/>
            </w:pPr>
            <w:r>
              <w:rPr>
                <w:sz w:val="18"/>
              </w:rPr>
              <w:t>&gt; 20</w:t>
            </w:r>
          </w:p>
        </w:tc>
        <w:tc>
          <w:tcPr>
            <w:tcW w:type="dxa" w:w="3816"/>
          </w:tcPr>
          <w:p>
            <w:pPr>
              <w:spacing w:after="20" w:before="20"/>
            </w:pPr>
            <w:r>
              <w:rPr>
                <w:sz w:val="18"/>
              </w:rPr>
              <w:t>Blank walls, flat textureless surfaces</w:t>
            </w:r>
          </w:p>
        </w:tc>
      </w:tr>
      <w:tr>
        <w:tc>
          <w:tcPr>
            <w:tcW w:type="dxa" w:w="3888"/>
          </w:tcPr>
          <w:p>
            <w:pPr>
              <w:spacing w:after="20" w:before="20"/>
            </w:pPr>
            <w:r>
              <w:rPr>
                <w:sz w:val="18"/>
              </w:rPr>
              <w:t>Canny edge density</w:t>
            </w:r>
          </w:p>
        </w:tc>
        <w:tc>
          <w:tcPr>
            <w:tcW w:type="dxa" w:w="1296"/>
          </w:tcPr>
          <w:p>
            <w:pPr>
              <w:spacing w:after="20" w:before="20"/>
            </w:pPr>
            <w:r>
              <w:rPr>
                <w:sz w:val="18"/>
              </w:rPr>
              <w:t>&gt; 0.008</w:t>
            </w:r>
          </w:p>
        </w:tc>
        <w:tc>
          <w:tcPr>
            <w:tcW w:type="dxa" w:w="3816"/>
          </w:tcPr>
          <w:p>
            <w:pPr>
              <w:spacing w:after="20" w:before="20"/>
            </w:pPr>
            <w:r>
              <w:rPr>
                <w:sz w:val="18"/>
              </w:rPr>
              <w:t>Out-of-focus or featureless frames</w:t>
            </w:r>
          </w:p>
        </w:tc>
      </w:tr>
      <w:tr>
        <w:tc>
          <w:tcPr>
            <w:tcW w:type="dxa" w:w="3888"/>
          </w:tcPr>
          <w:p>
            <w:pPr>
              <w:spacing w:after="20" w:before="20"/>
            </w:pPr>
            <w:r>
              <w:rPr>
                <w:sz w:val="18"/>
              </w:rPr>
              <w:t>Aspect ratio (long ÷ short side)</w:t>
            </w:r>
          </w:p>
        </w:tc>
        <w:tc>
          <w:tcPr>
            <w:tcW w:type="dxa" w:w="1296"/>
          </w:tcPr>
          <w:p>
            <w:pPr>
              <w:spacing w:after="20" w:before="20"/>
            </w:pPr>
            <w:r>
              <w:rPr>
                <w:sz w:val="18"/>
              </w:rPr>
              <w:t>&gt; 1.1</w:t>
            </w:r>
          </w:p>
        </w:tc>
        <w:tc>
          <w:tcPr>
            <w:tcW w:type="dxa" w:w="3816"/>
          </w:tcPr>
          <w:p>
            <w:pPr>
              <w:spacing w:after="20" w:before="20"/>
            </w:pPr>
            <w:r>
              <w:rPr>
                <w:sz w:val="18"/>
              </w:rPr>
              <w:t>Weak signal — most leaf photos are not square</w:t>
            </w:r>
          </w:p>
        </w:tc>
      </w:tr>
    </w:tbl>
    <w:p>
      <w:pPr>
        <w:spacing w:after="120"/>
      </w:pPr>
    </w:p>
    <w:p>
      <w:r>
        <w:t xml:space="preserve">Failing this returns a complete </w:t>
      </w:r>
      <w:r>
        <w:rPr>
          <w:rFonts w:ascii="Consolas" w:hAnsi="Consolas"/>
          <w:color w:val="33443A"/>
          <w:sz w:val="19"/>
        </w:rPr>
        <w:t>"Not a Leaf"</w:t>
      </w:r>
      <w:r>
        <w:t xml:space="preserve"> result with </w:t>
      </w:r>
      <w:r>
        <w:rPr>
          <w:rFonts w:ascii="Consolas" w:hAnsi="Consolas"/>
          <w:color w:val="33443A"/>
          <w:sz w:val="19"/>
        </w:rPr>
        <w:t>not_leaf: true</w:t>
      </w:r>
      <w:r>
        <w:t xml:space="preserve"> and actionable advice, without ever running the model. Note that the 3-of-4 rule is what makes it usable: the aspect-ratio test is genuinely weak, and a perfectly square crop of a real leaf still passes on the other three.</w:t>
      </w:r>
    </w:p>
    <w:p>
      <w:pPr>
        <w:pStyle w:val="Heading2"/>
      </w:pPr>
      <w:r>
        <w:t>5.3  Step 3 — Preprocessing and forward pass</w:t>
      </w:r>
    </w:p>
    <w:p>
      <w:r>
        <w:t xml:space="preserve">Resize to 224×224, then </w:t>
      </w:r>
      <w:r>
        <w:rPr>
          <w:rFonts w:ascii="Consolas" w:hAnsi="Consolas"/>
          <w:color w:val="33443A"/>
          <w:sz w:val="19"/>
        </w:rPr>
        <w:t>efficientnet.preprocess_input</w:t>
      </w:r>
      <w:r>
        <w:t xml:space="preserve"> on raw 0–255 pixels — no manual </w:t>
      </w:r>
      <w:r>
        <w:rPr>
          <w:rFonts w:ascii="Consolas" w:hAnsi="Consolas"/>
          <w:color w:val="33443A"/>
          <w:sz w:val="19"/>
        </w:rPr>
        <w:t>/255</w:t>
      </w:r>
      <w:r>
        <w:t xml:space="preserve"> rescaling, because EfficientNet’s own preprocessing expects unscaled input. Getting this wrong is the classic silent accuracy killer, and the same function is used identically in the notebook, in </w:t>
      </w:r>
      <w:r>
        <w:rPr>
          <w:rFonts w:ascii="Consolas" w:hAnsi="Consolas"/>
          <w:color w:val="33443A"/>
          <w:sz w:val="19"/>
        </w:rPr>
        <w:t>main.py</w:t>
      </w:r>
      <w:r>
        <w:t xml:space="preserve">, and in the standalone tester </w:t>
      </w:r>
      <w:r>
        <w:rPr>
          <w:rFonts w:ascii="Consolas" w:hAnsi="Consolas"/>
          <w:color w:val="33443A"/>
          <w:sz w:val="19"/>
        </w:rPr>
        <w:t>predict_test.py</w:t>
      </w:r>
      <w:r>
        <w:t>.</w:t>
      </w:r>
    </w:p>
    <w:p>
      <w:r>
        <w:t xml:space="preserve">When open-set statistics are loaded, a single dual-output model returns the class probabilities </w:t>
      </w:r>
      <w:r>
        <w:rPr>
          <w:i/>
        </w:rPr>
        <w:t>and</w:t>
      </w:r>
      <w:r>
        <w:t xml:space="preserve"> the </w:t>
      </w:r>
      <w:r>
        <w:rPr>
          <w:rFonts w:ascii="Consolas" w:hAnsi="Consolas"/>
          <w:color w:val="33443A"/>
          <w:sz w:val="19"/>
        </w:rPr>
        <w:t>dense_hidden</w:t>
      </w:r>
      <w:r>
        <w:t xml:space="preserve"> embedding from the same forward pass, so the rejection check costs no extra inference.</w:t>
      </w:r>
    </w:p>
    <w:p>
      <w:pPr>
        <w:pStyle w:val="Heading2"/>
      </w:pPr>
      <w:r>
        <w:t>5.4  Step 4 — Post-processing</w:t>
      </w:r>
    </w:p>
    <w:p>
      <w:r>
        <w:t xml:space="preserve">Beyond the Unknown gate (section 6), two other flags shape the result: </w:t>
      </w:r>
      <w:r>
        <w:rPr>
          <w:b/>
        </w:rPr>
        <w:t>crop mismatch</w:t>
      </w:r>
      <w:r>
        <w:t xml:space="preserve">, raised when the predicted crop differs from the crop the user selected, and </w:t>
      </w:r>
      <w:r>
        <w:rPr>
          <w:b/>
        </w:rPr>
        <w:t>low confidence</w:t>
      </w:r>
      <w:r>
        <w:t xml:space="preserve">, raised below </w:t>
      </w:r>
      <w:r>
        <w:rPr>
          <w:rFonts w:ascii="Consolas" w:hAnsi="Consolas"/>
          <w:color w:val="33443A"/>
          <w:sz w:val="19"/>
        </w:rPr>
        <w:t>LOW_CONFIDENCE_THRESHOLD = 0.60</w:t>
      </w:r>
      <w:r>
        <w:t>. These are independent of Unknown — a confident, in-distribution Tomato prediction on a photo the user tagged as Potato is neither unknown nor low-confidence, but is still worth a warning.</w:t>
      </w:r>
    </w:p>
    <w:p>
      <w:r>
        <w:br w:type="page"/>
      </w:r>
    </w:p>
    <w:p>
      <w:pPr>
        <w:pStyle w:val="Heading1"/>
      </w:pPr>
      <w:r>
        <w:t>6.  Teaching the model to say “I don’t know”</w:t>
      </w:r>
    </w:p>
    <w:p>
      <w:r>
        <w:t>A 52-way softmax is closed-set: the probabilities must sum to 1, so a guava leaf — a crop the model has never seen — is forced onto some trained class, often with high confidence. Confidence thresholds alone cannot catch this. This is the most technically interesting problem in the project and the one most likely to be probed in a defense.</w:t>
      </w:r>
    </w:p>
    <w:p>
      <w:pPr>
        <w:spacing w:before="160" w:after="60"/>
        <w:jc w:val="center"/>
      </w:pPr>
      <w:r>
        <w:drawing>
          <wp:inline xmlns:a="http://schemas.openxmlformats.org/drawingml/2006/main" xmlns:pic="http://schemas.openxmlformats.org/drawingml/2006/picture">
            <wp:extent cx="5577840" cy="2247073"/>
            <wp:docPr id="4" name="Picture 4"/>
            <wp:cNvGraphicFramePr>
              <a:graphicFrameLocks noChangeAspect="1"/>
            </wp:cNvGraphicFramePr>
            <a:graphic>
              <a:graphicData uri="http://schemas.openxmlformats.org/drawingml/2006/picture">
                <pic:pic>
                  <pic:nvPicPr>
                    <pic:cNvPr id="0" name="openset.png"/>
                    <pic:cNvPicPr/>
                  </pic:nvPicPr>
                  <pic:blipFill>
                    <a:blip r:embed="rId12"/>
                    <a:stretch>
                      <a:fillRect/>
                    </a:stretch>
                  </pic:blipFill>
                  <pic:spPr>
                    <a:xfrm>
                      <a:off x="0" y="0"/>
                      <a:ext cx="5577840" cy="2247073"/>
                    </a:xfrm>
                    <a:prstGeom prst="rect"/>
                  </pic:spPr>
                </pic:pic>
              </a:graphicData>
            </a:graphic>
          </wp:inline>
        </w:drawing>
      </w:r>
    </w:p>
    <w:p>
      <w:pPr>
        <w:spacing w:after="240"/>
        <w:jc w:val="center"/>
      </w:pPr>
      <w:r>
        <w:rPr>
          <w:i/>
          <w:color w:val="555F58"/>
          <w:sz w:val="17"/>
        </w:rPr>
        <w:t>Figure 4 — Why softmax cannot reject an untrained crop. Softmax measures which trained class is relatively most likely; cosine distance to the class centroids measures whether the image resembles any trained class at all. The threshold shown, 0.6764, is the real calibrated value stored in final_field_Model/ood_stats.npz.</w:t>
      </w:r>
    </w:p>
    <w:p>
      <w:pPr>
        <w:pStyle w:val="Heading2"/>
      </w:pPr>
      <w:r>
        <w:t>6.1  The five conditions</w:t>
      </w:r>
    </w:p>
    <w:p>
      <w:r>
        <w:t xml:space="preserve">An input is declared unknown if </w:t>
      </w:r>
      <w:r>
        <w:rPr>
          <w:i/>
        </w:rPr>
        <w:t>any one</w:t>
      </w:r>
      <w:r>
        <w:t xml:space="preserve"> of these fires. They are ordered here from cheapest to most sophisticated:</w:t>
      </w:r>
    </w:p>
    <w:tbl>
      <w:tblPr>
        <w:tblStyle w:val="TableGrid"/>
        <w:jc w:val="left"/>
        <w:tblLook w:firstColumn="1" w:firstRow="1" w:lastColumn="0" w:lastRow="0" w:noHBand="0" w:noVBand="1" w:val="04A0"/>
        <w:tblLayout w:type="fixed"/>
        <w:tblW w:w="9000" w:type="dxa"/>
      </w:tblPr>
      <w:tblGrid>
        <w:gridCol w:w="503"/>
        <w:gridCol w:w="3456"/>
        <w:gridCol w:w="5040"/>
      </w:tblGrid>
      <w:tr>
        <w:tc>
          <w:tcPr>
            <w:tcW w:type="dxa" w:w="504"/>
            <w:shd w:val="clear" w:color="auto" w:fill="E8EDE6"/>
          </w:tcPr>
          <w:p>
            <w:pPr>
              <w:spacing w:after="20" w:before="20"/>
            </w:pPr>
            <w:r>
              <w:rPr>
                <w:b/>
                <w:color w:val="333D36"/>
                <w:sz w:val="18"/>
              </w:rPr>
              <w:t>#</w:t>
            </w:r>
          </w:p>
        </w:tc>
        <w:tc>
          <w:tcPr>
            <w:tcW w:type="dxa" w:w="3456"/>
            <w:shd w:val="clear" w:color="auto" w:fill="E8EDE6"/>
          </w:tcPr>
          <w:p>
            <w:pPr>
              <w:spacing w:after="20" w:before="20"/>
            </w:pPr>
            <w:r>
              <w:rPr>
                <w:b/>
                <w:color w:val="333D36"/>
                <w:sz w:val="18"/>
              </w:rPr>
              <w:t>Condition</w:t>
            </w:r>
          </w:p>
        </w:tc>
        <w:tc>
          <w:tcPr>
            <w:tcW w:type="dxa" w:w="5040"/>
            <w:shd w:val="clear" w:color="auto" w:fill="E8EDE6"/>
          </w:tcPr>
          <w:p>
            <w:pPr>
              <w:spacing w:after="20" w:before="20"/>
            </w:pPr>
            <w:r>
              <w:rPr>
                <w:b/>
                <w:color w:val="333D36"/>
                <w:sz w:val="18"/>
              </w:rPr>
              <w:t>What it catches</w:t>
            </w:r>
          </w:p>
        </w:tc>
      </w:tr>
      <w:tr>
        <w:tc>
          <w:tcPr>
            <w:tcW w:type="dxa" w:w="504"/>
          </w:tcPr>
          <w:p>
            <w:pPr>
              <w:spacing w:after="20" w:before="20"/>
            </w:pPr>
            <w:r>
              <w:rPr>
                <w:sz w:val="18"/>
              </w:rPr>
              <w:t>1</w:t>
            </w:r>
          </w:p>
        </w:tc>
        <w:tc>
          <w:tcPr>
            <w:tcW w:type="dxa" w:w="3456"/>
          </w:tcPr>
          <w:p>
            <w:pPr>
              <w:spacing w:after="20" w:before="20"/>
            </w:pPr>
            <w:r>
              <w:rPr>
                <w:rFonts w:ascii="Consolas" w:hAnsi="Consolas"/>
                <w:sz w:val="17"/>
              </w:rPr>
              <w:t>raw_class == "Unknown___Unknown"</w:t>
            </w:r>
          </w:p>
        </w:tc>
        <w:tc>
          <w:tcPr>
            <w:tcW w:type="dxa" w:w="5040"/>
          </w:tcPr>
          <w:p>
            <w:pPr>
              <w:spacing w:after="20" w:before="20"/>
            </w:pPr>
            <w:r>
              <w:rPr>
                <w:sz w:val="18"/>
              </w:rPr>
              <w:t xml:space="preserve">The model itself picked the catch-all class — including </w:t>
            </w:r>
            <w:r>
              <w:rPr>
                <w:i/>
                <w:sz w:val="18"/>
              </w:rPr>
              <w:t>confidently</w:t>
            </w:r>
            <w:r>
              <w:rPr>
                <w:sz w:val="18"/>
              </w:rPr>
              <w:t>, which the statistical tests below would miss entirely</w:t>
            </w:r>
          </w:p>
        </w:tc>
      </w:tr>
      <w:tr>
        <w:tc>
          <w:tcPr>
            <w:tcW w:type="dxa" w:w="504"/>
          </w:tcPr>
          <w:p>
            <w:pPr>
              <w:spacing w:after="20" w:before="20"/>
            </w:pPr>
            <w:r>
              <w:rPr>
                <w:sz w:val="18"/>
              </w:rPr>
              <w:t>2</w:t>
            </w:r>
          </w:p>
        </w:tc>
        <w:tc>
          <w:tcPr>
            <w:tcW w:type="dxa" w:w="3456"/>
          </w:tcPr>
          <w:p>
            <w:pPr>
              <w:spacing w:after="20" w:before="20"/>
            </w:pPr>
            <w:r>
              <w:rPr>
                <w:rFonts w:ascii="Consolas" w:hAnsi="Consolas"/>
                <w:sz w:val="17"/>
              </w:rPr>
              <w:t>confidence &lt; 0.30</w:t>
            </w:r>
          </w:p>
        </w:tc>
        <w:tc>
          <w:tcPr>
            <w:tcW w:type="dxa" w:w="5040"/>
          </w:tcPr>
          <w:p>
            <w:pPr>
              <w:spacing w:after="20" w:before="20"/>
            </w:pPr>
            <w:r>
              <w:rPr>
                <w:sz w:val="18"/>
              </w:rPr>
              <w:t>Flat-out uncertainty</w:t>
            </w:r>
          </w:p>
        </w:tc>
      </w:tr>
      <w:tr>
        <w:tc>
          <w:tcPr>
            <w:tcW w:type="dxa" w:w="504"/>
          </w:tcPr>
          <w:p>
            <w:pPr>
              <w:spacing w:after="20" w:before="20"/>
            </w:pPr>
            <w:r>
              <w:rPr>
                <w:sz w:val="18"/>
              </w:rPr>
              <w:t>3</w:t>
            </w:r>
          </w:p>
        </w:tc>
        <w:tc>
          <w:tcPr>
            <w:tcW w:type="dxa" w:w="3456"/>
          </w:tcPr>
          <w:p>
            <w:pPr>
              <w:spacing w:after="20" w:before="20"/>
            </w:pPr>
            <w:r>
              <w:rPr>
                <w:rFonts w:ascii="Consolas" w:hAnsi="Consolas"/>
                <w:sz w:val="17"/>
              </w:rPr>
              <w:t>confidence &lt; 0.50 and top1−top2 margin &lt; 5 pp</w:t>
            </w:r>
          </w:p>
        </w:tc>
        <w:tc>
          <w:tcPr>
            <w:tcW w:type="dxa" w:w="5040"/>
          </w:tcPr>
          <w:p>
            <w:pPr>
              <w:spacing w:after="20" w:before="20"/>
            </w:pPr>
            <w:r>
              <w:rPr>
                <w:sz w:val="18"/>
              </w:rPr>
              <w:t>A near-tie between two classes — a coin flip dressed as a prediction</w:t>
            </w:r>
          </w:p>
        </w:tc>
      </w:tr>
      <w:tr>
        <w:tc>
          <w:tcPr>
            <w:tcW w:type="dxa" w:w="504"/>
          </w:tcPr>
          <w:p>
            <w:pPr>
              <w:spacing w:after="20" w:before="20"/>
            </w:pPr>
            <w:r>
              <w:rPr>
                <w:sz w:val="18"/>
              </w:rPr>
              <w:t>4</w:t>
            </w:r>
          </w:p>
        </w:tc>
        <w:tc>
          <w:tcPr>
            <w:tcW w:type="dxa" w:w="3456"/>
          </w:tcPr>
          <w:p>
            <w:pPr>
              <w:spacing w:after="20" w:before="20"/>
            </w:pPr>
            <w:r>
              <w:rPr>
                <w:rFonts w:ascii="Consolas" w:hAnsi="Consolas"/>
                <w:sz w:val="17"/>
              </w:rPr>
              <w:t>normalized entropy &gt; 0.90</w:t>
            </w:r>
          </w:p>
        </w:tc>
        <w:tc>
          <w:tcPr>
            <w:tcW w:type="dxa" w:w="5040"/>
          </w:tcPr>
          <w:p>
            <w:pPr>
              <w:spacing w:after="20" w:before="20"/>
            </w:pPr>
            <w:r>
              <w:rPr>
                <w:sz w:val="18"/>
              </w:rPr>
              <w:t>Probability mass smeared across many classes, even if one nominally leads</w:t>
            </w:r>
          </w:p>
        </w:tc>
      </w:tr>
      <w:tr>
        <w:tc>
          <w:tcPr>
            <w:tcW w:type="dxa" w:w="504"/>
          </w:tcPr>
          <w:p>
            <w:pPr>
              <w:spacing w:after="20" w:before="20"/>
            </w:pPr>
            <w:r>
              <w:rPr>
                <w:sz w:val="18"/>
              </w:rPr>
              <w:t>5</w:t>
            </w:r>
          </w:p>
        </w:tc>
        <w:tc>
          <w:tcPr>
            <w:tcW w:type="dxa" w:w="3456"/>
          </w:tcPr>
          <w:p>
            <w:pPr>
              <w:spacing w:after="20" w:before="20"/>
            </w:pPr>
            <w:r>
              <w:rPr>
                <w:rFonts w:ascii="Consolas" w:hAnsi="Consolas"/>
                <w:sz w:val="17"/>
              </w:rPr>
              <w:t>max cosine similarity to any centroid &lt; threshold</w:t>
            </w:r>
          </w:p>
        </w:tc>
        <w:tc>
          <w:tcPr>
            <w:tcW w:type="dxa" w:w="5040"/>
          </w:tcPr>
          <w:p>
            <w:pPr>
              <w:spacing w:after="20" w:before="20"/>
            </w:pPr>
            <w:r>
              <w:rPr>
                <w:sz w:val="18"/>
              </w:rPr>
              <w:t xml:space="preserve">An untrained crop the model is </w:t>
            </w:r>
            <w:r>
              <w:rPr>
                <w:i/>
                <w:sz w:val="18"/>
              </w:rPr>
              <w:t>confident</w:t>
            </w:r>
            <w:r>
              <w:rPr>
                <w:sz w:val="18"/>
              </w:rPr>
              <w:t xml:space="preserve"> about — the case none of the above can reach</w:t>
            </w:r>
          </w:p>
        </w:tc>
      </w:tr>
    </w:tbl>
    <w:p>
      <w:pPr>
        <w:spacing w:after="120"/>
      </w:pPr>
    </w:p>
    <w:p>
      <w:r>
        <w:t xml:space="preserve">Entropy is normalized by </w:t>
      </w:r>
      <w:r>
        <w:rPr>
          <w:rFonts w:ascii="Consolas" w:hAnsi="Consolas"/>
          <w:color w:val="33443A"/>
          <w:sz w:val="19"/>
        </w:rPr>
        <w:t>log(n_classes)</w:t>
      </w:r>
      <w:r>
        <w:t xml:space="preserve"> so it sits on [0, 1] regardless of how many classes the model has — the threshold survives adding a class.</w:t>
      </w:r>
    </w:p>
    <w:p>
      <w:pPr>
        <w:pStyle w:val="Heading2"/>
      </w:pPr>
      <w:r>
        <w:t>6.2  How the open-set threshold is calibrated</w:t>
      </w:r>
    </w:p>
    <w:p>
      <w:pPr>
        <w:pStyle w:val="ListNumber"/>
      </w:pPr>
      <w:r>
        <w:t xml:space="preserve">Embed the entire training set through </w:t>
      </w:r>
      <w:r>
        <w:rPr>
          <w:rFonts w:ascii="Consolas" w:hAnsi="Consolas"/>
          <w:color w:val="33443A"/>
          <w:sz w:val="19"/>
        </w:rPr>
        <w:t>dense_hidden</w:t>
      </w:r>
      <w:r>
        <w:t xml:space="preserve"> and L2-normalize.</w:t>
      </w:r>
    </w:p>
    <w:p>
      <w:pPr>
        <w:pStyle w:val="ListNumber"/>
      </w:pPr>
      <w:r>
        <w:t xml:space="preserve">Compute one centroid per </w:t>
      </w:r>
      <w:r>
        <w:rPr>
          <w:i/>
        </w:rPr>
        <w:t>trained</w:t>
      </w:r>
      <w:r>
        <w:t xml:space="preserve"> class — the Unknown class is excluded, because it is a grab-bag with no coherent centre — giving 51 centroids of 512 dimensions.</w:t>
      </w:r>
    </w:p>
    <w:p>
      <w:pPr>
        <w:pStyle w:val="ListNumber"/>
      </w:pPr>
      <w:r>
        <w:t xml:space="preserve">Score a new image as its </w:t>
      </w:r>
      <w:r>
        <w:rPr>
          <w:b/>
        </w:rPr>
        <w:t>highest cosine similarity to any centroid</w:t>
      </w:r>
      <w:r>
        <w:t>.</w:t>
      </w:r>
    </w:p>
    <w:p>
      <w:pPr>
        <w:pStyle w:val="ListNumber"/>
      </w:pPr>
      <w:r>
        <w:t xml:space="preserve">Set the threshold at the 5th percentile of the scores of </w:t>
      </w:r>
      <w:r>
        <w:rPr>
          <w:i/>
        </w:rPr>
        <w:t>known</w:t>
      </w:r>
      <w:r>
        <w:t xml:space="preserve"> validation leaves, so </w:t>
      </w:r>
      <w:r>
        <w:rPr>
          <w:rFonts w:ascii="Consolas" w:hAnsi="Consolas"/>
          <w:color w:val="33443A"/>
          <w:sz w:val="19"/>
        </w:rPr>
        <w:t>TARGET_KNOWN_ACCEPT = 0.95</w:t>
      </w:r>
      <w:r>
        <w:t xml:space="preserve"> — the mechanism is tuned to wrongly reject at most 5% of genuine known crops. That is the explicit, quantified price paid for rejection.</w:t>
      </w:r>
    </w:p>
    <w:p>
      <w:pPr>
        <w:pStyle w:val="Heading2"/>
      </w:pPr>
      <w:r>
        <w:t>6.3  Two kinds of “unknown” — and why the distinction is in the UI</w:t>
      </w:r>
    </w:p>
    <w:p>
      <w:r>
        <w:t xml:space="preserve">Two very different situations reach this gate, and a user needs to know which one they hit. The backend sets </w:t>
      </w:r>
      <w:r>
        <w:rPr>
          <w:rFonts w:ascii="Consolas" w:hAnsi="Consolas"/>
          <w:color w:val="33443A"/>
          <w:sz w:val="19"/>
        </w:rPr>
        <w:t>unknown_reason</w:t>
      </w:r>
      <w:r>
        <w:t xml:space="preserve"> accordingly:</w:t>
      </w:r>
    </w:p>
    <w:p>
      <w:pPr>
        <w:pStyle w:val="ListBullet"/>
      </w:pPr>
      <w:r>
        <w:rPr>
          <w:b/>
        </w:rPr>
        <w:t>unsupported_crop</w:t>
      </w:r>
      <w:r>
        <w:t xml:space="preserve"> → displayed as </w:t>
      </w:r>
      <w:r>
        <w:rPr>
          <w:b/>
        </w:rPr>
        <w:t>“Crop Not Supported”</w:t>
      </w:r>
      <w:r>
        <w:t xml:space="preserve">. Fires when the feature-distance rule triggers, or when the model confidently (≥ 0.50) picks the Unknown class. The message names the crops that </w:t>
      </w:r>
      <w:r>
        <w:rPr>
          <w:i/>
        </w:rPr>
        <w:t>are</w:t>
      </w:r>
      <w:r>
        <w:t xml:space="preserve"> covered, generated from </w:t>
      </w:r>
      <w:r>
        <w:rPr>
          <w:rFonts w:ascii="Consolas" w:hAnsi="Consolas"/>
          <w:color w:val="33443A"/>
          <w:sz w:val="19"/>
        </w:rPr>
        <w:t>class_names</w:t>
      </w:r>
      <w:r>
        <w:t xml:space="preserve"> so it is always accurate.</w:t>
      </w:r>
    </w:p>
    <w:p>
      <w:pPr>
        <w:pStyle w:val="ListBullet"/>
      </w:pPr>
      <w:r>
        <w:rPr>
          <w:b/>
        </w:rPr>
        <w:t>uncertain</w:t>
      </w:r>
      <w:r>
        <w:t xml:space="preserve"> → displayed as </w:t>
      </w:r>
      <w:r>
        <w:rPr>
          <w:b/>
        </w:rPr>
        <w:t>“Not Identified”</w:t>
      </w:r>
      <w:r>
        <w:t xml:space="preserve">. Message: </w:t>
      </w:r>
      <w:r>
        <w:rPr>
          <w:i/>
        </w:rPr>
        <w:t>“Take a closer, sharper photo of a single leaf in even daylight and try again.”</w:t>
      </w:r>
    </w:p>
    <w:p>
      <w:r>
        <w:t xml:space="preserve">Telling a farmer “Unknown” for both would be a usability failure: one means </w:t>
      </w:r>
      <w:r>
        <w:rPr>
          <w:i/>
        </w:rPr>
        <w:t>take a better photo</w:t>
      </w:r>
      <w:r>
        <w:t xml:space="preserve">, the other means </w:t>
      </w:r>
      <w:r>
        <w:rPr>
          <w:i/>
        </w:rPr>
        <w:t>this tool cannot help you at all</w:t>
      </w:r>
      <w:r>
        <w:t>.</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BEBE7"/>
          </w:tcPr>
          <w:p>
            <w:pPr>
              <w:spacing w:after="60"/>
            </w:pPr>
            <w:r>
              <w:rPr>
                <w:rFonts w:ascii="Calibri" w:hAnsi="Calibri"/>
                <w:b/>
                <w:color w:val="8E2F22"/>
                <w:sz w:val="17"/>
              </w:rPr>
              <w:t>MUST KNOW — CURRENT DEPLOYMENT STATE</w:t>
              <w:br/>
              <w:t>Open-set rejection is live. last_final_model/ood_stats.npz holds 51 L2-normalised centroids of 512 dimensions with threshold τ = 0.5596, computed from the same run as the deployed weights, and start-up logs “Open-set rejection enabled: 51 centroids, threshold 0.5596”. An earlier checkpoint shipped the file mis-named (odd_stats.npz) and with the wrong schema, which silently disabled the rule — the fix was to regenerate it from the matching run, never to copy an older file, because centroids are only meaningful against the weights they were computed from. Measured effectiveness is a separate matter: see section 13.6.</w:t>
            </w:r>
          </w:p>
        </w:tc>
      </w:tr>
    </w:tbl>
    <w:p>
      <w:pPr>
        <w:spacing w:after="80"/>
      </w:pPr>
    </w:p>
    <w:p>
      <w:r>
        <w:br w:type="page"/>
      </w:r>
    </w:p>
    <w:p>
      <w:pPr>
        <w:pStyle w:val="Heading1"/>
      </w:pPr>
      <w:r>
        <w:t>7.  Explainability — Grad-CAM</w:t>
      </w:r>
    </w:p>
    <w:p>
      <w:r>
        <w:t>Every successful prediction ships a heatmap showing which regions of the image drove the classification. This is what turns the system from a black box into something a user can sanity-check: if the model says Late Blight but the heat sits on a background twig, the user can see the result is untrustworthy without understanding a single thing about neural networks.</w:t>
      </w:r>
    </w:p>
    <w:p>
      <w:pPr>
        <w:pStyle w:val="Heading2"/>
      </w:pPr>
      <w:r>
        <w:t>7.1  How it is computed</w:t>
      </w:r>
    </w:p>
    <w:p>
      <w:pPr>
        <w:pStyle w:val="ListNumber"/>
      </w:pPr>
      <w:r>
        <w:t>Walk the model in reverse to find the last layer whose output has rank 4 (a spatial feature map) inside the backbone.</w:t>
      </w:r>
    </w:p>
    <w:p>
      <w:pPr>
        <w:pStyle w:val="ListNumber"/>
      </w:pPr>
      <w:r>
        <w:t xml:space="preserve">Build a sub-model returning that layer’s activations plus the backbone output; under a </w:t>
      </w:r>
      <w:r>
        <w:rPr>
          <w:rFonts w:ascii="Consolas" w:hAnsi="Consolas"/>
          <w:color w:val="33443A"/>
          <w:sz w:val="19"/>
        </w:rPr>
        <w:t>GradientTape</w:t>
      </w:r>
      <w:r>
        <w:t>, push the backbone output through the remaining head layers to recover the class logit.</w:t>
      </w:r>
    </w:p>
    <w:p>
      <w:pPr>
        <w:pStyle w:val="ListNumber"/>
      </w:pPr>
      <w:r>
        <w:t>Take gradients of that logit with respect to the conv activations, global-average-pool them into per-channel weights, and take the weighted sum of the feature maps.</w:t>
      </w:r>
    </w:p>
    <w:p>
      <w:pPr>
        <w:pStyle w:val="ListNumber"/>
      </w:pPr>
      <w:r>
        <w:t xml:space="preserve">ReLU, normalize to [0, 1], resize to the source image, apply </w:t>
      </w:r>
      <w:r>
        <w:rPr>
          <w:rFonts w:ascii="Consolas" w:hAnsi="Consolas"/>
          <w:color w:val="33443A"/>
          <w:sz w:val="19"/>
        </w:rPr>
        <w:t>COLORMAP_JET</w:t>
      </w:r>
      <w:r>
        <w:t>, and blend at 60% original / 40% heatmap.</w:t>
      </w:r>
    </w:p>
    <w:p>
      <w:pPr>
        <w:pStyle w:val="Heading2"/>
      </w:pPr>
      <w:r>
        <w:t>7.2  Two bugs worth mentioning as engineering evidence</w:t>
      </w:r>
    </w:p>
    <w:p>
      <w:r>
        <w:t>Both are documented in code comments and both are the kind of failure that is invisible rather than loud — good material if asked about debugging:</w:t>
      </w:r>
    </w:p>
    <w:p>
      <w:pPr>
        <w:pStyle w:val="ListBullet"/>
      </w:pPr>
      <w:r>
        <w:rPr>
          <w:b/>
        </w:rPr>
        <w:t>Keras 3 removed `Layer.output_shape`.</w:t>
      </w:r>
      <w:r>
        <w:t xml:space="preserve"> The original layer-walk raised </w:t>
      </w:r>
      <w:r>
        <w:rPr>
          <w:rFonts w:ascii="Consolas" w:hAnsi="Consolas"/>
          <w:color w:val="33443A"/>
          <w:sz w:val="19"/>
        </w:rPr>
        <w:t>AttributeError</w:t>
      </w:r>
      <w:r>
        <w:t xml:space="preserve"> on every layer, so the search silently returned the base-model wrapper instead of a conv layer and Grad-CAM was disabled entirely — with no error surfaced. The fix (</w:t>
      </w:r>
      <w:r>
        <w:rPr>
          <w:rFonts w:ascii="Consolas" w:hAnsi="Consolas"/>
          <w:color w:val="33443A"/>
          <w:sz w:val="19"/>
        </w:rPr>
        <w:t>_output_rank</w:t>
      </w:r>
      <w:r>
        <w:t xml:space="preserve">) tries </w:t>
      </w:r>
      <w:r>
        <w:rPr>
          <w:rFonts w:ascii="Consolas" w:hAnsi="Consolas"/>
          <w:color w:val="33443A"/>
          <w:sz w:val="19"/>
        </w:rPr>
        <w:t>layer.output.shape</w:t>
      </w:r>
      <w:r>
        <w:t xml:space="preserve"> first and falls back to the Keras 2 spelling.</w:t>
      </w:r>
    </w:p>
    <w:p>
      <w:pPr>
        <w:pStyle w:val="ListBullet"/>
      </w:pPr>
      <w:r>
        <w:rPr>
          <w:b/>
        </w:rPr>
        <w:t>`np.maximum` on a tensor already returns an ndarray</w:t>
      </w:r>
      <w:r>
        <w:t xml:space="preserve">, so the following </w:t>
      </w:r>
      <w:r>
        <w:rPr>
          <w:rFonts w:ascii="Consolas" w:hAnsi="Consolas"/>
          <w:color w:val="33443A"/>
          <w:sz w:val="19"/>
        </w:rPr>
        <w:t>.numpy()</w:t>
      </w:r>
      <w:r>
        <w:t xml:space="preserve"> call raised </w:t>
      </w:r>
      <w:r>
        <w:rPr>
          <w:rFonts w:ascii="Consolas" w:hAnsi="Consolas"/>
          <w:color w:val="33443A"/>
          <w:sz w:val="19"/>
        </w:rPr>
        <w:t>AttributeError</w:t>
      </w:r>
      <w:r>
        <w:t xml:space="preserve"> — which the surrounding </w:t>
      </w:r>
      <w:r>
        <w:rPr>
          <w:rFonts w:ascii="Consolas" w:hAnsi="Consolas"/>
          <w:color w:val="33443A"/>
          <w:sz w:val="19"/>
        </w:rPr>
        <w:t>except</w:t>
      </w:r>
      <w:r>
        <w:t xml:space="preserve"> swallowed, again silently disabling the heatmap.</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EDF3EE"/>
          </w:tcPr>
          <w:p>
            <w:pPr>
              <w:spacing w:after="60"/>
            </w:pPr>
            <w:r>
              <w:rPr>
                <w:rFonts w:ascii="Calibri" w:hAnsi="Calibri"/>
                <w:b/>
                <w:color w:val="1F5C38"/>
                <w:sz w:val="17"/>
              </w:rPr>
              <w:t>HONESTY IN THE UI</w:t>
            </w:r>
          </w:p>
          <w:p>
            <w:pPr>
              <w:spacing w:after="0"/>
            </w:pPr>
            <w:r>
              <w:rPr>
                <w:sz w:val="20"/>
              </w:rPr>
              <w:t xml:space="preserve">The result page states, verbatim: </w:t>
            </w:r>
            <w:r>
              <w:rPr>
                <w:i/>
                <w:sz w:val="20"/>
              </w:rPr>
              <w:t>“Highlighted areas show which parts of the image influenced the model most. This visual explanation does not confirm the diagnosis.”</w:t>
            </w:r>
            <w:r>
              <w:rPr>
                <w:sz w:val="20"/>
              </w:rPr>
              <w:t xml:space="preserve"> Grad-CAM is an attribution method, not a validation method — a model can be confidently wrong and still produce a plausible-looking heatmap. Saying so out loud is the correct engineering position.</w:t>
            </w:r>
          </w:p>
        </w:tc>
      </w:tr>
    </w:tbl>
    <w:p>
      <w:pPr>
        <w:spacing w:after="80"/>
      </w:pPr>
    </w:p>
    <w:p>
      <w:pPr>
        <w:pStyle w:val="Heading1"/>
      </w:pPr>
      <w:r>
        <w:t>8.  API surface</w:t>
      </w:r>
    </w:p>
    <w:tbl>
      <w:tblPr>
        <w:tblStyle w:val="TableGrid"/>
        <w:jc w:val="left"/>
        <w:tblLook w:firstColumn="1" w:firstRow="1" w:lastColumn="0" w:lastRow="0" w:noHBand="0" w:noVBand="1" w:val="04A0"/>
        <w:tblLayout w:type="fixed"/>
        <w:tblW w:w="9000" w:type="dxa"/>
      </w:tblPr>
      <w:tblGrid>
        <w:gridCol w:w="1007"/>
        <w:gridCol w:w="2160"/>
        <w:gridCol w:w="864"/>
        <w:gridCol w:w="4968"/>
      </w:tblGrid>
      <w:tr>
        <w:tc>
          <w:tcPr>
            <w:tcW w:type="dxa" w:w="1008"/>
            <w:shd w:val="clear" w:color="auto" w:fill="E8EDE6"/>
          </w:tcPr>
          <w:p>
            <w:pPr>
              <w:spacing w:after="20" w:before="20"/>
            </w:pPr>
            <w:r>
              <w:rPr>
                <w:b/>
                <w:color w:val="333D36"/>
                <w:sz w:val="18"/>
              </w:rPr>
              <w:t>Method</w:t>
            </w:r>
          </w:p>
        </w:tc>
        <w:tc>
          <w:tcPr>
            <w:tcW w:type="dxa" w:w="2160"/>
            <w:shd w:val="clear" w:color="auto" w:fill="E8EDE6"/>
          </w:tcPr>
          <w:p>
            <w:pPr>
              <w:spacing w:after="20" w:before="20"/>
            </w:pPr>
            <w:r>
              <w:rPr>
                <w:b/>
                <w:color w:val="333D36"/>
                <w:sz w:val="18"/>
              </w:rPr>
              <w:t>Path</w:t>
            </w:r>
          </w:p>
        </w:tc>
        <w:tc>
          <w:tcPr>
            <w:tcW w:type="dxa" w:w="864"/>
            <w:shd w:val="clear" w:color="auto" w:fill="E8EDE6"/>
          </w:tcPr>
          <w:p>
            <w:pPr>
              <w:spacing w:after="20" w:before="20"/>
            </w:pPr>
            <w:r>
              <w:rPr>
                <w:b/>
                <w:color w:val="333D36"/>
                <w:sz w:val="18"/>
              </w:rPr>
              <w:t>Auth</w:t>
            </w:r>
          </w:p>
        </w:tc>
        <w:tc>
          <w:tcPr>
            <w:tcW w:type="dxa" w:w="4968"/>
            <w:shd w:val="clear" w:color="auto" w:fill="E8EDE6"/>
          </w:tcPr>
          <w:p>
            <w:pPr>
              <w:spacing w:after="20" w:before="20"/>
            </w:pPr>
            <w:r>
              <w:rPr>
                <w:b/>
                <w:color w:val="333D36"/>
                <w:sz w:val="18"/>
              </w:rPr>
              <w:t>Purpose</w:t>
            </w:r>
          </w:p>
        </w:tc>
      </w:tr>
      <w:tr>
        <w:tc>
          <w:tcPr>
            <w:tcW w:type="dxa" w:w="1008"/>
          </w:tcPr>
          <w:p>
            <w:pPr>
              <w:spacing w:after="20" w:before="20"/>
            </w:pPr>
            <w:r>
              <w:rPr>
                <w:rFonts w:ascii="Consolas" w:hAnsi="Consolas"/>
                <w:sz w:val="17"/>
              </w:rPr>
              <w:t>GET</w:t>
            </w:r>
          </w:p>
        </w:tc>
        <w:tc>
          <w:tcPr>
            <w:tcW w:type="dxa" w:w="2160"/>
          </w:tcPr>
          <w:p>
            <w:pPr>
              <w:spacing w:after="20" w:before="20"/>
            </w:pPr>
            <w:r>
              <w:rPr>
                <w:rFonts w:ascii="Consolas" w:hAnsi="Consolas"/>
                <w:sz w:val="17"/>
              </w:rPr>
              <w:t>/</w:t>
            </w:r>
          </w:p>
        </w:tc>
        <w:tc>
          <w:tcPr>
            <w:tcW w:type="dxa" w:w="864"/>
          </w:tcPr>
          <w:p>
            <w:pPr>
              <w:spacing w:after="20" w:before="20"/>
            </w:pPr>
            <w:r>
              <w:rPr>
                <w:sz w:val="18"/>
              </w:rPr>
              <w:t>—</w:t>
            </w:r>
          </w:p>
        </w:tc>
        <w:tc>
          <w:tcPr>
            <w:tcW w:type="dxa" w:w="4968"/>
          </w:tcPr>
          <w:p>
            <w:pPr>
              <w:spacing w:after="20" w:before="20"/>
            </w:pPr>
            <w:r>
              <w:rPr>
                <w:sz w:val="18"/>
              </w:rPr>
              <w:t>Status message</w:t>
            </w:r>
          </w:p>
        </w:tc>
      </w:tr>
      <w:tr>
        <w:tc>
          <w:tcPr>
            <w:tcW w:type="dxa" w:w="1008"/>
          </w:tcPr>
          <w:p>
            <w:pPr>
              <w:spacing w:after="20" w:before="20"/>
            </w:pPr>
            <w:r>
              <w:rPr>
                <w:rFonts w:ascii="Consolas" w:hAnsi="Consolas"/>
                <w:sz w:val="17"/>
              </w:rPr>
              <w:t>GET</w:t>
            </w:r>
          </w:p>
        </w:tc>
        <w:tc>
          <w:tcPr>
            <w:tcW w:type="dxa" w:w="2160"/>
          </w:tcPr>
          <w:p>
            <w:pPr>
              <w:spacing w:after="20" w:before="20"/>
            </w:pPr>
            <w:r>
              <w:rPr>
                <w:rFonts w:ascii="Consolas" w:hAnsi="Consolas"/>
                <w:sz w:val="17"/>
              </w:rPr>
              <w:t>/health</w:t>
            </w:r>
          </w:p>
        </w:tc>
        <w:tc>
          <w:tcPr>
            <w:tcW w:type="dxa" w:w="864"/>
          </w:tcPr>
          <w:p>
            <w:pPr>
              <w:spacing w:after="20" w:before="20"/>
            </w:pPr>
            <w:r>
              <w:rPr>
                <w:sz w:val="18"/>
              </w:rPr>
              <w:t>—</w:t>
            </w:r>
          </w:p>
        </w:tc>
        <w:tc>
          <w:tcPr>
            <w:tcW w:type="dxa" w:w="4968"/>
          </w:tcPr>
          <w:p>
            <w:pPr>
              <w:spacing w:after="20" w:before="20"/>
            </w:pPr>
            <w:r>
              <w:rPr>
                <w:sz w:val="18"/>
              </w:rPr>
              <w:t>Liveness: model_loaded, model_backbone, number_of_classes</w:t>
            </w:r>
          </w:p>
        </w:tc>
      </w:tr>
      <w:tr>
        <w:tc>
          <w:tcPr>
            <w:tcW w:type="dxa" w:w="1008"/>
          </w:tcPr>
          <w:p>
            <w:pPr>
              <w:spacing w:after="20" w:before="20"/>
            </w:pPr>
            <w:r>
              <w:rPr>
                <w:rFonts w:ascii="Consolas" w:hAnsi="Consolas"/>
                <w:sz w:val="17"/>
              </w:rPr>
              <w:t>POST</w:t>
            </w:r>
          </w:p>
        </w:tc>
        <w:tc>
          <w:tcPr>
            <w:tcW w:type="dxa" w:w="2160"/>
          </w:tcPr>
          <w:p>
            <w:pPr>
              <w:spacing w:after="20" w:before="20"/>
            </w:pPr>
            <w:r>
              <w:rPr>
                <w:rFonts w:ascii="Consolas" w:hAnsi="Consolas"/>
                <w:sz w:val="17"/>
              </w:rPr>
              <w:t>/predict</w:t>
            </w:r>
          </w:p>
        </w:tc>
        <w:tc>
          <w:tcPr>
            <w:tcW w:type="dxa" w:w="864"/>
          </w:tcPr>
          <w:p>
            <w:pPr>
              <w:spacing w:after="20" w:before="20"/>
            </w:pPr>
            <w:r>
              <w:rPr>
                <w:sz w:val="18"/>
              </w:rPr>
              <w:t>—</w:t>
            </w:r>
          </w:p>
        </w:tc>
        <w:tc>
          <w:tcPr>
            <w:tcW w:type="dxa" w:w="4968"/>
          </w:tcPr>
          <w:p>
            <w:pPr>
              <w:spacing w:after="20" w:before="20"/>
            </w:pPr>
            <w:r>
              <w:rPr>
                <w:sz w:val="18"/>
              </w:rPr>
              <w:t>The core endpoint. Multipart: file (required), crop_type (optional)</w:t>
            </w:r>
          </w:p>
        </w:tc>
      </w:tr>
      <w:tr>
        <w:tc>
          <w:tcPr>
            <w:tcW w:type="dxa" w:w="1008"/>
          </w:tcPr>
          <w:p>
            <w:pPr>
              <w:spacing w:after="20" w:before="20"/>
            </w:pPr>
            <w:r>
              <w:rPr>
                <w:rFonts w:ascii="Consolas" w:hAnsi="Consolas"/>
                <w:sz w:val="17"/>
              </w:rPr>
              <w:t>POST</w:t>
            </w:r>
          </w:p>
        </w:tc>
        <w:tc>
          <w:tcPr>
            <w:tcW w:type="dxa" w:w="2160"/>
          </w:tcPr>
          <w:p>
            <w:pPr>
              <w:spacing w:after="20" w:before="20"/>
            </w:pPr>
            <w:r>
              <w:rPr>
                <w:rFonts w:ascii="Consolas" w:hAnsi="Consolas"/>
                <w:sz w:val="17"/>
              </w:rPr>
              <w:t>/auth/signup</w:t>
            </w:r>
          </w:p>
        </w:tc>
        <w:tc>
          <w:tcPr>
            <w:tcW w:type="dxa" w:w="864"/>
          </w:tcPr>
          <w:p>
            <w:pPr>
              <w:spacing w:after="20" w:before="20"/>
            </w:pPr>
            <w:r>
              <w:rPr>
                <w:sz w:val="18"/>
              </w:rPr>
              <w:t>—</w:t>
            </w:r>
          </w:p>
        </w:tc>
        <w:tc>
          <w:tcPr>
            <w:tcW w:type="dxa" w:w="4968"/>
          </w:tcPr>
          <w:p>
            <w:pPr>
              <w:spacing w:after="20" w:before="20"/>
            </w:pPr>
            <w:r>
              <w:rPr>
                <w:sz w:val="18"/>
              </w:rPr>
              <w:t>Create account — username, email, password</w:t>
            </w:r>
          </w:p>
        </w:tc>
      </w:tr>
      <w:tr>
        <w:tc>
          <w:tcPr>
            <w:tcW w:type="dxa" w:w="1008"/>
          </w:tcPr>
          <w:p>
            <w:pPr>
              <w:spacing w:after="20" w:before="20"/>
            </w:pPr>
            <w:r>
              <w:rPr>
                <w:rFonts w:ascii="Consolas" w:hAnsi="Consolas"/>
                <w:sz w:val="17"/>
              </w:rPr>
              <w:t>POST</w:t>
            </w:r>
          </w:p>
        </w:tc>
        <w:tc>
          <w:tcPr>
            <w:tcW w:type="dxa" w:w="2160"/>
          </w:tcPr>
          <w:p>
            <w:pPr>
              <w:spacing w:after="20" w:before="20"/>
            </w:pPr>
            <w:r>
              <w:rPr>
                <w:rFonts w:ascii="Consolas" w:hAnsi="Consolas"/>
                <w:sz w:val="17"/>
              </w:rPr>
              <w:t>/auth/login</w:t>
            </w:r>
          </w:p>
        </w:tc>
        <w:tc>
          <w:tcPr>
            <w:tcW w:type="dxa" w:w="864"/>
          </w:tcPr>
          <w:p>
            <w:pPr>
              <w:spacing w:after="20" w:before="20"/>
            </w:pPr>
            <w:r>
              <w:rPr>
                <w:sz w:val="18"/>
              </w:rPr>
              <w:t>—</w:t>
            </w:r>
          </w:p>
        </w:tc>
        <w:tc>
          <w:tcPr>
            <w:tcW w:type="dxa" w:w="4968"/>
          </w:tcPr>
          <w:p>
            <w:pPr>
              <w:spacing w:after="20" w:before="20"/>
            </w:pPr>
            <w:r>
              <w:rPr>
                <w:sz w:val="18"/>
              </w:rPr>
              <w:t>Returns a JWT bearer token</w:t>
            </w:r>
          </w:p>
        </w:tc>
      </w:tr>
      <w:tr>
        <w:tc>
          <w:tcPr>
            <w:tcW w:type="dxa" w:w="1008"/>
          </w:tcPr>
          <w:p>
            <w:pPr>
              <w:spacing w:after="20" w:before="20"/>
            </w:pPr>
            <w:r>
              <w:rPr>
                <w:rFonts w:ascii="Consolas" w:hAnsi="Consolas"/>
                <w:sz w:val="17"/>
              </w:rPr>
              <w:t>GET</w:t>
            </w:r>
          </w:p>
        </w:tc>
        <w:tc>
          <w:tcPr>
            <w:tcW w:type="dxa" w:w="2160"/>
          </w:tcPr>
          <w:p>
            <w:pPr>
              <w:spacing w:after="20" w:before="20"/>
            </w:pPr>
            <w:r>
              <w:rPr>
                <w:rFonts w:ascii="Consolas" w:hAnsi="Consolas"/>
                <w:sz w:val="17"/>
              </w:rPr>
              <w:t>/auth/me</w:t>
            </w:r>
          </w:p>
        </w:tc>
        <w:tc>
          <w:tcPr>
            <w:tcW w:type="dxa" w:w="864"/>
          </w:tcPr>
          <w:p>
            <w:pPr>
              <w:spacing w:after="20" w:before="20"/>
            </w:pPr>
            <w:r>
              <w:rPr>
                <w:sz w:val="18"/>
              </w:rPr>
              <w:t>Bearer</w:t>
            </w:r>
          </w:p>
        </w:tc>
        <w:tc>
          <w:tcPr>
            <w:tcW w:type="dxa" w:w="4968"/>
          </w:tcPr>
          <w:p>
            <w:pPr>
              <w:spacing w:after="20" w:before="20"/>
            </w:pPr>
            <w:r>
              <w:rPr>
                <w:sz w:val="18"/>
              </w:rPr>
              <w:t>Current user profile</w:t>
            </w:r>
          </w:p>
        </w:tc>
      </w:tr>
      <w:tr>
        <w:tc>
          <w:tcPr>
            <w:tcW w:type="dxa" w:w="1008"/>
          </w:tcPr>
          <w:p>
            <w:pPr>
              <w:spacing w:after="20" w:before="20"/>
            </w:pPr>
            <w:r>
              <w:rPr>
                <w:rFonts w:ascii="Consolas" w:hAnsi="Consolas"/>
                <w:sz w:val="17"/>
              </w:rPr>
              <w:t>GET</w:t>
            </w:r>
          </w:p>
        </w:tc>
        <w:tc>
          <w:tcPr>
            <w:tcW w:type="dxa" w:w="2160"/>
          </w:tcPr>
          <w:p>
            <w:pPr>
              <w:spacing w:after="20" w:before="20"/>
            </w:pPr>
            <w:r>
              <w:rPr>
                <w:rFonts w:ascii="Consolas" w:hAnsi="Consolas"/>
                <w:sz w:val="17"/>
              </w:rPr>
              <w:t>/auth/history</w:t>
            </w:r>
          </w:p>
        </w:tc>
        <w:tc>
          <w:tcPr>
            <w:tcW w:type="dxa" w:w="864"/>
          </w:tcPr>
          <w:p>
            <w:pPr>
              <w:spacing w:after="20" w:before="20"/>
            </w:pPr>
            <w:r>
              <w:rPr>
                <w:sz w:val="18"/>
              </w:rPr>
              <w:t>Bearer</w:t>
            </w:r>
          </w:p>
        </w:tc>
        <w:tc>
          <w:tcPr>
            <w:tcW w:type="dxa" w:w="4968"/>
          </w:tcPr>
          <w:p>
            <w:pPr>
              <w:spacing w:after="20" w:before="20"/>
            </w:pPr>
            <w:r>
              <w:rPr>
                <w:sz w:val="18"/>
              </w:rPr>
              <w:t>Server-side prediction history</w:t>
            </w:r>
          </w:p>
        </w:tc>
      </w:tr>
      <w:tr>
        <w:tc>
          <w:tcPr>
            <w:tcW w:type="dxa" w:w="1008"/>
          </w:tcPr>
          <w:p>
            <w:pPr>
              <w:spacing w:after="20" w:before="20"/>
            </w:pPr>
            <w:r>
              <w:rPr>
                <w:rFonts w:ascii="Consolas" w:hAnsi="Consolas"/>
                <w:sz w:val="17"/>
              </w:rPr>
              <w:t>DELETE</w:t>
            </w:r>
          </w:p>
        </w:tc>
        <w:tc>
          <w:tcPr>
            <w:tcW w:type="dxa" w:w="2160"/>
          </w:tcPr>
          <w:p>
            <w:pPr>
              <w:spacing w:after="20" w:before="20"/>
            </w:pPr>
            <w:r>
              <w:rPr>
                <w:rFonts w:ascii="Consolas" w:hAnsi="Consolas"/>
                <w:sz w:val="17"/>
              </w:rPr>
              <w:t>/auth/history/{id}</w:t>
            </w:r>
          </w:p>
        </w:tc>
        <w:tc>
          <w:tcPr>
            <w:tcW w:type="dxa" w:w="864"/>
          </w:tcPr>
          <w:p>
            <w:pPr>
              <w:spacing w:after="20" w:before="20"/>
            </w:pPr>
            <w:r>
              <w:rPr>
                <w:sz w:val="18"/>
              </w:rPr>
              <w:t>Bearer</w:t>
            </w:r>
          </w:p>
        </w:tc>
        <w:tc>
          <w:tcPr>
            <w:tcW w:type="dxa" w:w="4968"/>
          </w:tcPr>
          <w:p>
            <w:pPr>
              <w:spacing w:after="20" w:before="20"/>
            </w:pPr>
            <w:r>
              <w:rPr>
                <w:sz w:val="18"/>
              </w:rPr>
              <w:t>Delete one entry — ownership checked, 403 otherwise</w:t>
            </w:r>
          </w:p>
        </w:tc>
      </w:tr>
    </w:tbl>
    <w:p>
      <w:pPr>
        <w:spacing w:after="120"/>
      </w:pPr>
    </w:p>
    <w:p>
      <w:pPr>
        <w:pStyle w:val="Heading2"/>
      </w:pPr>
      <w:r>
        <w:t>8.1  The /predict response</w:t>
      </w:r>
    </w:p>
    <w:p>
      <w:r>
        <w:t>Roughly 30 fields. The design principle: the client should never have to recompute anything the backend already knows, and every human-readable string ships in both languages.</w:t>
      </w:r>
    </w:p>
    <w:tbl>
      <w:tblPr>
        <w:tblStyle w:val="TableGrid"/>
        <w:jc w:val="left"/>
        <w:tblLook w:firstColumn="1" w:firstRow="1" w:lastColumn="0" w:lastRow="0" w:noHBand="0" w:noVBand="1" w:val="04A0"/>
        <w:tblLayout w:type="fixed"/>
        <w:tblW w:w="9000" w:type="dxa"/>
      </w:tblPr>
      <w:tblGrid>
        <w:gridCol w:w="2015"/>
        <w:gridCol w:w="6983"/>
      </w:tblGrid>
      <w:tr>
        <w:tc>
          <w:tcPr>
            <w:tcW w:type="dxa" w:w="2016"/>
            <w:shd w:val="clear" w:color="auto" w:fill="E8EDE6"/>
          </w:tcPr>
          <w:p>
            <w:pPr>
              <w:spacing w:after="20" w:before="20"/>
            </w:pPr>
            <w:r>
              <w:rPr>
                <w:b/>
                <w:color w:val="333D36"/>
                <w:sz w:val="18"/>
              </w:rPr>
              <w:t>Group</w:t>
            </w:r>
          </w:p>
        </w:tc>
        <w:tc>
          <w:tcPr>
            <w:tcW w:type="dxa" w:w="6984"/>
            <w:shd w:val="clear" w:color="auto" w:fill="E8EDE6"/>
          </w:tcPr>
          <w:p>
            <w:pPr>
              <w:spacing w:after="20" w:before="20"/>
            </w:pPr>
            <w:r>
              <w:rPr>
                <w:b/>
                <w:color w:val="333D36"/>
                <w:sz w:val="18"/>
              </w:rPr>
              <w:t>Fields</w:t>
            </w:r>
          </w:p>
        </w:tc>
      </w:tr>
      <w:tr>
        <w:tc>
          <w:tcPr>
            <w:tcW w:type="dxa" w:w="2016"/>
          </w:tcPr>
          <w:p>
            <w:pPr>
              <w:spacing w:after="20" w:before="20"/>
            </w:pPr>
            <w:r>
              <w:rPr>
                <w:sz w:val="18"/>
              </w:rPr>
              <w:t>Identity</w:t>
            </w:r>
          </w:p>
        </w:tc>
        <w:tc>
          <w:tcPr>
            <w:tcW w:type="dxa" w:w="6984"/>
          </w:tcPr>
          <w:p>
            <w:pPr>
              <w:spacing w:after="20" w:before="20"/>
            </w:pPr>
            <w:r>
              <w:rPr>
                <w:rFonts w:ascii="Consolas" w:hAnsi="Consolas"/>
                <w:sz w:val="17"/>
              </w:rPr>
              <w:t>disease, disease_np, raw_class, crop_type</w:t>
            </w:r>
          </w:p>
        </w:tc>
      </w:tr>
      <w:tr>
        <w:tc>
          <w:tcPr>
            <w:tcW w:type="dxa" w:w="2016"/>
          </w:tcPr>
          <w:p>
            <w:pPr>
              <w:spacing w:after="20" w:before="20"/>
            </w:pPr>
            <w:r>
              <w:rPr>
                <w:sz w:val="18"/>
              </w:rPr>
              <w:t>Confidence</w:t>
            </w:r>
          </w:p>
        </w:tc>
        <w:tc>
          <w:tcPr>
            <w:tcW w:type="dxa" w:w="6984"/>
          </w:tcPr>
          <w:p>
            <w:pPr>
              <w:spacing w:after="20" w:before="20"/>
            </w:pPr>
            <w:r>
              <w:rPr>
                <w:rFonts w:ascii="Consolas" w:hAnsi="Consolas"/>
                <w:sz w:val="17"/>
              </w:rPr>
              <w:t>confidence, low_confidence, entropy, ood_score</w:t>
            </w:r>
          </w:p>
        </w:tc>
      </w:tr>
      <w:tr>
        <w:tc>
          <w:tcPr>
            <w:tcW w:type="dxa" w:w="2016"/>
          </w:tcPr>
          <w:p>
            <w:pPr>
              <w:spacing w:after="20" w:before="20"/>
            </w:pPr>
            <w:r>
              <w:rPr>
                <w:sz w:val="18"/>
              </w:rPr>
              <w:t>Gates</w:t>
            </w:r>
          </w:p>
        </w:tc>
        <w:tc>
          <w:tcPr>
            <w:tcW w:type="dxa" w:w="6984"/>
          </w:tcPr>
          <w:p>
            <w:pPr>
              <w:spacing w:after="20" w:before="20"/>
            </w:pPr>
            <w:r>
              <w:rPr>
                <w:rFonts w:ascii="Consolas" w:hAnsi="Consolas"/>
                <w:sz w:val="17"/>
              </w:rPr>
              <w:t>is_unknown, not_leaf, crop_mismatch, unfamiliar_crop, unknown_reason, supported_crops</w:t>
            </w:r>
          </w:p>
        </w:tc>
      </w:tr>
      <w:tr>
        <w:tc>
          <w:tcPr>
            <w:tcW w:type="dxa" w:w="2016"/>
          </w:tcPr>
          <w:p>
            <w:pPr>
              <w:spacing w:after="20" w:before="20"/>
            </w:pPr>
            <w:r>
              <w:rPr>
                <w:sz w:val="18"/>
              </w:rPr>
              <w:t>Ranking</w:t>
            </w:r>
          </w:p>
        </w:tc>
        <w:tc>
          <w:tcPr>
            <w:tcW w:type="dxa" w:w="6984"/>
          </w:tcPr>
          <w:p>
            <w:pPr>
              <w:spacing w:after="20" w:before="20"/>
            </w:pPr>
            <w:r>
              <w:rPr>
                <w:rFonts w:ascii="Consolas" w:hAnsi="Consolas"/>
                <w:sz w:val="17"/>
              </w:rPr>
              <w:t>top_5_predictions[], raw_probabilities[] (all 52)</w:t>
            </w:r>
          </w:p>
        </w:tc>
      </w:tr>
      <w:tr>
        <w:tc>
          <w:tcPr>
            <w:tcW w:type="dxa" w:w="2016"/>
          </w:tcPr>
          <w:p>
            <w:pPr>
              <w:spacing w:after="20" w:before="20"/>
            </w:pPr>
            <w:r>
              <w:rPr>
                <w:sz w:val="18"/>
              </w:rPr>
              <w:t>Guidance</w:t>
            </w:r>
          </w:p>
        </w:tc>
        <w:tc>
          <w:tcPr>
            <w:tcW w:type="dxa" w:w="6984"/>
          </w:tcPr>
          <w:p>
            <w:pPr>
              <w:spacing w:after="20" w:before="20"/>
            </w:pPr>
            <w:r>
              <w:rPr>
                <w:rFonts w:ascii="Consolas" w:hAnsi="Consolas"/>
                <w:sz w:val="17"/>
              </w:rPr>
              <w:t>description, cause, symptoms, treatment, prevention — each with a _np twin</w:t>
            </w:r>
          </w:p>
        </w:tc>
      </w:tr>
      <w:tr>
        <w:tc>
          <w:tcPr>
            <w:tcW w:type="dxa" w:w="2016"/>
          </w:tcPr>
          <w:p>
            <w:pPr>
              <w:spacing w:after="20" w:before="20"/>
            </w:pPr>
            <w:r>
              <w:rPr>
                <w:sz w:val="18"/>
              </w:rPr>
              <w:t>Treatment protocol</w:t>
            </w:r>
          </w:p>
        </w:tc>
        <w:tc>
          <w:tcPr>
            <w:tcW w:type="dxa" w:w="6984"/>
          </w:tcPr>
          <w:p>
            <w:pPr>
              <w:spacing w:after="20" w:before="20"/>
            </w:pPr>
            <w:r>
              <w:rPr>
                <w:rFonts w:ascii="Consolas" w:hAnsi="Consolas"/>
                <w:sz w:val="17"/>
              </w:rPr>
              <w:t>treatments[], treatment_disclaimer, treatment_disclaimer_np</w:t>
            </w:r>
          </w:p>
        </w:tc>
      </w:tr>
      <w:tr>
        <w:tc>
          <w:tcPr>
            <w:tcW w:type="dxa" w:w="2016"/>
          </w:tcPr>
          <w:p>
            <w:pPr>
              <w:spacing w:after="20" w:before="20"/>
            </w:pPr>
            <w:r>
              <w:rPr>
                <w:sz w:val="18"/>
              </w:rPr>
              <w:t>Explainability</w:t>
            </w:r>
          </w:p>
        </w:tc>
        <w:tc>
          <w:tcPr>
            <w:tcW w:type="dxa" w:w="6984"/>
          </w:tcPr>
          <w:p>
            <w:pPr>
              <w:spacing w:after="20" w:before="20"/>
            </w:pPr>
            <w:r>
              <w:rPr>
                <w:rFonts w:ascii="Consolas" w:hAnsi="Consolas"/>
                <w:sz w:val="17"/>
              </w:rPr>
              <w:t>gradcam_image (base64 data URI)</w:t>
            </w:r>
          </w:p>
        </w:tc>
      </w:tr>
      <w:tr>
        <w:tc>
          <w:tcPr>
            <w:tcW w:type="dxa" w:w="2016"/>
          </w:tcPr>
          <w:p>
            <w:pPr>
              <w:spacing w:after="20" w:before="20"/>
            </w:pPr>
            <w:r>
              <w:rPr>
                <w:sz w:val="18"/>
              </w:rPr>
              <w:t>Copy</w:t>
            </w:r>
          </w:p>
        </w:tc>
        <w:tc>
          <w:tcPr>
            <w:tcW w:type="dxa" w:w="6984"/>
          </w:tcPr>
          <w:p>
            <w:pPr>
              <w:spacing w:after="20" w:before="20"/>
            </w:pPr>
            <w:r>
              <w:rPr>
                <w:rFonts w:ascii="Consolas" w:hAnsi="Consolas"/>
                <w:sz w:val="17"/>
              </w:rPr>
              <w:t>message, disclaimer</w:t>
            </w:r>
          </w:p>
        </w:tc>
      </w:tr>
    </w:tbl>
    <w:p>
      <w:pPr>
        <w:spacing w:after="120"/>
      </w:pPr>
    </w:p>
    <w:p>
      <w:r>
        <w:t xml:space="preserve">A small but real engineering detail: </w:t>
      </w:r>
      <w:r>
        <w:rPr>
          <w:rFonts w:ascii="Consolas" w:hAnsi="Consolas"/>
          <w:color w:val="33443A"/>
          <w:sz w:val="19"/>
        </w:rPr>
        <w:t>_to_native()</w:t>
      </w:r>
      <w:r>
        <w:t xml:space="preserve"> walks the whole result recursively converting NumPy scalars to Python types. Without it FastAPI’s JSON encoder throws on </w:t>
      </w:r>
      <w:r>
        <w:rPr>
          <w:rFonts w:ascii="Consolas" w:hAnsi="Consolas"/>
          <w:color w:val="33443A"/>
          <w:sz w:val="19"/>
        </w:rPr>
        <w:t>np.float32</w:t>
      </w:r>
      <w:r>
        <w:t xml:space="preserve"> and </w:t>
      </w:r>
      <w:r>
        <w:rPr>
          <w:rFonts w:ascii="Consolas" w:hAnsi="Consolas"/>
          <w:color w:val="33443A"/>
          <w:sz w:val="19"/>
        </w:rPr>
        <w:t>np.bool_</w:t>
      </w:r>
      <w:r>
        <w:t>, and the failure appears as an opaque 500 rather than anything pointing at the model.</w:t>
      </w:r>
    </w:p>
    <w:p>
      <w:pPr>
        <w:pStyle w:val="Heading2"/>
      </w:pPr>
      <w:r>
        <w:t>8.2  Structured treatment data</w:t>
      </w:r>
    </w:p>
    <w:p>
      <w:r>
        <w:rPr>
          <w:rFonts w:ascii="Consolas" w:hAnsi="Consolas"/>
          <w:color w:val="33443A"/>
          <w:sz w:val="19"/>
        </w:rPr>
        <w:t>treatments.json</w:t>
      </w:r>
      <w:r>
        <w:t xml:space="preserve"> holds 51 protocols with agronomically meaningful fields rather than free text — </w:t>
      </w:r>
      <w:r>
        <w:rPr>
          <w:rFonts w:ascii="Consolas" w:hAnsi="Consolas"/>
          <w:color w:val="33443A"/>
          <w:sz w:val="19"/>
        </w:rPr>
        <w:t>active</w:t>
      </w:r>
      <w:r>
        <w:t xml:space="preserve"> (active ingredient), </w:t>
      </w:r>
      <w:r>
        <w:rPr>
          <w:rFonts w:ascii="Consolas" w:hAnsi="Consolas"/>
          <w:color w:val="33443A"/>
          <w:sz w:val="19"/>
        </w:rPr>
        <w:t>kind</w:t>
      </w:r>
      <w:r>
        <w:t xml:space="preserve"> (chemical / cultural / biological), </w:t>
      </w:r>
      <w:r>
        <w:rPr>
          <w:rFonts w:ascii="Consolas" w:hAnsi="Consolas"/>
          <w:color w:val="33443A"/>
          <w:sz w:val="19"/>
        </w:rPr>
        <w:t>band</w:t>
      </w:r>
      <w:r>
        <w:t xml:space="preserve">, </w:t>
      </w:r>
      <w:r>
        <w:rPr>
          <w:rFonts w:ascii="Consolas" w:hAnsi="Consolas"/>
          <w:color w:val="33443A"/>
          <w:sz w:val="19"/>
        </w:rPr>
        <w:t>formulation</w:t>
      </w:r>
      <w:r>
        <w:t xml:space="preserve">, </w:t>
      </w:r>
      <w:r>
        <w:rPr>
          <w:rFonts w:ascii="Consolas" w:hAnsi="Consolas"/>
          <w:color w:val="33443A"/>
          <w:sz w:val="19"/>
        </w:rPr>
        <w:t>dose</w:t>
      </w:r>
      <w:r>
        <w:t xml:space="preserve">, </w:t>
      </w:r>
      <w:r>
        <w:rPr>
          <w:rFonts w:ascii="Consolas" w:hAnsi="Consolas"/>
          <w:color w:val="33443A"/>
          <w:sz w:val="19"/>
        </w:rPr>
        <w:t>phi_days</w:t>
      </w:r>
      <w:r>
        <w:t xml:space="preserve"> (pre-harvest interval), </w:t>
      </w:r>
      <w:r>
        <w:rPr>
          <w:rFonts w:ascii="Consolas" w:hAnsi="Consolas"/>
          <w:color w:val="33443A"/>
          <w:sz w:val="19"/>
        </w:rPr>
        <w:t>interval_days</w:t>
      </w:r>
      <w:r>
        <w:t xml:space="preserve"> (re-spray interval), and bilingual notes. The pre-harvest interval in particular is a food-safety figure, not a nicety.</w:t>
      </w:r>
    </w:p>
    <w:p>
      <w:r>
        <w:t>Every treatment recommendation carries this disclaimer, in the user’s chosen language:</w:t>
      </w:r>
    </w:p>
    <w:tbl>
      <w:tblPr>
        <w:tblStyle w:val="TableGrid"/>
        <w:tblLook w:firstColumn="1" w:firstRow="1" w:lastColumn="0" w:lastRow="0" w:noHBand="0" w:noVBand="1" w:val="04A0"/>
        <w:tblLayout w:type="fixed"/>
        <w:tblW w:w="9000" w:type="dxa"/>
      </w:tblPr>
      <w:tblGrid>
        <w:gridCol w:w="4500"/>
        <w:gridCol w:w="4500"/>
      </w:tblGrid>
      <w:tr>
        <w:tc>
          <w:tcPr>
            <w:tcW w:type="dxa" w:w="4500"/>
            <w:shd w:val="clear" w:color="auto" w:fill="F5F7F3"/>
          </w:tcPr>
          <w:p>
            <w:pPr>
              <w:spacing w:after="60"/>
            </w:pPr>
            <w:r>
              <w:rPr>
                <w:b/>
                <w:color w:val="555F58"/>
                <w:sz w:val="16"/>
              </w:rPr>
              <w:t>DISCLAIMER — ENGLISH</w:t>
            </w:r>
          </w:p>
          <w:p>
            <w:pPr>
              <w:spacing w:after="0"/>
            </w:pPr>
            <w:r>
              <w:rPr>
                <w:sz w:val="19"/>
              </w:rPr>
              <w:t>Always read and follow the product label. Doses are general guidance — confirm the rate, the pre-harvest interval and local registration with your agrovet or agriculture office before spraying. Wear gloves, a mask and long sleeves.</w:t>
            </w:r>
          </w:p>
        </w:tc>
        <w:tc>
          <w:tcPr>
            <w:tcW w:type="dxa" w:w="4500"/>
            <w:shd w:val="clear" w:color="auto" w:fill="F5F7F3"/>
          </w:tcPr>
          <w:p>
            <w:pPr>
              <w:spacing w:after="60"/>
            </w:pPr>
            <w:r>
              <w:rPr>
                <w:rFonts w:ascii="Nirmala UI" w:hAnsi="Nirmala UI" w:cs="Nirmala UI"/>
                <w:b/>
                <w:color w:val="555F58"/>
                <w:sz w:val="16"/>
              </w:rPr>
              <w:t>अस्वीकरण — नेपाली</w:t>
            </w:r>
          </w:p>
          <w:p>
            <w:pPr>
              <w:spacing w:after="0"/>
            </w:pPr>
            <w:r>
              <w:rPr>
                <w:rFonts w:ascii="Nirmala UI" w:hAnsi="Nirmala UI" w:cs="Nirmala UI"/>
                <w:sz w:val="19"/>
              </w:rPr>
              <w:t>सधैं औषधिको लेबल पढेर पालना गर्नुहोस्। यहाँ दिइएको मात्रा सामान्य निर्देशन मात्र हो — छर्नु अघि मात्रा, बाली टिप्नु अघिको प्रतीक्षा अवधि र स्थानीय दर्ता आफ्नो कृषि पसल वा कृषि कार्यालयसँग पक्का गर्नुहोस्। पन्जा, मास्क र लामो बाहुला लगाउनुहोस्।</w:t>
            </w:r>
          </w:p>
        </w:tc>
      </w:tr>
    </w:tbl>
    <w:p>
      <w:pPr>
        <w:spacing w:after="120"/>
      </w:pPr>
    </w:p>
    <w:p>
      <w:r>
        <w:br w:type="page"/>
      </w:r>
    </w:p>
    <w:p>
      <w:pPr>
        <w:pStyle w:val="Heading1"/>
      </w:pPr>
      <w:r>
        <w:t>9.  The web application</w:t>
      </w:r>
    </w:p>
    <w:p>
      <w:r>
        <w:t>React 19 with Vite 8, React Router 7, Axios, and CSS Modules over a design-token file. Twelve routes, two React contexts, and — importantly — no component anywhere calls Axios directly or hardcodes a host.</w:t>
      </w:r>
    </w:p>
    <w:tbl>
      <w:tblPr>
        <w:tblStyle w:val="TableGrid"/>
        <w:jc w:val="left"/>
        <w:tblLook w:firstColumn="1" w:firstRow="1" w:lastColumn="0" w:lastRow="0" w:noHBand="0" w:noVBand="1" w:val="04A0"/>
        <w:tblLayout w:type="fixed"/>
        <w:tblW w:w="9000" w:type="dxa"/>
      </w:tblPr>
      <w:tblGrid>
        <w:gridCol w:w="2304"/>
        <w:gridCol w:w="1655"/>
        <w:gridCol w:w="5040"/>
      </w:tblGrid>
      <w:tr>
        <w:tc>
          <w:tcPr>
            <w:tcW w:type="dxa" w:w="2304"/>
            <w:shd w:val="clear" w:color="auto" w:fill="E8EDE6"/>
          </w:tcPr>
          <w:p>
            <w:pPr>
              <w:spacing w:after="20" w:before="20"/>
            </w:pPr>
            <w:r>
              <w:rPr>
                <w:b/>
                <w:color w:val="333D36"/>
                <w:sz w:val="18"/>
              </w:rPr>
              <w:t>Route</w:t>
            </w:r>
          </w:p>
        </w:tc>
        <w:tc>
          <w:tcPr>
            <w:tcW w:type="dxa" w:w="1656"/>
            <w:shd w:val="clear" w:color="auto" w:fill="E8EDE6"/>
          </w:tcPr>
          <w:p>
            <w:pPr>
              <w:spacing w:after="20" w:before="20"/>
            </w:pPr>
            <w:r>
              <w:rPr>
                <w:b/>
                <w:color w:val="333D36"/>
                <w:sz w:val="18"/>
              </w:rPr>
              <w:t>Page</w:t>
            </w:r>
          </w:p>
        </w:tc>
        <w:tc>
          <w:tcPr>
            <w:tcW w:type="dxa" w:w="5040"/>
            <w:shd w:val="clear" w:color="auto" w:fill="E8EDE6"/>
          </w:tcPr>
          <w:p>
            <w:pPr>
              <w:spacing w:after="20" w:before="20"/>
            </w:pPr>
            <w:r>
              <w:rPr>
                <w:b/>
                <w:color w:val="333D36"/>
                <w:sz w:val="18"/>
              </w:rPr>
              <w:t>Purpose</w:t>
            </w:r>
          </w:p>
        </w:tc>
      </w:tr>
      <w:tr>
        <w:tc>
          <w:tcPr>
            <w:tcW w:type="dxa" w:w="2304"/>
          </w:tcPr>
          <w:p>
            <w:pPr>
              <w:spacing w:after="20" w:before="20"/>
            </w:pPr>
            <w:r>
              <w:rPr>
                <w:rFonts w:ascii="Consolas" w:hAnsi="Consolas"/>
                <w:sz w:val="17"/>
              </w:rPr>
              <w:t>/</w:t>
            </w:r>
          </w:p>
        </w:tc>
        <w:tc>
          <w:tcPr>
            <w:tcW w:type="dxa" w:w="1656"/>
          </w:tcPr>
          <w:p>
            <w:pPr>
              <w:spacing w:after="20" w:before="20"/>
            </w:pPr>
            <w:r>
              <w:rPr>
                <w:sz w:val="18"/>
              </w:rPr>
              <w:t>Home</w:t>
            </w:r>
          </w:p>
        </w:tc>
        <w:tc>
          <w:tcPr>
            <w:tcW w:type="dxa" w:w="5040"/>
          </w:tcPr>
          <w:p>
            <w:pPr>
              <w:spacing w:after="20" w:before="20"/>
            </w:pPr>
            <w:r>
              <w:rPr>
                <w:sz w:val="18"/>
              </w:rPr>
              <w:t>Intro and the three-step workflow</w:t>
            </w:r>
          </w:p>
        </w:tc>
      </w:tr>
      <w:tr>
        <w:tc>
          <w:tcPr>
            <w:tcW w:type="dxa" w:w="2304"/>
          </w:tcPr>
          <w:p>
            <w:pPr>
              <w:spacing w:after="20" w:before="20"/>
            </w:pPr>
            <w:r>
              <w:rPr>
                <w:rFonts w:ascii="Consolas" w:hAnsi="Consolas"/>
                <w:sz w:val="17"/>
              </w:rPr>
              <w:t>/diagnose</w:t>
            </w:r>
          </w:p>
        </w:tc>
        <w:tc>
          <w:tcPr>
            <w:tcW w:type="dxa" w:w="1656"/>
          </w:tcPr>
          <w:p>
            <w:pPr>
              <w:spacing w:after="20" w:before="20"/>
            </w:pPr>
            <w:r>
              <w:rPr>
                <w:sz w:val="18"/>
              </w:rPr>
              <w:t>Diagnose</w:t>
            </w:r>
          </w:p>
        </w:tc>
        <w:tc>
          <w:tcPr>
            <w:tcW w:type="dxa" w:w="5040"/>
          </w:tcPr>
          <w:p>
            <w:pPr>
              <w:spacing w:after="20" w:before="20"/>
            </w:pPr>
            <w:r>
              <w:rPr>
                <w:sz w:val="18"/>
              </w:rPr>
              <w:t>Crop selector → photo → analyze, with all the validation states</w:t>
            </w:r>
          </w:p>
        </w:tc>
      </w:tr>
      <w:tr>
        <w:tc>
          <w:tcPr>
            <w:tcW w:type="dxa" w:w="2304"/>
          </w:tcPr>
          <w:p>
            <w:pPr>
              <w:spacing w:after="20" w:before="20"/>
            </w:pPr>
            <w:r>
              <w:rPr>
                <w:rFonts w:ascii="Consolas" w:hAnsi="Consolas"/>
                <w:sz w:val="17"/>
              </w:rPr>
              <w:t>/result</w:t>
            </w:r>
          </w:p>
        </w:tc>
        <w:tc>
          <w:tcPr>
            <w:tcW w:type="dxa" w:w="1656"/>
          </w:tcPr>
          <w:p>
            <w:pPr>
              <w:spacing w:after="20" w:before="20"/>
            </w:pPr>
            <w:r>
              <w:rPr>
                <w:sz w:val="18"/>
              </w:rPr>
              <w:t>Result</w:t>
            </w:r>
          </w:p>
        </w:tc>
        <w:tc>
          <w:tcPr>
            <w:tcW w:type="dxa" w:w="5040"/>
          </w:tcPr>
          <w:p>
            <w:pPr>
              <w:spacing w:after="20" w:before="20"/>
            </w:pPr>
            <w:r>
              <w:rPr>
                <w:sz w:val="18"/>
              </w:rPr>
              <w:t>Possible match, confidence band, Grad-CAM comparison, guidance, alternatives, feedback</w:t>
            </w:r>
          </w:p>
        </w:tc>
      </w:tr>
      <w:tr>
        <w:tc>
          <w:tcPr>
            <w:tcW w:type="dxa" w:w="2304"/>
          </w:tcPr>
          <w:p>
            <w:pPr>
              <w:spacing w:after="20" w:before="20"/>
            </w:pPr>
            <w:r>
              <w:rPr>
                <w:rFonts w:ascii="Consolas" w:hAnsi="Consolas"/>
                <w:sz w:val="17"/>
              </w:rPr>
              <w:t>/history · /history/:id</w:t>
            </w:r>
          </w:p>
        </w:tc>
        <w:tc>
          <w:tcPr>
            <w:tcW w:type="dxa" w:w="1656"/>
          </w:tcPr>
          <w:p>
            <w:pPr>
              <w:spacing w:after="20" w:before="20"/>
            </w:pPr>
            <w:r>
              <w:rPr>
                <w:sz w:val="18"/>
              </w:rPr>
              <w:t>History</w:t>
            </w:r>
          </w:p>
        </w:tc>
        <w:tc>
          <w:tcPr>
            <w:tcW w:type="dxa" w:w="5040"/>
          </w:tcPr>
          <w:p>
            <w:pPr>
              <w:spacing w:after="20" w:before="20"/>
            </w:pPr>
            <w:r>
              <w:rPr>
                <w:sz w:val="18"/>
              </w:rPr>
              <w:t>Account history with crop/status/sort/search, mirrored locally, plus detail view</w:t>
            </w:r>
          </w:p>
        </w:tc>
      </w:tr>
      <w:tr>
        <w:tc>
          <w:tcPr>
            <w:tcW w:type="dxa" w:w="2304"/>
          </w:tcPr>
          <w:p>
            <w:pPr>
              <w:spacing w:after="20" w:before="20"/>
            </w:pPr>
            <w:r>
              <w:rPr>
                <w:rFonts w:ascii="Consolas" w:hAnsi="Consolas"/>
                <w:sz w:val="17"/>
              </w:rPr>
              <w:t>/library · /library/:id</w:t>
            </w:r>
          </w:p>
        </w:tc>
        <w:tc>
          <w:tcPr>
            <w:tcW w:type="dxa" w:w="1656"/>
          </w:tcPr>
          <w:p>
            <w:pPr>
              <w:spacing w:after="20" w:before="20"/>
            </w:pPr>
            <w:r>
              <w:rPr>
                <w:sz w:val="18"/>
              </w:rPr>
              <w:t>Disease Library</w:t>
            </w:r>
          </w:p>
        </w:tc>
        <w:tc>
          <w:tcPr>
            <w:tcW w:type="dxa" w:w="5040"/>
          </w:tcPr>
          <w:p>
            <w:pPr>
              <w:spacing w:after="20" w:before="20"/>
            </w:pPr>
            <w:r>
              <w:rPr>
                <w:sz w:val="18"/>
              </w:rPr>
              <w:t>Browsable reference for all 51 conditions</w:t>
            </w:r>
          </w:p>
        </w:tc>
      </w:tr>
      <w:tr>
        <w:tc>
          <w:tcPr>
            <w:tcW w:type="dxa" w:w="2304"/>
          </w:tcPr>
          <w:p>
            <w:pPr>
              <w:spacing w:after="20" w:before="20"/>
            </w:pPr>
            <w:r>
              <w:rPr>
                <w:rFonts w:ascii="Consolas" w:hAnsi="Consolas"/>
                <w:sz w:val="17"/>
              </w:rPr>
              <w:t>/login · /register · /profile</w:t>
            </w:r>
          </w:p>
        </w:tc>
        <w:tc>
          <w:tcPr>
            <w:tcW w:type="dxa" w:w="1656"/>
          </w:tcPr>
          <w:p>
            <w:pPr>
              <w:spacing w:after="20" w:before="20"/>
            </w:pPr>
            <w:r>
              <w:rPr>
                <w:sz w:val="18"/>
              </w:rPr>
              <w:t>Accounts</w:t>
            </w:r>
          </w:p>
        </w:tc>
        <w:tc>
          <w:tcPr>
            <w:tcW w:type="dxa" w:w="5040"/>
          </w:tcPr>
          <w:p>
            <w:pPr>
              <w:spacing w:after="20" w:before="20"/>
            </w:pPr>
            <w:r>
              <w:rPr>
                <w:sz w:val="18"/>
              </w:rPr>
              <w:t>Sign-in required; every route except /login and /register sits behind RequireAuth</w:t>
            </w:r>
          </w:p>
        </w:tc>
      </w:tr>
      <w:tr>
        <w:tc>
          <w:tcPr>
            <w:tcW w:type="dxa" w:w="2304"/>
          </w:tcPr>
          <w:p>
            <w:pPr>
              <w:spacing w:after="20" w:before="20"/>
            </w:pPr>
            <w:r>
              <w:rPr>
                <w:rFonts w:ascii="Consolas" w:hAnsi="Consolas"/>
                <w:sz w:val="17"/>
              </w:rPr>
              <w:t>/about</w:t>
            </w:r>
          </w:p>
        </w:tc>
        <w:tc>
          <w:tcPr>
            <w:tcW w:type="dxa" w:w="1656"/>
          </w:tcPr>
          <w:p>
            <w:pPr>
              <w:spacing w:after="20" w:before="20"/>
            </w:pPr>
            <w:r>
              <w:rPr>
                <w:sz w:val="18"/>
              </w:rPr>
              <w:t>About</w:t>
            </w:r>
          </w:p>
        </w:tc>
        <w:tc>
          <w:tcPr>
            <w:tcW w:type="dxa" w:w="5040"/>
          </w:tcPr>
          <w:p>
            <w:pPr>
              <w:spacing w:after="20" w:before="20"/>
            </w:pPr>
            <w:r>
              <w:rPr>
                <w:sz w:val="18"/>
              </w:rPr>
              <w:t>What the tool does and how to use it responsibly</w:t>
            </w:r>
          </w:p>
        </w:tc>
      </w:tr>
    </w:tbl>
    <w:p>
      <w:pPr>
        <w:spacing w:after="120"/>
      </w:pPr>
    </w:p>
    <w:p>
      <w:pPr>
        <w:pStyle w:val="Heading2"/>
      </w:pPr>
      <w:r>
        <w:t>9.1  Where the confidence bands are decided</w:t>
      </w:r>
    </w:p>
    <w:p>
      <w:r>
        <w:rPr>
          <w:rFonts w:ascii="Consolas" w:hAnsi="Consolas"/>
          <w:color w:val="33443A"/>
          <w:sz w:val="19"/>
        </w:rPr>
        <w:t>src/lib/normalize.js</w:t>
      </w:r>
      <w:r>
        <w:t xml:space="preserve"> is the single source of truth for turning a raw response into what the UI renders. It is a pure function, which is exactly why it is the most-tested file in the project:</w:t>
      </w:r>
    </w:p>
    <w:p>
      <w:pPr>
        <w:spacing w:before="100" w:after="180" w:line="252" w:lineRule="auto"/>
        <w:ind w:left="259"/>
        <w:shd w:val="clear" w:color="auto" w:fill="F0F2EE"/>
      </w:pPr>
      <w:r>
        <w:rPr>
          <w:rFonts w:ascii="Consolas" w:hAnsi="Consolas"/>
          <w:color w:val="2A352E"/>
          <w:sz w:val="18"/>
        </w:rPr>
        <w:t>if (is_unknown || not_leaf || crop_mismatch || low_confidence)  -&gt;  UNCERTAIN</w:t>
      </w:r>
      <w:r>
        <w:br/>
      </w:r>
      <w:r>
        <w:rPr>
          <w:rFonts w:ascii="Consolas" w:hAnsi="Consolas"/>
          <w:color w:val="2A352E"/>
          <w:sz w:val="18"/>
        </w:rPr>
        <w:t>else if (confidence &gt;= 80)                                      -&gt;  HIGH</w:t>
      </w:r>
      <w:r>
        <w:br/>
      </w:r>
      <w:r>
        <w:rPr>
          <w:rFonts w:ascii="Consolas" w:hAnsi="Consolas"/>
          <w:color w:val="2A352E"/>
          <w:sz w:val="18"/>
        </w:rPr>
        <w:t>else if (confidence &gt;= 60)                                      -&gt;  MODERATE</w:t>
      </w:r>
      <w:r>
        <w:br/>
      </w:r>
      <w:r>
        <w:rPr>
          <w:rFonts w:ascii="Consolas" w:hAnsi="Consolas"/>
          <w:color w:val="2A352E"/>
          <w:sz w:val="18"/>
        </w:rPr>
        <w:t>else                                                            -&gt;  UNCERTAIN</w:t>
      </w:r>
    </w:p>
    <w:p>
      <w:r>
        <w:t xml:space="preserve">Note the ordering: </w:t>
      </w:r>
      <w:r>
        <w:rPr>
          <w:i/>
        </w:rPr>
        <w:t>any</w:t>
      </w:r>
      <w:r>
        <w:t xml:space="preserve"> backend doubt flag forces Uncertain regardless of the number. An 85%-confident prediction on a photo the model thinks is the wrong crop is not a High-confidence result, and the UI refuses to present it as one.</w:t>
      </w:r>
    </w:p>
    <w:p>
      <w:pPr>
        <w:pStyle w:val="Heading2"/>
      </w:pPr>
      <w:r>
        <w:t>9.2  Client engineering worth pointing at</w:t>
      </w:r>
    </w:p>
    <w:p>
      <w:pPr>
        <w:pStyle w:val="ListBullet"/>
      </w:pPr>
      <w:r>
        <w:rPr>
          <w:b/>
        </w:rPr>
        <w:t>Duplicate-submit guard</w:t>
      </w:r>
      <w:r>
        <w:t xml:space="preserve"> — a </w:t>
      </w:r>
      <w:r>
        <w:rPr>
          <w:rFonts w:ascii="Consolas" w:hAnsi="Consolas"/>
          <w:color w:val="33443A"/>
          <w:sz w:val="19"/>
        </w:rPr>
        <w:t>useRef</w:t>
      </w:r>
      <w:r>
        <w:t xml:space="preserve"> flag, not just the disabled state, because React state updates are asynchronous and a fast double-tap can slip through.</w:t>
      </w:r>
    </w:p>
    <w:p>
      <w:pPr>
        <w:pStyle w:val="ListBullet"/>
      </w:pPr>
      <w:r>
        <w:rPr>
          <w:b/>
        </w:rPr>
        <w:t>Typed error handling</w:t>
      </w:r>
      <w:r>
        <w:t xml:space="preserve"> — </w:t>
      </w:r>
      <w:r>
        <w:rPr>
          <w:rFonts w:ascii="Consolas" w:hAnsi="Consolas"/>
          <w:color w:val="33443A"/>
          <w:sz w:val="19"/>
        </w:rPr>
        <w:t>classifyError()</w:t>
      </w:r>
      <w:r>
        <w:t xml:space="preserve"> maps failures into timeout / network / server / client, each with copy that says what to do next rather than surfacing a status code.</w:t>
      </w:r>
    </w:p>
    <w:p>
      <w:pPr>
        <w:pStyle w:val="ListBullet"/>
      </w:pPr>
      <w:r>
        <w:rPr>
          <w:b/>
        </w:rPr>
        <w:t>Input limits</w:t>
      </w:r>
      <w:r>
        <w:t xml:space="preserve"> — 12 MB upload cap and a 60-second request timeout, both enforced client-side before the user waits.</w:t>
      </w:r>
    </w:p>
    <w:p>
      <w:pPr>
        <w:pStyle w:val="ListBullet"/>
      </w:pPr>
      <w:r>
        <w:rPr>
          <w:b/>
        </w:rPr>
        <w:t>“Any crop — I’m not sure”</w:t>
      </w:r>
      <w:r>
        <w:t xml:space="preserve"> — a sentinel that sends no </w:t>
      </w:r>
      <w:r>
        <w:rPr>
          <w:rFonts w:ascii="Consolas" w:hAnsi="Consolas"/>
          <w:color w:val="33443A"/>
          <w:sz w:val="19"/>
        </w:rPr>
        <w:t>crop_type</w:t>
      </w:r>
      <w:r>
        <w:t>, disabling only the mismatch warning while leaving prediction untouched. It is honest about what it changes.</w:t>
      </w:r>
    </w:p>
    <w:p>
      <w:pPr>
        <w:pStyle w:val="ListBullet"/>
      </w:pPr>
      <w:r>
        <w:rPr>
          <w:b/>
        </w:rPr>
        <w:t>Two thumbnail sizes</w:t>
      </w:r>
      <w:r>
        <w:t xml:space="preserve"> — 160 px for the history record, 720 px for the result view, both generated on-canvas so the result survives a page refresh without bloating </w:t>
      </w:r>
      <w:r>
        <w:rPr>
          <w:rFonts w:ascii="Consolas" w:hAnsi="Consolas"/>
          <w:color w:val="33443A"/>
          <w:sz w:val="19"/>
        </w:rPr>
        <w:t>localStorage</w:t>
      </w:r>
      <w:r>
        <w:t>.</w:t>
      </w:r>
    </w:p>
    <w:p>
      <w:pPr>
        <w:pStyle w:val="ListBullet"/>
      </w:pPr>
      <w:r>
        <w:rPr>
          <w:b/>
        </w:rPr>
        <w:t>Storage-quota recovery</w:t>
      </w:r>
      <w:r>
        <w:t xml:space="preserve"> — if </w:t>
      </w:r>
      <w:r>
        <w:rPr>
          <w:rFonts w:ascii="Consolas" w:hAnsi="Consolas"/>
          <w:color w:val="33443A"/>
          <w:sz w:val="19"/>
        </w:rPr>
        <w:t>localStorage</w:t>
      </w:r>
      <w:r>
        <w:t xml:space="preserve"> rejects a write, history is trimmed to half of </w:t>
      </w:r>
      <w:r>
        <w:rPr>
          <w:rFonts w:ascii="Consolas" w:hAnsi="Consolas"/>
          <w:color w:val="33443A"/>
          <w:sz w:val="19"/>
        </w:rPr>
        <w:t>MAX_ENTRIES</w:t>
      </w:r>
      <w:r>
        <w:t xml:space="preserve"> and retried once rather than throwing.</w:t>
      </w:r>
    </w:p>
    <w:p>
      <w:pPr>
        <w:pStyle w:val="Heading2"/>
      </w:pPr>
      <w:r>
        <w:t>9.3  Accessibility</w:t>
      </w:r>
    </w:p>
    <w:p>
      <w:r>
        <w:t xml:space="preserve">Not an afterthought, and easy to demonstrate live: semantic landmarks, a skip link, keyboard-operable crop selection via a real </w:t>
      </w:r>
      <w:r>
        <w:rPr>
          <w:rFonts w:ascii="Consolas" w:hAnsi="Consolas"/>
          <w:color w:val="33443A"/>
          <w:sz w:val="19"/>
        </w:rPr>
        <w:t>radiogroup</w:t>
      </w:r>
      <w:r>
        <w:t xml:space="preserve">, </w:t>
      </w:r>
      <w:r>
        <w:rPr>
          <w:rFonts w:ascii="Consolas" w:hAnsi="Consolas"/>
          <w:color w:val="33443A"/>
          <w:sz w:val="19"/>
        </w:rPr>
        <w:t>aria-live</w:t>
      </w:r>
      <w:r>
        <w:t xml:space="preserve"> status announcements during analysis, </w:t>
      </w:r>
      <w:r>
        <w:rPr>
          <w:rFonts w:ascii="Consolas" w:hAnsi="Consolas"/>
          <w:color w:val="33443A"/>
          <w:sz w:val="19"/>
        </w:rPr>
        <w:t>role="alert"</w:t>
      </w:r>
      <w:r>
        <w:t xml:space="preserve"> on errors, meaningful alt text on both the photo and the heatmap, visible focus rings, </w:t>
      </w:r>
      <w:r>
        <w:rPr>
          <w:rFonts w:ascii="Consolas" w:hAnsi="Consolas"/>
          <w:color w:val="33443A"/>
          <w:sz w:val="19"/>
        </w:rPr>
        <w:t>prefers-reduced-motion</w:t>
      </w:r>
      <w:r>
        <w:t xml:space="preserve"> support, 44 px touch targets, and status communicated by text as well as colour — which matters because the palette is red/amber/green and roughly 8% of men have some form of colour-vision deficiency.</w:t>
      </w:r>
    </w:p>
    <w:p>
      <w:pPr>
        <w:pStyle w:val="Heading1"/>
      </w:pPr>
      <w:r>
        <w:t>10.  The mobile application</w:t>
      </w:r>
    </w:p>
    <w:p>
      <w:r>
        <w:t>React Native on Expo SDK 57 (RN 0.86.3, React 19.2). A deliberately thin client: it calls the same /predict endpoint and holds no inference logic of its own. The crop selector is optional and defaults to “Any crop”, so a photo can be analysed in two taps.</w:t>
      </w:r>
    </w:p>
    <w:p>
      <w:pPr>
        <w:pStyle w:val="ListBullet"/>
      </w:pPr>
      <w:r>
        <w:rPr>
          <w:b/>
        </w:rPr>
        <w:t>Camera or gallery</w:t>
      </w:r>
      <w:r>
        <w:t xml:space="preserve"> via </w:t>
      </w:r>
      <w:r>
        <w:rPr>
          <w:rFonts w:ascii="Consolas" w:hAnsi="Consolas"/>
          <w:color w:val="33443A"/>
          <w:sz w:val="19"/>
        </w:rPr>
        <w:t>expo-image-picker</w:t>
      </w:r>
      <w:r>
        <w:t>, quality 0.8, with runtime permission requests for each path.</w:t>
      </w:r>
    </w:p>
    <w:p>
      <w:pPr>
        <w:pStyle w:val="ListBullet"/>
      </w:pPr>
      <w:r>
        <w:rPr>
          <w:b/>
        </w:rPr>
        <w:t>Crop chips mirroring the web selector — optional, defaulting to “Any crop”, which sends no crop_type and therefore only disables the mismatch warning — and the same duplicate-submit ref guard.</w:t>
      </w:r>
    </w:p>
    <w:p>
      <w:pPr>
        <w:pStyle w:val="ListBullet"/>
      </w:pPr>
      <w:r>
        <w:rPr>
          <w:b/>
        </w:rPr>
        <w:t>EN / NP toggle</w:t>
      </w:r>
      <w:r>
        <w:t xml:space="preserve"> in the header. </w:t>
      </w:r>
      <w:r>
        <w:rPr>
          <w:rFonts w:ascii="Consolas" w:hAnsi="Consolas"/>
          <w:color w:val="33443A"/>
          <w:sz w:val="19"/>
        </w:rPr>
        <w:t>normalize.js</w:t>
      </w:r>
      <w:r>
        <w:t xml:space="preserve"> picks the </w:t>
      </w:r>
      <w:r>
        <w:rPr>
          <w:rFonts w:ascii="Consolas" w:hAnsi="Consolas"/>
          <w:color w:val="33443A"/>
          <w:sz w:val="19"/>
        </w:rPr>
        <w:t>*_np</w:t>
      </w:r>
      <w:r>
        <w:t xml:space="preserve"> field when Nepali is active — the language switch is one state variable, and re-rendering the existing result requires no new network call.</w:t>
      </w:r>
    </w:p>
    <w:p>
      <w:pPr>
        <w:pStyle w:val="ListBullet"/>
      </w:pPr>
      <w:r>
        <w:rPr>
          <w:b/>
        </w:rPr>
        <w:t>40-second timeout</w:t>
      </w:r>
      <w:r>
        <w:t>, shorter than the web app’s 60 s, on the assumption of a mobile network and a user who will not wait.</w:t>
      </w:r>
    </w:p>
    <w:p>
      <w:pPr>
        <w:pStyle w:val="Heading2"/>
      </w:pPr>
      <w:r>
        <w:t>10.1  Networking — the part that actually causes demo failures</w:t>
      </w:r>
    </w:p>
    <w:p>
      <w:r>
        <w:t>The backend address is compiled in from config.js, overridable with EXPO_PUBLIC_API_URL. The committed default is the public Hugging Face Space (https://bikkii-cropsense.hf.space), so an installed APK works on any phone, on mobile data, with no laptop running. The default lives in code rather than .env.local because EAS cloud builds ignore gitignored environment files. For local testing against a laptop backend on the same Wi-Fi:</w:t>
      </w:r>
    </w:p>
    <w:p>
      <w:pPr>
        <w:spacing w:before="100" w:after="180" w:line="252" w:lineRule="auto"/>
        <w:ind w:left="259"/>
        <w:shd w:val="clear" w:color="auto" w:fill="F0F2EE"/>
      </w:pPr>
      <w:r>
        <w:rPr>
          <w:rFonts w:ascii="Consolas" w:hAnsi="Consolas"/>
          <w:color w:val="2A352E"/>
          <w:sz w:val="18"/>
        </w:rPr>
        <w:t>REACT_NATIVE_PACKAGER_HOSTNAME=192.168.77.106 \</w:t>
      </w:r>
      <w:r>
        <w:br/>
      </w:r>
      <w:r>
        <w:rPr>
          <w:rFonts w:ascii="Consolas" w:hAnsi="Consolas"/>
          <w:color w:val="2A352E"/>
          <w:sz w:val="18"/>
        </w:rPr>
        <w:t>EXPO_PUBLIC_API_URL=http://192.168.77.106:8000 \</w:t>
      </w:r>
      <w:r>
        <w:br/>
      </w:r>
      <w:r>
        <w:rPr>
          <w:rFonts w:ascii="Consolas" w:hAnsi="Consolas"/>
          <w:color w:val="2A352E"/>
          <w:sz w:val="18"/>
        </w:rPr>
        <w:t>npx expo start</w:t>
      </w:r>
      <w:r>
        <w:br/>
      </w:r>
      <w:r>
        <w:rPr>
          <w:rFonts w:ascii="Consolas" w:hAnsi="Consolas"/>
          <w:color w:val="2A352E"/>
          <w:sz w:val="18"/>
        </w:rPr>
      </w:r>
      <w:r>
        <w:br/>
      </w:r>
      <w:r>
        <w:rPr>
          <w:rFonts w:ascii="Consolas" w:hAnsi="Consolas"/>
          <w:color w:val="2A352E"/>
          <w:sz w:val="18"/>
        </w:rPr>
        <w:t># and the backend must bind all interfaces, not just loopback:</w:t>
      </w:r>
      <w:r>
        <w:br/>
      </w:r>
      <w:r>
        <w:rPr>
          <w:rFonts w:ascii="Consolas" w:hAnsi="Consolas"/>
          <w:color w:val="2A352E"/>
          <w:sz w:val="18"/>
        </w:rPr>
        <w:t>uvicorn main:app --host 0.0.0.0 --port 8000</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AF3E2"/>
          </w:tcPr>
          <w:p>
            <w:pPr>
              <w:spacing w:after="60"/>
            </w:pPr>
            <w:r>
              <w:rPr>
                <w:rFonts w:ascii="Calibri" w:hAnsi="Calibri"/>
                <w:b/>
                <w:color w:val="7A550E"/>
                <w:sz w:val="17"/>
              </w:rPr>
              <w:t>DEMO-DAY CHECK</w:t>
              <w:br/>
              <w:t>Open https://bikkii-cropsense.hf.space/health in the phone’s own browser a few minutes before presenting. If that returns JSON the app will work; if it does not, no amount of app debugging will help. The free Space sleeps when idle, so this also wakes it. The installed APK (eas build -p android --profile preview) removes any dependence on Metro, Expo Go or a QR code, and docker compose up --build is the offline fallback if the venue has no internet.</w:t>
            </w:r>
          </w:p>
        </w:tc>
      </w:tr>
    </w:tbl>
    <w:p>
      <w:pPr>
        <w:spacing w:after="80"/>
      </w:pPr>
    </w:p>
    <w:p>
      <w:r>
        <w:br w:type="page"/>
      </w:r>
    </w:p>
    <w:p>
      <w:pPr>
        <w:pStyle w:val="Heading1"/>
      </w:pPr>
      <w:r>
        <w:t>11.  Data storage and accounts</w:t>
      </w:r>
    </w:p>
    <w:p>
      <w:pPr>
        <w:pStyle w:val="Heading2"/>
      </w:pPr>
      <w:r>
        <w:t>11.1  Where a check is stored</w:t>
      </w:r>
    </w:p>
    <w:p>
      <w:r>
        <w:t>A signed-in user’s checks are written to the predictions table in a hosted PostgreSQL (Neon, free tier, Singapore, reached over SSL), so they follow the farmer to another device. The web client also mirrors the account’s rows into localStorage under cropsense.history, capped at 100 entries with a 160 px thumbnail and the guidance text but not the base64 Grad-CAM — that would blow the quota within a handful of records — so filters, search and the detail view work without refetching. Deleting an entry removes both copies. /auth/history filters by the username inside the token and returns 403 for someone else’s row; both were tested against the live database. The Android client reads its history straight from the server and keeps no local copy.</w:t>
      </w:r>
    </w:p>
    <w:p>
      <w:pPr>
        <w:pStyle w:val="Heading2"/>
      </w:pPr>
      <w:r>
        <w:t>11.2  PostgreSQL schema</w:t>
      </w:r>
    </w:p>
    <w:tbl>
      <w:tblPr>
        <w:tblStyle w:val="TableGrid"/>
        <w:jc w:val="left"/>
        <w:tblLook w:firstColumn="1" w:firstRow="1" w:lastColumn="0" w:lastRow="0" w:noHBand="0" w:noVBand="1" w:val="04A0"/>
        <w:tblLayout w:type="fixed"/>
        <w:tblW w:w="9000" w:type="dxa"/>
      </w:tblPr>
      <w:tblGrid>
        <w:gridCol w:w="1584"/>
        <w:gridCol w:w="7416"/>
      </w:tblGrid>
      <w:tr>
        <w:tc>
          <w:tcPr>
            <w:tcW w:type="dxa" w:w="1584"/>
            <w:shd w:val="clear" w:color="auto" w:fill="E8EDE6"/>
          </w:tcPr>
          <w:p>
            <w:pPr>
              <w:spacing w:after="20" w:before="20"/>
            </w:pPr>
            <w:r>
              <w:rPr>
                <w:b/>
                <w:color w:val="333D36"/>
                <w:sz w:val="18"/>
              </w:rPr>
              <w:t>Table</w:t>
            </w:r>
          </w:p>
        </w:tc>
        <w:tc>
          <w:tcPr>
            <w:tcW w:type="dxa" w:w="7416"/>
            <w:shd w:val="clear" w:color="auto" w:fill="E8EDE6"/>
          </w:tcPr>
          <w:p>
            <w:pPr>
              <w:spacing w:after="20" w:before="20"/>
            </w:pPr>
            <w:r>
              <w:rPr>
                <w:b/>
                <w:color w:val="333D36"/>
                <w:sz w:val="18"/>
              </w:rPr>
              <w:t>Columns</w:t>
            </w:r>
          </w:p>
        </w:tc>
      </w:tr>
      <w:tr>
        <w:tc>
          <w:tcPr>
            <w:tcW w:type="dxa" w:w="1584"/>
          </w:tcPr>
          <w:p>
            <w:pPr>
              <w:spacing w:after="20" w:before="20"/>
            </w:pPr>
            <w:r>
              <w:rPr>
                <w:rFonts w:ascii="Consolas" w:hAnsi="Consolas"/>
                <w:sz w:val="17"/>
              </w:rPr>
              <w:t>users</w:t>
            </w:r>
          </w:p>
        </w:tc>
        <w:tc>
          <w:tcPr>
            <w:tcW w:type="dxa" w:w="7416"/>
          </w:tcPr>
          <w:p>
            <w:pPr>
              <w:spacing w:after="20" w:before="20"/>
            </w:pPr>
            <w:r>
              <w:rPr>
                <w:sz w:val="18"/>
              </w:rPr>
              <w:t>id serial PK · username unique · email unique · password (bcrypt hash) · created_at</w:t>
            </w:r>
          </w:p>
        </w:tc>
      </w:tr>
      <w:tr>
        <w:tc>
          <w:tcPr>
            <w:tcW w:type="dxa" w:w="1584"/>
          </w:tcPr>
          <w:p>
            <w:pPr>
              <w:spacing w:after="20" w:before="20"/>
            </w:pPr>
            <w:r>
              <w:rPr>
                <w:rFonts w:ascii="Consolas" w:hAnsi="Consolas"/>
                <w:sz w:val="17"/>
              </w:rPr>
              <w:t>predictions</w:t>
            </w:r>
          </w:p>
        </w:tc>
        <w:tc>
          <w:tcPr>
            <w:tcW w:type="dxa" w:w="7416"/>
          </w:tcPr>
          <w:p>
            <w:pPr>
              <w:spacing w:after="20" w:before="20"/>
            </w:pPr>
            <w:r>
              <w:rPr>
                <w:sz w:val="18"/>
              </w:rPr>
              <w:t>id uuid PK (gen_random_uuid()) · username FK · timestamp · disease · disease_np · confidence · crop_type · is_unknown · not_leaf · message · cause/symptoms/treatment/prevention (EN + NP) · top_5_predictions (JSON text) · gradcam_image · thumbnail</w:t>
            </w:r>
          </w:p>
        </w:tc>
      </w:tr>
    </w:tbl>
    <w:p>
      <w:pPr>
        <w:spacing w:after="120"/>
      </w:pPr>
    </w:p>
    <w:p>
      <w:r>
        <w:t xml:space="preserve">Indexed on </w:t>
      </w:r>
      <w:r>
        <w:rPr>
          <w:rFonts w:ascii="Consolas" w:hAnsi="Consolas"/>
          <w:color w:val="33443A"/>
          <w:sz w:val="19"/>
        </w:rPr>
        <w:t>username</w:t>
      </w:r>
      <w:r>
        <w:t xml:space="preserve"> and on </w:t>
      </w:r>
      <w:r>
        <w:rPr>
          <w:rFonts w:ascii="Consolas" w:hAnsi="Consolas"/>
          <w:color w:val="33443A"/>
          <w:sz w:val="19"/>
        </w:rPr>
        <w:t>timestamp DESC</w:t>
      </w:r>
      <w:r>
        <w:t xml:space="preserve"> — the two access patterns the history endpoint actually uses.</w:t>
      </w:r>
    </w:p>
    <w:p>
      <w:pPr>
        <w:pStyle w:val="Heading2"/>
      </w:pPr>
      <w:r>
        <w:t>11.3  Authentication</w:t>
      </w:r>
    </w:p>
    <w:p>
      <w:r>
        <w:t>bcrypt for password hashing, JWT HS256 for sessions with a 24-hour expiry (</w:t>
      </w:r>
      <w:r>
        <w:rPr>
          <w:rFonts w:ascii="Consolas" w:hAnsi="Consolas"/>
          <w:color w:val="33443A"/>
          <w:sz w:val="19"/>
        </w:rPr>
        <w:t>ACCESS_TOKEN_EXPIRE_MINUTES = 60 * 24</w:t>
      </w:r>
      <w:r>
        <w:t xml:space="preserve">). One detail worth knowing because it looks like a bug and is not: </w:t>
      </w:r>
      <w:r>
        <w:rPr>
          <w:rFonts w:ascii="Consolas" w:hAnsi="Consolas"/>
          <w:color w:val="33443A"/>
          <w:sz w:val="19"/>
        </w:rPr>
        <w:t>auth.py</w:t>
      </w:r>
      <w:r>
        <w:t xml:space="preserve"> truncates the password to 72 bytes before hashing. That is bcrypt’s hard algorithmic limit — passing more raises in modern bindings — so the truncation is explicit rather than accidental.</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AF3E2"/>
          </w:tcPr>
          <w:p>
            <w:pPr>
              <w:spacing w:after="60"/>
            </w:pPr>
            <w:r>
              <w:rPr>
                <w:rFonts w:ascii="Calibri" w:hAnsi="Calibri"/>
                <w:b/>
                <w:color w:val="7A550E"/>
                <w:sz w:val="17"/>
              </w:rPr>
              <w:t>BE READY FOR THIS QUESTION</w:t>
              <w:br/>
              <w:t>Why does /predict still accept a request with no token, if sign-in is compulsory? Because the requirement belongs in the product, not in the inference path. The endpoint uses an optional bearer dependency, so an expired token degrades the experience to “this check was not saved” instead of losing a diagnosis the farmer already waited seven seconds for. Both clients enforce the gate, and every write to the database is wrapped so a database failure can never turn a successful prediction into an error.</w:t>
            </w:r>
          </w:p>
        </w:tc>
      </w:tr>
    </w:tbl>
    <w:p>
      <w:pPr>
        <w:spacing w:after="80"/>
      </w:pPr>
    </w:p>
    <w:p>
      <w:pPr>
        <w:pStyle w:val="Heading1"/>
      </w:pPr>
      <w:r>
        <w:t>12.  Deployment</w:t>
      </w:r>
    </w:p>
    <w:p>
      <w:r>
        <w:t>One command brings up the whole stack:</w:t>
      </w:r>
    </w:p>
    <w:p>
      <w:pPr>
        <w:spacing w:before="100" w:after="180" w:line="252" w:lineRule="auto"/>
        <w:ind w:left="259"/>
        <w:shd w:val="clear" w:color="auto" w:fill="F0F2EE"/>
      </w:pPr>
      <w:r>
        <w:rPr>
          <w:rFonts w:ascii="Consolas" w:hAnsi="Consolas"/>
          <w:color w:val="2A352E"/>
          <w:sz w:val="18"/>
        </w:rPr>
        <w:t>git lfs pull                 # model weights are LFS pointers until you do</w:t>
        <w:br/>
        <w:t>docker compose up --build    # local full stack: db, backend, web, adminer</w:t>
      </w:r>
    </w:p>
    <w:tbl>
      <w:tblPr>
        <w:tblStyle w:val="TableGrid"/>
        <w:jc w:val="left"/>
        <w:tblLook w:firstColumn="1" w:firstRow="1" w:lastColumn="0" w:lastRow="0" w:noHBand="0" w:noVBand="1" w:val="04A0"/>
        <w:tblLayout w:type="fixed"/>
        <w:tblW w:w="9000" w:type="dxa"/>
      </w:tblPr>
      <w:tblGrid>
        <w:gridCol w:w="1728"/>
        <w:gridCol w:w="1440"/>
        <w:gridCol w:w="5832"/>
      </w:tblGrid>
      <w:tr>
        <w:tc>
          <w:tcPr>
            <w:tcW w:type="dxa" w:w="1728"/>
            <w:shd w:val="clear" w:color="auto" w:fill="E8EDE6"/>
          </w:tcPr>
          <w:p>
            <w:pPr>
              <w:spacing w:after="20" w:before="20"/>
            </w:pPr>
            <w:r>
              <w:rPr>
                <w:b/>
                <w:color w:val="333D36"/>
                <w:sz w:val="18"/>
              </w:rPr>
              <w:t>Service</w:t>
            </w:r>
          </w:p>
        </w:tc>
        <w:tc>
          <w:tcPr>
            <w:tcW w:type="dxa" w:w="1440"/>
            <w:shd w:val="clear" w:color="auto" w:fill="E8EDE6"/>
          </w:tcPr>
          <w:p>
            <w:pPr>
              <w:spacing w:after="20" w:before="20"/>
            </w:pPr>
            <w:r>
              <w:rPr>
                <w:b/>
                <w:color w:val="333D36"/>
                <w:sz w:val="18"/>
              </w:rPr>
              <w:t>Port</w:t>
            </w:r>
          </w:p>
        </w:tc>
        <w:tc>
          <w:tcPr>
            <w:tcW w:type="dxa" w:w="5832"/>
            <w:shd w:val="clear" w:color="auto" w:fill="E8EDE6"/>
          </w:tcPr>
          <w:p>
            <w:pPr>
              <w:spacing w:after="20" w:before="20"/>
            </w:pPr>
            <w:r>
              <w:rPr>
                <w:b/>
                <w:color w:val="333D36"/>
                <w:sz w:val="18"/>
              </w:rPr>
              <w:t>Image / build</w:t>
            </w:r>
          </w:p>
        </w:tc>
      </w:tr>
      <w:tr>
        <w:tc>
          <w:tcPr>
            <w:tcW w:type="dxa" w:w="1728"/>
          </w:tcPr>
          <w:p>
            <w:pPr>
              <w:spacing w:after="20" w:before="20"/>
            </w:pPr>
            <w:r>
              <w:rPr>
                <w:sz w:val="18"/>
              </w:rPr>
              <w:t>Web app</w:t>
            </w:r>
          </w:p>
        </w:tc>
        <w:tc>
          <w:tcPr>
            <w:tcW w:type="dxa" w:w="1440"/>
          </w:tcPr>
          <w:p>
            <w:pPr>
              <w:spacing w:after="20" w:before="20"/>
            </w:pPr>
            <w:r>
              <w:rPr>
                <w:sz w:val="18"/>
              </w:rPr>
              <w:t>3000 → 80</w:t>
            </w:r>
          </w:p>
        </w:tc>
        <w:tc>
          <w:tcPr>
            <w:tcW w:type="dxa" w:w="5832"/>
          </w:tcPr>
          <w:p>
            <w:pPr>
              <w:spacing w:after="20" w:before="20"/>
            </w:pPr>
            <w:r>
              <w:rPr>
                <w:sz w:val="18"/>
              </w:rPr>
              <w:t>node:20-alpine build → nginx:alpine serve</w:t>
            </w:r>
          </w:p>
        </w:tc>
      </w:tr>
      <w:tr>
        <w:tc>
          <w:tcPr>
            <w:tcW w:type="dxa" w:w="1728"/>
          </w:tcPr>
          <w:p>
            <w:pPr>
              <w:spacing w:after="20" w:before="20"/>
            </w:pPr>
            <w:r>
              <w:rPr>
                <w:sz w:val="18"/>
              </w:rPr>
              <w:t>Backend API</w:t>
            </w:r>
          </w:p>
        </w:tc>
        <w:tc>
          <w:tcPr>
            <w:tcW w:type="dxa" w:w="1440"/>
          </w:tcPr>
          <w:p>
            <w:pPr>
              <w:spacing w:after="20" w:before="20"/>
            </w:pPr>
            <w:r>
              <w:rPr>
                <w:sz w:val="18"/>
              </w:rPr>
              <w:t>8000</w:t>
            </w:r>
          </w:p>
        </w:tc>
        <w:tc>
          <w:tcPr>
            <w:tcW w:type="dxa" w:w="5832"/>
          </w:tcPr>
          <w:p>
            <w:pPr>
              <w:spacing w:after="20" w:before="20"/>
            </w:pPr>
            <w:r>
              <w:rPr>
                <w:sz w:val="18"/>
              </w:rPr>
              <w:t>python:3.10-slim + libgl1 for OpenCV</w:t>
            </w:r>
          </w:p>
        </w:tc>
      </w:tr>
      <w:tr>
        <w:tc>
          <w:tcPr>
            <w:tcW w:type="dxa" w:w="1728"/>
          </w:tcPr>
          <w:p>
            <w:pPr>
              <w:spacing w:after="20" w:before="20"/>
            </w:pPr>
            <w:r>
              <w:rPr>
                <w:sz w:val="18"/>
              </w:rPr>
              <w:t>PostgreSQL</w:t>
            </w:r>
          </w:p>
        </w:tc>
        <w:tc>
          <w:tcPr>
            <w:tcW w:type="dxa" w:w="1440"/>
          </w:tcPr>
          <w:p>
            <w:pPr>
              <w:spacing w:after="20" w:before="20"/>
            </w:pPr>
            <w:r>
              <w:rPr>
                <w:sz w:val="18"/>
              </w:rPr>
              <w:t>5432</w:t>
            </w:r>
          </w:p>
        </w:tc>
        <w:tc>
          <w:tcPr>
            <w:tcW w:type="dxa" w:w="5832"/>
          </w:tcPr>
          <w:p>
            <w:pPr>
              <w:spacing w:after="20" w:before="20"/>
            </w:pPr>
            <w:r>
              <w:rPr>
                <w:sz w:val="18"/>
              </w:rPr>
              <w:t>postgres:16-alpine, healthchecked, named volume pgdata</w:t>
            </w:r>
          </w:p>
        </w:tc>
      </w:tr>
      <w:tr>
        <w:tc>
          <w:tcPr>
            <w:tcW w:type="dxa" w:w="1728"/>
          </w:tcPr>
          <w:p>
            <w:pPr>
              <w:spacing w:after="20" w:before="20"/>
            </w:pPr>
            <w:r>
              <w:rPr>
                <w:sz w:val="18"/>
              </w:rPr>
              <w:t>Adminer</w:t>
            </w:r>
          </w:p>
        </w:tc>
        <w:tc>
          <w:tcPr>
            <w:tcW w:type="dxa" w:w="1440"/>
          </w:tcPr>
          <w:p>
            <w:pPr>
              <w:spacing w:after="20" w:before="20"/>
            </w:pPr>
            <w:r>
              <w:rPr>
                <w:sz w:val="18"/>
              </w:rPr>
              <w:t>8080</w:t>
            </w:r>
          </w:p>
        </w:tc>
        <w:tc>
          <w:tcPr>
            <w:tcW w:type="dxa" w:w="5832"/>
          </w:tcPr>
          <w:p>
            <w:pPr>
              <w:spacing w:after="20" w:before="20"/>
            </w:pPr>
            <w:r>
              <w:rPr>
                <w:sz w:val="18"/>
              </w:rPr>
              <w:t>Database GUI for inspecting tables live</w:t>
            </w:r>
          </w:p>
        </w:tc>
      </w:tr>
    </w:tbl>
    <w:p>
      <w:pPr>
        <w:spacing w:after="120"/>
      </w:pPr>
    </w:p>
    <w:p>
      <w:r>
        <w:t xml:space="preserve">The backend waits on the database’s </w:t>
      </w:r>
      <w:r>
        <w:rPr>
          <w:rFonts w:ascii="Consolas" w:hAnsi="Consolas"/>
          <w:color w:val="33443A"/>
          <w:sz w:val="19"/>
        </w:rPr>
        <w:t>pg_isready</w:t>
      </w:r>
      <w:r>
        <w:t xml:space="preserve"> healthcheck rather than merely on container start — </w:t>
      </w:r>
      <w:r>
        <w:rPr>
          <w:rFonts w:ascii="Consolas" w:hAnsi="Consolas"/>
          <w:color w:val="33443A"/>
          <w:sz w:val="19"/>
        </w:rPr>
        <w:t>depends_on: condition: service_healthy</w:t>
      </w:r>
      <w:r>
        <w:t xml:space="preserve">. Nginx serves the SPA with a </w:t>
      </w:r>
      <w:r>
        <w:rPr>
          <w:rFonts w:ascii="Consolas" w:hAnsi="Consolas"/>
          <w:color w:val="33443A"/>
          <w:sz w:val="19"/>
        </w:rPr>
        <w:t>try_files</w:t>
      </w:r>
      <w:r>
        <w:t xml:space="preserve"> fallback to </w:t>
      </w:r>
      <w:r>
        <w:rPr>
          <w:rFonts w:ascii="Consolas" w:hAnsi="Consolas"/>
          <w:color w:val="33443A"/>
          <w:sz w:val="19"/>
        </w:rPr>
        <w:t>index.html</w:t>
      </w:r>
      <w:r>
        <w:t xml:space="preserve"> (so deep links like </w:t>
      </w:r>
      <w:r>
        <w:rPr>
          <w:rFonts w:ascii="Consolas" w:hAnsi="Consolas"/>
          <w:color w:val="33443A"/>
          <w:sz w:val="19"/>
        </w:rPr>
        <w:t>/history/abc</w:t>
      </w:r>
      <w:r>
        <w:t xml:space="preserve"> resolve) and proxies </w:t>
      </w:r>
      <w:r>
        <w:rPr>
          <w:rFonts w:ascii="Consolas" w:hAnsi="Consolas"/>
          <w:color w:val="33443A"/>
          <w:sz w:val="19"/>
        </w:rPr>
        <w:t>/predict</w:t>
      </w:r>
      <w:r>
        <w:t xml:space="preserve">, </w:t>
      </w:r>
      <w:r>
        <w:rPr>
          <w:rFonts w:ascii="Consolas" w:hAnsi="Consolas"/>
          <w:color w:val="33443A"/>
          <w:sz w:val="19"/>
        </w:rPr>
        <w:t>/health</w:t>
      </w:r>
      <w:r>
        <w:t xml:space="preserve"> and </w:t>
      </w:r>
      <w:r>
        <w:rPr>
          <w:rFonts w:ascii="Consolas" w:hAnsi="Consolas"/>
          <w:color w:val="33443A"/>
          <w:sz w:val="19"/>
        </w:rPr>
        <w:t>/auth/</w:t>
      </w:r>
      <w:r>
        <w:t xml:space="preserve"> to </w:t>
      </w:r>
      <w:r>
        <w:rPr>
          <w:rFonts w:ascii="Consolas" w:hAnsi="Consolas"/>
          <w:color w:val="33443A"/>
          <w:sz w:val="19"/>
        </w:rPr>
        <w:t>backend:8000</w:t>
      </w:r>
      <w:r>
        <w:t xml:space="preserve"> with a 300-second read timeout and a 50 MB body limit — a cold TensorFlow model plus a large phone photo can genuinely take a while on the first request.</w:t>
      </w:r>
    </w:p>
    <w:p>
      <w:pPr>
        <w:pStyle w:val="Heading2"/>
      </w:pPr>
      <w:r>
        <w:t>12.1  Hosting realities</w:t>
      </w:r>
    </w:p>
    <w:p>
      <w:r>
        <w:t xml:space="preserve">TensorFlow plus a ~100 MB model needs roughly 1.5–2 GB of RAM, so most 512 MB free tiers will OOM on import. The Dockerfile is built for this: it creates a UID-1000 user with a writable </w:t>
      </w:r>
      <w:r>
        <w:rPr>
          <w:rFonts w:ascii="Consolas" w:hAnsi="Consolas"/>
          <w:color w:val="33443A"/>
          <w:sz w:val="19"/>
        </w:rPr>
        <w:t>$HOME</w:t>
      </w:r>
      <w:r>
        <w:t xml:space="preserve"> (which is what Hugging Face Spaces runs as, and what TensorFlow/Keras need for their caches), and its </w:t>
      </w:r>
      <w:r>
        <w:rPr>
          <w:rFonts w:ascii="Consolas" w:hAnsi="Consolas"/>
          <w:color w:val="33443A"/>
          <w:sz w:val="19"/>
        </w:rPr>
        <w:t>CMD</w:t>
      </w:r>
      <w:r>
        <w:t xml:space="preserve"> is in shell form so </w:t>
      </w:r>
      <w:r>
        <w:rPr>
          <w:rFonts w:ascii="Consolas" w:hAnsi="Consolas"/>
          <w:color w:val="33443A"/>
          <w:sz w:val="19"/>
        </w:rPr>
        <w:t>${PORT:-8000}</w:t>
      </w:r>
      <w:r>
        <w:t xml:space="preserve"> expands at runtime — Cloud Run injects </w:t>
      </w:r>
      <w:r>
        <w:rPr>
          <w:rFonts w:ascii="Consolas" w:hAnsi="Consolas"/>
          <w:color w:val="33443A"/>
          <w:sz w:val="19"/>
        </w:rPr>
        <w:t>$PORT</w:t>
      </w:r>
      <w:r>
        <w:t xml:space="preserve"> and ignores </w:t>
      </w:r>
      <w:r>
        <w:rPr>
          <w:rFonts w:ascii="Consolas" w:hAnsi="Consolas"/>
          <w:color w:val="33443A"/>
          <w:sz w:val="19"/>
        </w:rPr>
        <w:t>EXPOSE</w:t>
      </w:r>
      <w:r>
        <w:t xml:space="preserve">. </w:t>
      </w:r>
      <w:r>
        <w:rPr>
          <w:rFonts w:ascii="Consolas" w:hAnsi="Consolas"/>
          <w:color w:val="33443A"/>
          <w:sz w:val="19"/>
        </w:rPr>
        <w:t>backend/README.md</w:t>
      </w:r>
      <w:r>
        <w:t xml:space="preserve"> carries the Hugging Face Spaces YAML front matter (</w:t>
      </w:r>
      <w:r>
        <w:rPr>
          <w:rFonts w:ascii="Consolas" w:hAnsi="Consolas"/>
          <w:color w:val="33443A"/>
          <w:sz w:val="19"/>
        </w:rPr>
        <w:t>sdk: docker</w:t>
      </w:r>
      <w:r>
        <w:t xml:space="preserve">, </w:t>
      </w:r>
      <w:r>
        <w:rPr>
          <w:rFonts w:ascii="Consolas" w:hAnsi="Consolas"/>
          <w:color w:val="33443A"/>
          <w:sz w:val="19"/>
        </w:rPr>
        <w:t>app_port: 8000</w:t>
      </w:r>
      <w:r>
        <w:t>).</w:t>
      </w:r>
    </w:p>
    <w:p>
      <w:r>
        <w:t>As deployed today: the API and the 102 MB weights file (Git LFS) run in a Hugging Face Space at https://bikkii-cropsense.hf.space, the React client is served by Vercel and redeploys on every push to main, and the Android client ships as a signed APK from Expo EAS Build. Hugging Face moved Docker Spaces to a paid tier during the project, so the service runs on the free Gradio SDK: app.py mounts the FastAPI routes on gr.Server and starts through Gradio’s own launcher, which is what ZeroGPU requires — a self-started uvicorn fails with ‘address already in use’ on port 7860. The model runs on CPU; the Space sleeps when idle and wakes on the first request.</w:t>
      </w:r>
    </w:p>
    <w:p>
      <w:pPr>
        <w:pStyle w:val="Heading2"/>
      </w:pPr>
      <w:r>
        <w:t>12.2  Version pinning</w:t>
      </w:r>
    </w:p>
    <w:p>
      <w:r>
        <w:rPr>
          <w:rFonts w:ascii="Consolas" w:hAnsi="Consolas"/>
          <w:color w:val="33443A"/>
          <w:sz w:val="19"/>
        </w:rPr>
        <w:t>requirements.txt</w:t>
      </w:r>
      <w:r>
        <w:t xml:space="preserve"> pins every dependency exactly, with a comment explaining why: the Grad-CAM layer walk handles Keras 3’s removal of </w:t>
      </w:r>
      <w:r>
        <w:rPr>
          <w:rFonts w:ascii="Consolas" w:hAnsi="Consolas"/>
          <w:color w:val="33443A"/>
          <w:sz w:val="19"/>
        </w:rPr>
        <w:t>Layer.output_shape</w:t>
      </w:r>
      <w:r>
        <w:t>, and an unpinned TensorFlow upgrade on a rebuild would silently disable the heatmap again — the exact bug described in section 7. This is a good example to cite if asked about reproducibility.</w:t>
      </w:r>
    </w:p>
    <w:p>
      <w:r>
        <w:br w:type="page"/>
      </w:r>
    </w:p>
    <w:p>
      <w:pPr>
        <w:pStyle w:val="Heading1"/>
      </w:pPr>
      <w:r>
        <w:t>13.  Evidence and results</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AF3E2"/>
          </w:tcPr>
          <w:p>
            <w:pPr>
              <w:spacing w:after="60"/>
            </w:pPr>
            <w:r>
              <w:rPr>
                <w:rFonts w:ascii="Calibri" w:hAnsi="Calibri"/>
                <w:b/>
                <w:color w:val="7A550E"/>
                <w:sz w:val="17"/>
              </w:rPr>
              <w:t>READ THIS BEFORE QUOTING ANY NUMBER</w:t>
              <w:br/>
              <w:t>Both training notebooks have zero saved cell outputs, so there is no stored classification report or macro-F1 for the deployed checkpoint. The saved curves and confusion matrix come from the 31 Aug 2026 51-class laboratory run — quote them as that, never as the deployed model. The numbers that do describe the deployed model are the independent PlantDoc results in section 13.6, measured through the live API.</w:t>
            </w:r>
          </w:p>
        </w:tc>
      </w:tr>
    </w:tbl>
    <w:p>
      <w:pPr>
        <w:spacing w:after="80"/>
      </w:pPr>
    </w:p>
    <w:p>
      <w:pPr>
        <w:pStyle w:val="Heading2"/>
      </w:pPr>
      <w:r>
        <w:t>13.1  What the saved training curves show</w:t>
      </w:r>
    </w:p>
    <w:p>
      <w:pPr>
        <w:spacing w:before="160" w:after="60"/>
        <w:jc w:val="center"/>
      </w:pPr>
      <w:r>
        <w:drawing>
          <wp:inline xmlns:a="http://schemas.openxmlformats.org/drawingml/2006/main" xmlns:pic="http://schemas.openxmlformats.org/drawingml/2006/picture">
            <wp:extent cx="5577840" cy="1992086"/>
            <wp:docPr id="5" name="Picture 5"/>
            <wp:cNvGraphicFramePr>
              <a:graphicFrameLocks noChangeAspect="1"/>
            </wp:cNvGraphicFramePr>
            <a:graphic>
              <a:graphicData uri="http://schemas.openxmlformats.org/drawingml/2006/picture">
                <pic:pic>
                  <pic:nvPicPr>
                    <pic:cNvPr id="0" name="training_history.png"/>
                    <pic:cNvPicPr/>
                  </pic:nvPicPr>
                  <pic:blipFill>
                    <a:blip r:embed="rId13"/>
                    <a:stretch>
                      <a:fillRect/>
                    </a:stretch>
                  </pic:blipFill>
                  <pic:spPr>
                    <a:xfrm>
                      <a:off x="0" y="0"/>
                      <a:ext cx="5577840" cy="1992086"/>
                    </a:xfrm>
                    <a:prstGeom prst="rect"/>
                  </pic:spPr>
                </pic:pic>
              </a:graphicData>
            </a:graphic>
          </wp:inline>
        </w:drawing>
      </w:r>
    </w:p>
    <w:p>
      <w:pPr>
        <w:spacing w:after="240"/>
        <w:jc w:val="center"/>
      </w:pPr>
      <w:r>
        <w:rPr>
          <w:i/>
          <w:color w:val="555F58"/>
          <w:sz w:val="17"/>
        </w:rPr>
        <w:t>Figure 5 — Accuracy and loss across 19 epochs, from backend/Final_Model/training_history.png (run of 31 Aug 2026).</w:t>
      </w:r>
    </w:p>
    <w:p>
      <w:r>
        <w:t>The plot shows:</w:t>
      </w:r>
    </w:p>
    <w:p>
      <w:pPr>
        <w:pStyle w:val="ListBullet"/>
      </w:pPr>
      <w:r>
        <w:rPr>
          <w:b/>
        </w:rPr>
        <w:t>Validation accuracy</w:t>
      </w:r>
      <w:r>
        <w:t xml:space="preserve"> flat in a band of roughly </w:t>
      </w:r>
      <w:r>
        <w:rPr>
          <w:b/>
        </w:rPr>
        <w:t>0.985–0.989</w:t>
      </w:r>
      <w:r>
        <w:t>, peaking near the start and again around epoch 17.</w:t>
      </w:r>
    </w:p>
    <w:p>
      <w:pPr>
        <w:pStyle w:val="ListBullet"/>
      </w:pPr>
      <w:r>
        <w:rPr>
          <w:b/>
        </w:rPr>
        <w:t>Training accuracy</w:t>
      </w:r>
      <w:r>
        <w:t xml:space="preserve"> climbing from 0.970 to about </w:t>
      </w:r>
      <w:r>
        <w:rPr>
          <w:b/>
        </w:rPr>
        <w:t>0.995</w:t>
      </w:r>
      <w:r>
        <w:t>, crossing above validation accuracy around epoch 6.</w:t>
      </w:r>
    </w:p>
    <w:p>
      <w:pPr>
        <w:pStyle w:val="ListBullet"/>
      </w:pPr>
      <w:r>
        <w:rPr>
          <w:b/>
        </w:rPr>
        <w:t>Both losses</w:t>
      </w:r>
      <w:r>
        <w:t xml:space="preserve"> falling and converging (train 0.95 → 0.79, validation 0.84 → 0.79).</w:t>
      </w:r>
    </w:p>
    <w:p>
      <w:r>
        <w:t>Three things to be able to explain about that plot, because a panel will ask:</w:t>
      </w:r>
    </w:p>
    <w:p>
      <w:pPr>
        <w:pStyle w:val="ListNumber"/>
      </w:pPr>
      <w:r>
        <w:rPr>
          <w:b/>
        </w:rPr>
        <w:t>Why validation accuracy starts *above* training accuracy.</w:t>
      </w:r>
      <w:r>
        <w:t xml:space="preserve"> Training metrics are measured with dropout active and augmentation applied; validation is measured clean. Early on, this makes the training numbers look worse than the model actually is. This is expected, not a bug.</w:t>
      </w:r>
    </w:p>
    <w:p>
      <w:pPr>
        <w:pStyle w:val="ListNumber"/>
      </w:pPr>
      <w:r>
        <w:rPr>
          <w:b/>
        </w:rPr>
        <w:t>Why loss plateaus near 0.79 instead of approaching zero.</w:t>
      </w:r>
      <w:r>
        <w:t xml:space="preserve"> Label smoothing of 0.1 puts a floor under cross-entropy — the target is never a one-hot vector, so the loss cannot go to zero. Absolute loss values are not comparable to an unsmoothed run.</w:t>
      </w:r>
    </w:p>
    <w:p>
      <w:pPr>
        <w:pStyle w:val="ListNumber"/>
      </w:pPr>
      <w:r>
        <w:rPr>
          <w:b/>
        </w:rPr>
        <w:t>The train/validation gap widening after epoch 6</w:t>
      </w:r>
      <w:r>
        <w:t xml:space="preserve"> is mild overfitting. Validation accuracy does not </w:t>
      </w:r>
      <w:r>
        <w:rPr>
          <w:i/>
        </w:rPr>
        <w:t>degrade</w:t>
      </w:r>
      <w:r>
        <w:t xml:space="preserve">, it plateaus — which is why EarlyStopping on </w:t>
      </w:r>
      <w:r>
        <w:rPr>
          <w:rFonts w:ascii="Consolas" w:hAnsi="Consolas"/>
          <w:color w:val="33443A"/>
          <w:sz w:val="19"/>
        </w:rPr>
        <w:t>val_loss</w:t>
      </w:r>
      <w:r>
        <w:t xml:space="preserve"> with </w:t>
      </w:r>
      <w:r>
        <w:rPr>
          <w:rFonts w:ascii="Consolas" w:hAnsi="Consolas"/>
          <w:color w:val="33443A"/>
          <w:sz w:val="19"/>
        </w:rPr>
        <w:t>restore_best_weights</w:t>
      </w:r>
      <w:r>
        <w:t xml:space="preserve"> and macro-F1 checkpointing are the right guards.</w:t>
      </w:r>
    </w:p>
    <w:p>
      <w:pPr>
        <w:pStyle w:val="Heading2"/>
      </w:pPr>
      <w:r>
        <w:t>13.2  What the confusion matrix shows</w:t>
      </w:r>
    </w:p>
    <w:p>
      <w:pPr>
        <w:spacing w:before="160" w:after="60"/>
        <w:jc w:val="center"/>
      </w:pPr>
      <w:r>
        <w:drawing>
          <wp:inline xmlns:a="http://schemas.openxmlformats.org/drawingml/2006/main" xmlns:pic="http://schemas.openxmlformats.org/drawingml/2006/picture">
            <wp:extent cx="5577840" cy="4462272"/>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577840" cy="4462272"/>
                    </a:xfrm>
                    <a:prstGeom prst="rect"/>
                  </pic:spPr>
                </pic:pic>
              </a:graphicData>
            </a:graphic>
          </wp:inline>
        </w:drawing>
      </w:r>
    </w:p>
    <w:p>
      <w:pPr>
        <w:spacing w:after="240"/>
        <w:jc w:val="center"/>
      </w:pPr>
      <w:r>
        <w:rPr>
          <w:i/>
          <w:color w:val="555F58"/>
          <w:sz w:val="17"/>
        </w:rPr>
        <w:t>Figure 6 — Test-set confusion matrix from the same run. Note it has 51 rows, not 52.</w:t>
      </w:r>
    </w:p>
    <w:p>
      <w:r>
        <w:t>Strongly diagonal with very little off-diagonal mass — visually consistent with the ~98.7% validation accuracy. Two caveats to raise yourself:</w:t>
      </w:r>
    </w:p>
    <w:p>
      <w:pPr>
        <w:pStyle w:val="ListBullet"/>
      </w:pPr>
      <w:r>
        <w:t xml:space="preserve">It has </w:t>
      </w:r>
      <w:r>
        <w:rPr>
          <w:b/>
        </w:rPr>
        <w:t>51 rows, not 52</w:t>
      </w:r>
      <w:r>
        <w:t xml:space="preserve"> — there is no Unknown row, so this matrix predates the Unknown class being added.</w:t>
      </w:r>
    </w:p>
    <w:p>
      <w:pPr>
        <w:pStyle w:val="ListBullet"/>
      </w:pPr>
      <w:r>
        <w:t>It is a lab-set test score. ~98–99% on a curated lab split is the well-known inflated figure that PlantVillage-style datasets produce, and it is not what a farmer experiences in a field. The field number now exists and is reported in section 13.6: 48.0% top-1 on independent PlantDoc photographs, measured through the deployed API.</w:t>
      </w:r>
    </w:p>
    <w:p>
      <w:pPr>
        <w:pStyle w:val="Heading2"/>
      </w:pPr>
      <w:r>
        <w:t>13.3  Evaluation the notebook is set up to produce</w:t>
      </w:r>
    </w:p>
    <w:p>
      <w:r>
        <w:t>The instrumentation is written and ready — it simply needs a run with outputs preserved:</w:t>
      </w:r>
    </w:p>
    <w:tbl>
      <w:tblPr>
        <w:tblStyle w:val="TableGrid"/>
        <w:jc w:val="left"/>
        <w:tblLook w:firstColumn="1" w:firstRow="1" w:lastColumn="0" w:lastRow="0" w:noHBand="0" w:noVBand="1" w:val="04A0"/>
        <w:tblLayout w:type="fixed"/>
        <w:tblW w:w="9000" w:type="dxa"/>
      </w:tblPr>
      <w:tblGrid>
        <w:gridCol w:w="1080"/>
        <w:gridCol w:w="5040"/>
        <w:gridCol w:w="2880"/>
      </w:tblGrid>
      <w:tr>
        <w:tc>
          <w:tcPr>
            <w:tcW w:type="dxa" w:w="1080"/>
            <w:shd w:val="clear" w:color="auto" w:fill="E8EDE6"/>
          </w:tcPr>
          <w:p>
            <w:pPr>
              <w:spacing w:after="20" w:before="20"/>
            </w:pPr>
            <w:r>
              <w:rPr>
                <w:b/>
                <w:color w:val="333D36"/>
                <w:sz w:val="18"/>
              </w:rPr>
              <w:t>Section</w:t>
            </w:r>
          </w:p>
        </w:tc>
        <w:tc>
          <w:tcPr>
            <w:tcW w:type="dxa" w:w="5040"/>
            <w:shd w:val="clear" w:color="auto" w:fill="E8EDE6"/>
          </w:tcPr>
          <w:p>
            <w:pPr>
              <w:spacing w:after="20" w:before="20"/>
            </w:pPr>
            <w:r>
              <w:rPr>
                <w:b/>
                <w:color w:val="333D36"/>
                <w:sz w:val="18"/>
              </w:rPr>
              <w:t>Produces</w:t>
            </w:r>
          </w:p>
        </w:tc>
        <w:tc>
          <w:tcPr>
            <w:tcW w:type="dxa" w:w="2880"/>
            <w:shd w:val="clear" w:color="auto" w:fill="E8EDE6"/>
          </w:tcPr>
          <w:p>
            <w:pPr>
              <w:spacing w:after="20" w:before="20"/>
            </w:pPr>
            <w:r>
              <w:rPr>
                <w:b/>
                <w:color w:val="333D36"/>
                <w:sz w:val="18"/>
              </w:rPr>
              <w:t>Status</w:t>
            </w:r>
          </w:p>
        </w:tc>
      </w:tr>
      <w:tr>
        <w:tc>
          <w:tcPr>
            <w:tcW w:type="dxa" w:w="1080"/>
          </w:tcPr>
          <w:p>
            <w:pPr>
              <w:spacing w:after="20" w:before="20"/>
            </w:pPr>
            <w:r>
              <w:rPr>
                <w:sz w:val="18"/>
              </w:rPr>
              <w:t>14</w:t>
            </w:r>
          </w:p>
        </w:tc>
        <w:tc>
          <w:tcPr>
            <w:tcW w:type="dxa" w:w="5040"/>
          </w:tcPr>
          <w:p>
            <w:pPr>
              <w:spacing w:after="20" w:before="20"/>
            </w:pPr>
            <w:r>
              <w:rPr>
                <w:sz w:val="18"/>
              </w:rPr>
              <w:t>Overall test accuracy and loss</w:t>
            </w:r>
          </w:p>
        </w:tc>
        <w:tc>
          <w:tcPr>
            <w:tcW w:type="dxa" w:w="2880"/>
          </w:tcPr>
          <w:p>
            <w:pPr>
              <w:spacing w:after="20" w:before="20"/>
            </w:pPr>
            <w:r>
              <w:rPr>
                <w:sz w:val="18"/>
              </w:rPr>
              <w:t>Ready</w:t>
            </w:r>
          </w:p>
        </w:tc>
      </w:tr>
      <w:tr>
        <w:tc>
          <w:tcPr>
            <w:tcW w:type="dxa" w:w="1080"/>
          </w:tcPr>
          <w:p>
            <w:pPr>
              <w:spacing w:after="20" w:before="20"/>
            </w:pPr>
            <w:r>
              <w:rPr>
                <w:sz w:val="18"/>
              </w:rPr>
              <w:t>15</w:t>
            </w:r>
          </w:p>
        </w:tc>
        <w:tc>
          <w:tcPr>
            <w:tcW w:type="dxa" w:w="5040"/>
          </w:tcPr>
          <w:p>
            <w:pPr>
              <w:spacing w:after="20" w:before="20"/>
            </w:pPr>
            <w:r>
              <w:rPr>
                <w:sz w:val="18"/>
              </w:rPr>
              <w:t>Per-class precision / recall / F1 + field-only accuracy and macro-F1 on the mirrored field_test split</w:t>
            </w:r>
          </w:p>
        </w:tc>
        <w:tc>
          <w:tcPr>
            <w:tcW w:type="dxa" w:w="2880"/>
          </w:tcPr>
          <w:p>
            <w:pPr>
              <w:spacing w:after="20" w:before="20"/>
            </w:pPr>
            <w:r>
              <w:rPr>
                <w:sz w:val="18"/>
              </w:rPr>
              <w:t>Ready</w:t>
            </w:r>
          </w:p>
        </w:tc>
      </w:tr>
      <w:tr>
        <w:tc>
          <w:tcPr>
            <w:tcW w:type="dxa" w:w="1080"/>
          </w:tcPr>
          <w:p>
            <w:pPr>
              <w:spacing w:after="20" w:before="20"/>
            </w:pPr>
            <w:r>
              <w:rPr>
                <w:sz w:val="18"/>
              </w:rPr>
              <w:t>15b</w:t>
            </w:r>
          </w:p>
        </w:tc>
        <w:tc>
          <w:tcPr>
            <w:tcW w:type="dxa" w:w="5040"/>
          </w:tcPr>
          <w:p>
            <w:pPr>
              <w:spacing w:after="20" w:before="20"/>
            </w:pPr>
            <w:r>
              <w:rPr>
                <w:sz w:val="18"/>
              </w:rPr>
              <w:t>Unknown recall, false-unknown rate on known leaves, and untrained-crop rejection using the backend’s exact decision rule</w:t>
            </w:r>
          </w:p>
        </w:tc>
        <w:tc>
          <w:tcPr>
            <w:tcW w:type="dxa" w:w="2880"/>
          </w:tcPr>
          <w:p>
            <w:pPr>
              <w:spacing w:after="20" w:before="20"/>
            </w:pPr>
            <w:r>
              <w:rPr>
                <w:sz w:val="18"/>
              </w:rPr>
              <w:t>Run on PlantDoc instead — see 13.6 (28.4% of untrained crops declined)</w:t>
            </w:r>
          </w:p>
        </w:tc>
      </w:tr>
      <w:tr>
        <w:tc>
          <w:tcPr>
            <w:tcW w:type="dxa" w:w="1080"/>
          </w:tcPr>
          <w:p>
            <w:pPr>
              <w:spacing w:after="20" w:before="20"/>
            </w:pPr>
            <w:r>
              <w:rPr>
                <w:sz w:val="18"/>
              </w:rPr>
              <w:t>15c</w:t>
            </w:r>
          </w:p>
        </w:tc>
        <w:tc>
          <w:tcPr>
            <w:tcW w:type="dxa" w:w="5040"/>
          </w:tcPr>
          <w:p>
            <w:pPr>
              <w:spacing w:after="20" w:before="20"/>
            </w:pPr>
            <w:r>
              <w:rPr>
                <w:sz w:val="18"/>
              </w:rPr>
              <w:t>Open-set cost/benefit: fraction of known leaves wrongly rejected vs. unknowns caught</w:t>
            </w:r>
          </w:p>
        </w:tc>
        <w:tc>
          <w:tcPr>
            <w:tcW w:type="dxa" w:w="2880"/>
          </w:tcPr>
          <w:p>
            <w:pPr>
              <w:spacing w:after="20" w:before="20"/>
            </w:pPr>
            <w:r>
              <w:rPr>
                <w:sz w:val="18"/>
              </w:rPr>
              <w:t>Ready</w:t>
            </w:r>
          </w:p>
        </w:tc>
      </w:tr>
      <w:tr>
        <w:tc>
          <w:tcPr>
            <w:tcW w:type="dxa" w:w="1080"/>
          </w:tcPr>
          <w:p>
            <w:pPr>
              <w:spacing w:after="20" w:before="20"/>
            </w:pPr>
            <w:r>
              <w:rPr>
                <w:sz w:val="18"/>
              </w:rPr>
              <w:t>17 / 18</w:t>
            </w:r>
          </w:p>
        </w:tc>
        <w:tc>
          <w:tcPr>
            <w:tcW w:type="dxa" w:w="5040"/>
          </w:tcPr>
          <w:p>
            <w:pPr>
              <w:spacing w:after="20" w:before="20"/>
            </w:pPr>
            <w:r>
              <w:rPr>
                <w:sz w:val="18"/>
              </w:rPr>
              <w:t>Confusion matrix and training curves</w:t>
            </w:r>
          </w:p>
        </w:tc>
        <w:tc>
          <w:tcPr>
            <w:tcW w:type="dxa" w:w="2880"/>
          </w:tcPr>
          <w:p>
            <w:pPr>
              <w:spacing w:after="20" w:before="20"/>
            </w:pPr>
            <w:r>
              <w:rPr>
                <w:sz w:val="18"/>
              </w:rPr>
              <w:t>Ready</w:t>
            </w:r>
          </w:p>
        </w:tc>
      </w:tr>
    </w:tbl>
    <w:p>
      <w:pPr>
        <w:spacing w:after="120"/>
      </w:pPr>
    </w:p>
    <w:p>
      <w:r>
        <w:t xml:space="preserve">Section 15b deserves a specific mention: it re-implements </w:t>
      </w:r>
      <w:r>
        <w:rPr>
          <w:rFonts w:ascii="Consolas" w:hAnsi="Consolas"/>
          <w:color w:val="33443A"/>
          <w:sz w:val="19"/>
        </w:rPr>
        <w:t>backend_decision()</w:t>
      </w:r>
      <w:r>
        <w:t xml:space="preserve"> to mirror </w:t>
      </w:r>
      <w:r>
        <w:rPr>
          <w:rFonts w:ascii="Consolas" w:hAnsi="Consolas"/>
          <w:color w:val="33443A"/>
          <w:sz w:val="19"/>
        </w:rPr>
        <w:t>main.py</w:t>
      </w:r>
      <w:r>
        <w:t>’s rule exactly, with a comment instructing that the two be kept in sync. That means the rejection number the notebook reports is the number users actually experience — evaluation measures the deployed behaviour, not an idealised version of it.</w:t>
      </w:r>
    </w:p>
    <w:p>
      <w:pPr>
        <w:pStyle w:val="Heading2"/>
      </w:pPr>
      <w:r>
        <w:t>13.4  Software testing — verified</w:t>
      </w:r>
    </w:p>
    <w:p>
      <w:r>
        <w:t>The frontend test suite runs green: 28 tests across 6 files, all passing (Vitest 3.2 + React Testing Library, jsdom). ESLint reports no problems and the production build succeeds. Coverage targets the logic most worth protecting rather than chasing a percentage:</w:t>
      </w:r>
    </w:p>
    <w:tbl>
      <w:tblPr>
        <w:tblStyle w:val="TableGrid"/>
        <w:jc w:val="left"/>
        <w:tblLook w:firstColumn="1" w:firstRow="1" w:lastColumn="0" w:lastRow="0" w:noHBand="0" w:noVBand="1" w:val="04A0"/>
        <w:tblLayout w:type="fixed"/>
        <w:tblW w:w="9000" w:type="dxa"/>
      </w:tblPr>
      <w:tblGrid>
        <w:gridCol w:w="2736"/>
        <w:gridCol w:w="864"/>
        <w:gridCol w:w="5400"/>
      </w:tblGrid>
      <w:tr>
        <w:tc>
          <w:tcPr>
            <w:tcW w:type="dxa" w:w="2736"/>
            <w:shd w:val="clear" w:color="auto" w:fill="E8EDE6"/>
          </w:tcPr>
          <w:p>
            <w:pPr>
              <w:spacing w:after="20" w:before="20"/>
            </w:pPr>
            <w:r>
              <w:rPr>
                <w:b/>
                <w:color w:val="333D36"/>
                <w:sz w:val="18"/>
              </w:rPr>
              <w:t>File</w:t>
            </w:r>
          </w:p>
        </w:tc>
        <w:tc>
          <w:tcPr>
            <w:tcW w:type="dxa" w:w="864"/>
            <w:shd w:val="clear" w:color="auto" w:fill="E8EDE6"/>
          </w:tcPr>
          <w:p>
            <w:pPr>
              <w:spacing w:after="20" w:before="20"/>
            </w:pPr>
            <w:r>
              <w:rPr>
                <w:b/>
                <w:color w:val="333D36"/>
                <w:sz w:val="18"/>
              </w:rPr>
              <w:t>Tests</w:t>
            </w:r>
          </w:p>
        </w:tc>
        <w:tc>
          <w:tcPr>
            <w:tcW w:type="dxa" w:w="5400"/>
            <w:shd w:val="clear" w:color="auto" w:fill="E8EDE6"/>
          </w:tcPr>
          <w:p>
            <w:pPr>
              <w:spacing w:after="20" w:before="20"/>
            </w:pPr>
            <w:r>
              <w:rPr>
                <w:b/>
                <w:color w:val="333D36"/>
                <w:sz w:val="18"/>
              </w:rPr>
              <w:t>What it protects</w:t>
            </w:r>
          </w:p>
        </w:tc>
      </w:tr>
      <w:tr>
        <w:tc>
          <w:tcPr>
            <w:tcW w:type="dxa" w:w="2736"/>
          </w:tcPr>
          <w:p>
            <w:pPr>
              <w:spacing w:after="20" w:before="20"/>
            </w:pPr>
            <w:r>
              <w:rPr>
                <w:rFonts w:ascii="Consolas" w:hAnsi="Consolas"/>
                <w:sz w:val="17"/>
              </w:rPr>
              <w:t>lib/normalize.test.js</w:t>
            </w:r>
          </w:p>
        </w:tc>
        <w:tc>
          <w:tcPr>
            <w:tcW w:type="dxa" w:w="864"/>
          </w:tcPr>
          <w:p>
            <w:pPr>
              <w:spacing w:after="20" w:before="20"/>
            </w:pPr>
            <w:r>
              <w:rPr>
                <w:sz w:val="18"/>
              </w:rPr>
              <w:t>10</w:t>
            </w:r>
          </w:p>
        </w:tc>
        <w:tc>
          <w:tcPr>
            <w:tcW w:type="dxa" w:w="5400"/>
          </w:tcPr>
          <w:p>
            <w:pPr>
              <w:spacing w:after="20" w:before="20"/>
            </w:pPr>
            <w:r>
              <w:rPr>
                <w:sz w:val="18"/>
              </w:rPr>
              <w:t>Response normalization and the High/Moderate/Uncertain derivation</w:t>
            </w:r>
          </w:p>
        </w:tc>
      </w:tr>
      <w:tr>
        <w:tc>
          <w:tcPr>
            <w:tcW w:type="dxa" w:w="2736"/>
          </w:tcPr>
          <w:p>
            <w:pPr>
              <w:spacing w:after="20" w:before="20"/>
            </w:pPr>
            <w:r>
              <w:rPr>
                <w:rFonts w:ascii="Consolas" w:hAnsi="Consolas"/>
                <w:sz w:val="17"/>
              </w:rPr>
              <w:t>lib/history.test.js</w:t>
            </w:r>
          </w:p>
        </w:tc>
        <w:tc>
          <w:tcPr>
            <w:tcW w:type="dxa" w:w="864"/>
          </w:tcPr>
          <w:p>
            <w:pPr>
              <w:spacing w:after="20" w:before="20"/>
            </w:pPr>
            <w:r>
              <w:rPr>
                <w:sz w:val="18"/>
              </w:rPr>
              <w:t>4</w:t>
            </w:r>
          </w:p>
        </w:tc>
        <w:tc>
          <w:tcPr>
            <w:tcW w:type="dxa" w:w="5400"/>
          </w:tcPr>
          <w:p>
            <w:pPr>
              <w:spacing w:after="20" w:before="20"/>
            </w:pPr>
            <w:r>
              <w:rPr>
                <w:sz w:val="18"/>
              </w:rPr>
              <w:t>The local-first history store</w:t>
            </w:r>
          </w:p>
        </w:tc>
      </w:tr>
      <w:tr>
        <w:tc>
          <w:tcPr>
            <w:tcW w:type="dxa" w:w="2736"/>
          </w:tcPr>
          <w:p>
            <w:pPr>
              <w:spacing w:after="20" w:before="20"/>
            </w:pPr>
            <w:r>
              <w:rPr>
                <w:rFonts w:ascii="Consolas" w:hAnsi="Consolas"/>
                <w:sz w:val="17"/>
              </w:rPr>
              <w:t>components/ResultView.test.jsx</w:t>
            </w:r>
          </w:p>
        </w:tc>
        <w:tc>
          <w:tcPr>
            <w:tcW w:type="dxa" w:w="864"/>
          </w:tcPr>
          <w:p>
            <w:pPr>
              <w:spacing w:after="20" w:before="20"/>
            </w:pPr>
            <w:r>
              <w:rPr>
                <w:sz w:val="18"/>
              </w:rPr>
              <w:t>4</w:t>
            </w:r>
          </w:p>
        </w:tc>
        <w:tc>
          <w:tcPr>
            <w:tcW w:type="dxa" w:w="5400"/>
          </w:tcPr>
          <w:p>
            <w:pPr>
              <w:spacing w:after="20" w:before="20"/>
            </w:pPr>
            <w:r>
              <w:rPr>
                <w:sz w:val="18"/>
              </w:rPr>
              <w:t>Responsible wording, the Grad-CAM note, the uncertainty warning, feedback controls</w:t>
            </w:r>
          </w:p>
        </w:tc>
      </w:tr>
      <w:tr>
        <w:tc>
          <w:tcPr>
            <w:tcW w:type="dxa" w:w="2736"/>
          </w:tcPr>
          <w:p>
            <w:pPr>
              <w:spacing w:after="20" w:before="20"/>
            </w:pPr>
            <w:r>
              <w:rPr>
                <w:rFonts w:ascii="Consolas" w:hAnsi="Consolas"/>
                <w:sz w:val="17"/>
              </w:rPr>
              <w:t>components/ImagePicker.test.jsx</w:t>
            </w:r>
          </w:p>
        </w:tc>
        <w:tc>
          <w:tcPr>
            <w:tcW w:type="dxa" w:w="864"/>
          </w:tcPr>
          <w:p>
            <w:pPr>
              <w:spacing w:after="20" w:before="20"/>
            </w:pPr>
            <w:r>
              <w:rPr>
                <w:sz w:val="18"/>
              </w:rPr>
              <w:t>3</w:t>
            </w:r>
          </w:p>
        </w:tc>
        <w:tc>
          <w:tcPr>
            <w:tcW w:type="dxa" w:w="5400"/>
          </w:tcPr>
          <w:p>
            <w:pPr>
              <w:spacing w:after="20" w:before="20"/>
            </w:pPr>
            <w:r>
              <w:rPr>
                <w:sz w:val="18"/>
              </w:rPr>
              <w:t>Photo selection, preview and guidance behaviour</w:t>
            </w:r>
          </w:p>
        </w:tc>
      </w:tr>
      <w:tr>
        <w:tc>
          <w:tcPr>
            <w:tcW w:type="dxa" w:w="2736"/>
          </w:tcPr>
          <w:p>
            <w:pPr>
              <w:spacing w:after="20" w:before="20"/>
            </w:pPr>
            <w:r>
              <w:rPr>
                <w:rFonts w:ascii="Consolas" w:hAnsi="Consolas"/>
                <w:sz w:val="17"/>
              </w:rPr>
              <w:t>pages/History.test.jsx</w:t>
            </w:r>
          </w:p>
        </w:tc>
        <w:tc>
          <w:tcPr>
            <w:tcW w:type="dxa" w:w="864"/>
          </w:tcPr>
          <w:p>
            <w:pPr>
              <w:spacing w:after="20" w:before="20"/>
            </w:pPr>
            <w:r>
              <w:rPr>
                <w:sz w:val="18"/>
              </w:rPr>
              <w:t>3</w:t>
            </w:r>
          </w:p>
        </w:tc>
        <w:tc>
          <w:tcPr>
            <w:tcW w:type="dxa" w:w="5400"/>
          </w:tcPr>
          <w:p>
            <w:pPr>
              <w:spacing w:after="20" w:before="20"/>
            </w:pPr>
            <w:r>
              <w:rPr>
                <w:sz w:val="18"/>
              </w:rPr>
              <w:t>Delete-all control visibility, confirmation and clearing</w:t>
            </w:r>
          </w:p>
        </w:tc>
      </w:tr>
      <w:tr>
        <w:tc>
          <w:tcPr>
            <w:tcW w:type="dxa" w:w="2736"/>
          </w:tcPr>
          <w:p>
            <w:pPr>
              <w:spacing w:after="20" w:before="20"/>
            </w:pPr>
            <w:r>
              <w:rPr>
                <w:rFonts w:ascii="Consolas" w:hAnsi="Consolas"/>
                <w:sz w:val="17"/>
              </w:rPr>
              <w:t>Total</w:t>
            </w:r>
          </w:p>
        </w:tc>
        <w:tc>
          <w:tcPr>
            <w:tcW w:type="dxa" w:w="864"/>
          </w:tcPr>
          <w:p>
            <w:pPr>
              <w:spacing w:after="20" w:before="20"/>
            </w:pPr>
            <w:r>
              <w:rPr>
                <w:sz w:val="18"/>
              </w:rPr>
              <w:t>24</w:t>
            </w:r>
          </w:p>
        </w:tc>
        <w:tc>
          <w:tcPr>
            <w:tcW w:type="dxa" w:w="5400"/>
          </w:tcPr>
          <w:p>
            <w:pPr>
              <w:spacing w:after="20" w:before="20"/>
            </w:pPr>
            <w:r>
              <w:rPr>
                <w:sz w:val="18"/>
              </w:rPr>
              <w:t>All passing (Vitest run, 16 September 2026)</w:t>
            </w:r>
          </w:p>
        </w:tc>
      </w:tr>
    </w:tbl>
    <w:p>
      <w:pPr>
        <w:spacing w:after="120"/>
      </w:pPr>
    </w:p>
    <w:p>
      <w:r>
        <w:t xml:space="preserve">For the backend, </w:t>
      </w:r>
      <w:r>
        <w:rPr>
          <w:rFonts w:ascii="Consolas" w:hAnsi="Consolas"/>
          <w:color w:val="33443A"/>
          <w:sz w:val="19"/>
        </w:rPr>
        <w:t>predict_test.py</w:t>
      </w:r>
      <w:r>
        <w:t xml:space="preserve"> is a standalone tester that rebuilds the same architecture, weight-load order, preprocessing and confidence threshold as the API with no web, auth or database dependencies — so a model can be verified against a folder of images without bringing up the stack.</w:t>
      </w:r>
    </w:p>
    <w:p>
      <w:pPr>
        <w:pStyle w:val="Heading2"/>
      </w:pPr>
      <w:r>
        <w:t>13.5  Still worth generating, if there is time</w:t>
      </w:r>
    </w:p>
    <w:p>
      <w:pPr>
        <w:pStyle w:val="ListNumber"/>
      </w:pPr>
      <w:r>
        <w:t>Re-run the notebook end to end with outputs preserved, so per-class F1 and the internal field-only score exist for the deployed checkpoint as well. The independent PlantDoc evaluation (13.6) covers the headline field numbers in the meantime.</w:t>
      </w:r>
    </w:p>
    <w:p>
      <w:pPr>
        <w:pStyle w:val="ListNumber"/>
      </w:pPr>
      <w:r>
        <w:t>Record the rejection rate on a larger held-out set of untrained crops. PlantDoc supplied 74 such leaves; a purpose-built set would tighten the estimate.</w:t>
      </w:r>
    </w:p>
    <w:p>
      <w:pPr>
        <w:pStyle w:val="ListNumber"/>
      </w:pPr>
      <w:r>
        <w:t>Re-calibrate the open-set threshold on field rather than in-domain validation images — section 13.6 shows the calibrated 5% false-rejection rate rises to 11.5% across the domain gap.</w:t>
      </w:r>
    </w:p>
    <w:p>
      <w:pPr>
        <w:pStyle w:val="Heading2"/>
      </w:pPr>
      <w:r>
        <w:t>13.6  Independent field evaluation on PlantDoc</w:t>
      </w:r>
    </w:p>
    <w:p>
      <w:r>
        <w:t>Because the deployed run’s notebook outputs were not preserved, the model was evaluated independently through the live /predict endpoint — including leaf cropping, the leaf pre-check and the Unknown gate — on the PlantDoc test split (Singh et al., 2020). Every PlantDoc image was hashed against all 1,593 CropSense field images and 10 near-duplicates removed, leaving 226: 148 of supported classes, 74 of crops the model was never trained on, and 4 of an unsupported maize disease. No crop was specified, matching the “Any crop” option.</w:t>
      </w:r>
    </w:p>
    <w:tbl>
      <w:tblPr>
        <w:tblStyle w:val="TableGrid"/>
        <w:tblW w:type="auto" w:w="0"/>
        <w:tblLook w:firstColumn="1" w:firstRow="1" w:lastColumn="0" w:lastRow="0" w:noHBand="0" w:noVBand="1" w:val="04A0"/>
      </w:tblPr>
      <w:tblGrid>
        <w:gridCol w:w="4514"/>
        <w:gridCol w:w="4514"/>
      </w:tblGrid>
      <w:tr>
        <w:tc>
          <w:tcPr>
            <w:tcW w:type="dxa" w:w="4514"/>
          </w:tcPr>
          <w:p>
            <w:r>
              <w:t>Metric (supported classes, n = 148)</w:t>
            </w:r>
          </w:p>
        </w:tc>
        <w:tc>
          <w:tcPr>
            <w:tcW w:type="dxa" w:w="4514"/>
          </w:tcPr>
          <w:p>
            <w:r>
              <w:t>Value</w:t>
            </w:r>
          </w:p>
        </w:tc>
      </w:tr>
      <w:tr>
        <w:tc>
          <w:tcPr>
            <w:tcW w:type="dxa" w:w="4514"/>
          </w:tcPr>
          <w:p>
            <w:r>
              <w:t>Top-1 accuracy (model)</w:t>
            </w:r>
          </w:p>
        </w:tc>
        <w:tc>
          <w:tcPr>
            <w:tcW w:type="dxa" w:w="4514"/>
          </w:tcPr>
          <w:p>
            <w:r>
              <w:t>48.0% (71/148)</w:t>
            </w:r>
          </w:p>
        </w:tc>
      </w:tr>
      <w:tr>
        <w:tc>
          <w:tcPr>
            <w:tcW w:type="dxa" w:w="4514"/>
          </w:tcPr>
          <w:p>
            <w:r>
              <w:t>Top-5 accuracy (model)</w:t>
            </w:r>
          </w:p>
        </w:tc>
        <w:tc>
          <w:tcPr>
            <w:tcW w:type="dxa" w:w="4514"/>
          </w:tcPr>
          <w:p>
            <w:r>
              <w:t>81.8% (121/148)</w:t>
            </w:r>
          </w:p>
        </w:tc>
      </w:tr>
      <w:tr>
        <w:tc>
          <w:tcPr>
            <w:tcW w:type="dxa" w:w="4514"/>
          </w:tcPr>
          <w:p>
            <w:r>
              <w:t>Correct crop in top-1</w:t>
            </w:r>
          </w:p>
        </w:tc>
        <w:tc>
          <w:tcPr>
            <w:tcW w:type="dxa" w:w="4514"/>
          </w:tcPr>
          <w:p>
            <w:r>
              <w:t>70.9% (105/148)</w:t>
            </w:r>
          </w:p>
        </w:tc>
      </w:tr>
      <w:tr>
        <w:tc>
          <w:tcPr>
            <w:tcW w:type="dxa" w:w="4514"/>
          </w:tcPr>
          <w:p>
            <w:r>
              <w:t>System: correct answer shown</w:t>
            </w:r>
          </w:p>
        </w:tc>
        <w:tc>
          <w:tcPr>
            <w:tcW w:type="dxa" w:w="4514"/>
          </w:tcPr>
          <w:p>
            <w:r>
              <w:t>43.2%</w:t>
            </w:r>
          </w:p>
        </w:tc>
      </w:tr>
      <w:tr>
        <w:tc>
          <w:tcPr>
            <w:tcW w:type="dxa" w:w="4514"/>
          </w:tcPr>
          <w:p>
            <w:r>
              <w:t>System: wrong answer shown</w:t>
            </w:r>
          </w:p>
        </w:tc>
        <w:tc>
          <w:tcPr>
            <w:tcW w:type="dxa" w:w="4514"/>
          </w:tcPr>
          <w:p>
            <w:r>
              <w:t>33.8%</w:t>
            </w:r>
          </w:p>
        </w:tc>
      </w:tr>
      <w:tr>
        <w:tc>
          <w:tcPr>
            <w:tcW w:type="dxa" w:w="4514"/>
          </w:tcPr>
          <w:p>
            <w:r>
              <w:t>System: declined (Crop Not Supported / Not Identified)</w:t>
            </w:r>
          </w:p>
        </w:tc>
        <w:tc>
          <w:tcPr>
            <w:tcW w:type="dxa" w:w="4514"/>
          </w:tcPr>
          <w:p>
            <w:r>
              <w:t>23.0%</w:t>
            </w:r>
          </w:p>
        </w:tc>
      </w:tr>
      <w:tr>
        <w:tc>
          <w:tcPr>
            <w:tcW w:type="dxa" w:w="4514"/>
          </w:tcPr>
          <w:p>
            <w:r>
              <w:t>Precision of shown results</w:t>
            </w:r>
          </w:p>
        </w:tc>
        <w:tc>
          <w:tcPr>
            <w:tcW w:type="dxa" w:w="4514"/>
          </w:tcPr>
          <w:p>
            <w:r>
              <w:t>56.1% (64/114)</w:t>
            </w:r>
          </w:p>
        </w:tc>
      </w:tr>
      <w:tr>
        <w:tc>
          <w:tcPr>
            <w:tcW w:type="dxa" w:w="4514"/>
          </w:tcPr>
          <w:p>
            <w:r>
              <w:t>Accuracy at ≥ 80% confidence</w:t>
            </w:r>
          </w:p>
        </w:tc>
        <w:tc>
          <w:tcPr>
            <w:tcW w:type="dxa" w:w="4514"/>
          </w:tcPr>
          <w:p>
            <w:r>
              <w:t>81.8%, covering 22.3% of photographs</w:t>
            </w:r>
          </w:p>
        </w:tc>
      </w:tr>
      <w:tr>
        <w:tc>
          <w:tcPr>
            <w:tcW w:type="dxa" w:w="4514"/>
          </w:tcPr>
          <w:p>
            <w:r>
              <w:t>Accuracy at ≥ 60% confidence</w:t>
            </w:r>
          </w:p>
        </w:tc>
        <w:tc>
          <w:tcPr>
            <w:tcW w:type="dxa" w:w="4514"/>
          </w:tcPr>
          <w:p>
            <w:r>
              <w:t>72.3%, covering 43.9% of photographs</w:t>
            </w:r>
          </w:p>
        </w:tc>
      </w:tr>
      <w:tr>
        <w:tc>
          <w:tcPr>
            <w:tcW w:type="dxa" w:w="4514"/>
          </w:tcPr>
          <w:p>
            <w:r>
              <w:t>Untrained-crop leaves declined</w:t>
            </w:r>
          </w:p>
        </w:tc>
        <w:tc>
          <w:tcPr>
            <w:tcW w:type="dxa" w:w="4514"/>
          </w:tcPr>
          <w:p>
            <w:r>
              <w:t>28.4% (21/74)</w:t>
            </w:r>
          </w:p>
        </w:tc>
      </w:tr>
      <w:tr>
        <w:tc>
          <w:tcPr>
            <w:tcW w:type="dxa" w:w="4514"/>
          </w:tcPr>
          <w:p>
            <w:r>
              <w:t>Open-set score, supported vs untrained (mean)</w:t>
            </w:r>
          </w:p>
        </w:tc>
        <w:tc>
          <w:tcPr>
            <w:tcW w:type="dxa" w:w="4514"/>
          </w:tcPr>
          <w:p>
            <w:r>
              <w:t>0.701 vs 0.711 — almost no separation</w:t>
            </w:r>
          </w:p>
        </w:tc>
      </w:tr>
      <w:tr>
        <w:tc>
          <w:tcPr>
            <w:tcW w:type="dxa" w:w="4514"/>
          </w:tcPr>
          <w:p>
            <w:r>
              <w:t>End-to-end latency</w:t>
            </w:r>
          </w:p>
        </w:tc>
        <w:tc>
          <w:tcPr>
            <w:tcW w:type="dxa" w:w="4514"/>
          </w:tcPr>
          <w:p>
            <w:r>
              <w:t>0.79 s local, 6.75 s on the live Space</w:t>
            </w:r>
          </w:p>
        </w:tc>
      </w:tr>
    </w:tbl>
    <w:p>
      <w:r>
        <w:t>Read it as strong evidence of a large domain gap and weak open-set separation rather than as a precise estimate: PlantDoc labels are themselves web-sourced, only 17 of the 51 classes are covered (none of the banana, citrus, cucumber, mango or rice classes most relevant to Nepal), and the 95% Wilson interval for 48.0% on 148 images is roughly 40–56%. Errors are largely agronomically plausible — tomato Septoria predicted as tomato early blight, tomato late blight as potato late blight — which is itself an argument for letting the user’s crop selection constrain the prediction.</w:t>
      </w:r>
    </w:p>
    <w:p>
      <w:r>
        <w:br w:type="page"/>
      </w:r>
    </w:p>
    <w:p>
      <w:pPr>
        <w:pStyle w:val="Heading1"/>
      </w:pPr>
      <w:r>
        <w:t>14.  Known gaps — state these before you are asked</w:t>
      </w:r>
    </w:p>
    <w:p>
      <w:r>
        <w:t>A panel finds weaknesses either way. Naming them first converts each one from a hole in the work into evidence that you understand your own system.</w:t>
      </w:r>
    </w:p>
    <w:p>
      <w:pPr>
        <w:keepNext/>
        <w:spacing w:before="160" w:after="20"/>
        <w:pBdr>
          <w:left w:val="single" w:sz="18" w:space="8" w:color="8E2F22"/>
        </w:pBdr>
        <w:ind w:left="144"/>
      </w:pPr>
      <w:r>
        <w:rPr>
          <w:b/>
          <w:color w:val="8E2F22"/>
          <w:sz w:val="17"/>
        </w:rPr>
        <w:t>[Resolved] Open-set rejection is live — but it does not separate well</w:t>
      </w:r>
    </w:p>
    <w:p>
      <w:pPr>
        <w:spacing w:after="80"/>
        <w:ind w:left="144"/>
      </w:pPr>
      <w:r>
        <w:t>The mis-named statistics file that silently disabled this rule was regenerated from the deployed run: last_final_model/ood_stats.npz now holds 51 centroids × 512 dimensions with threshold 0.5596, and start-up logs confirm rejection is enabled. Measured on PlantDoc, however, the score distributions of supported and untrained crops overlap almost completely (means 0.701 vs 0.711), so the rule adds little separation. The mechanism works end to end; its discriminative power on field photographs is the open problem.</w:t>
      </w:r>
    </w:p>
    <w:p>
      <w:pPr>
        <w:keepNext/>
        <w:spacing w:before="160" w:after="20"/>
        <w:pBdr>
          <w:left w:val="single" w:sz="18" w:space="8" w:color="8E2F22"/>
        </w:pBdr>
        <w:ind w:left="144"/>
      </w:pPr>
      <w:r>
        <w:rPr>
          <w:b/>
          <w:color w:val="8E2F22"/>
          <w:sz w:val="17"/>
        </w:rPr>
        <w:t>[Substantive] No saved training metrics for the deployed checkpoint</w:t>
      </w:r>
    </w:p>
    <w:p>
      <w:pPr>
        <w:spacing w:after="80"/>
        <w:ind w:left="144"/>
      </w:pPr>
      <w:r>
        <w:t>Both notebooks have zero cell outputs, so there is no macro-F1 or per-class report from the run that produced last_final_model — the saved curves and confusion matrix come from the earlier 31 Aug 51-class run. The independent PlantDoc evaluation (13.6) supplies the field numbers, but the internal held-out metrics remain unsaved.</w:t>
      </w:r>
    </w:p>
    <w:p>
      <w:pPr>
        <w:keepNext/>
        <w:spacing w:before="160" w:after="20"/>
        <w:pBdr>
          <w:left w:val="single" w:sz="18" w:space="8" w:color="7A550E"/>
        </w:pBdr>
        <w:ind w:left="144"/>
      </w:pPr>
      <w:r>
        <w:rPr>
          <w:b/>
          <w:color w:val="7A550E"/>
          <w:sz w:val="17"/>
        </w:rPr>
        <w:t>[Substantive] Untrained-crop rejection is measured — and weak</w:t>
      </w:r>
    </w:p>
    <w:p>
      <w:pPr>
        <w:spacing w:after="80"/>
        <w:ind w:left="144"/>
      </w:pPr>
      <w:r>
        <w:rPr>
          <w:rFonts w:ascii="Consolas" w:hAnsi="Consolas"/>
          <w:color w:val="33443A"/>
          <w:sz w:val="19"/>
        </w:rPr>
        <w:t>On 74 PlantDoc leaves from crops the model has never seen, only 21 (28.4%) were declined. The remainder were shown as a supported class, most often a healthy one. This is the weakest measured result in the project and should be stated before the panel finds it.</w:t>
      </w:r>
    </w:p>
    <w:p>
      <w:pPr>
        <w:keepNext/>
        <w:spacing w:before="160" w:after="20"/>
        <w:pBdr>
          <w:left w:val="single" w:sz="18" w:space="8" w:color="7A550E"/>
        </w:pBdr>
        <w:ind w:left="144"/>
      </w:pPr>
      <w:r>
        <w:rPr>
          <w:b/>
          <w:color w:val="7A550E"/>
          <w:sz w:val="17"/>
        </w:rPr>
        <w:t xml:space="preserve">[Substantive]  </w:t>
      </w:r>
      <w:r>
        <w:rPr>
          <w:b/>
          <w:sz w:val="21"/>
        </w:rPr>
        <w:t>Field labels are web-scraped and expert-unverified</w:t>
      </w:r>
    </w:p>
    <w:p>
      <w:pPr>
        <w:spacing w:after="80"/>
        <w:ind w:left="144"/>
      </w:pPr>
      <w:r>
        <w:t>1,593 images from Bing search, cleaned by automated dedup and human visual review, but with no agronomist sign-off. Because the internal train and test slices come from the same scrape, residual label noise is correlated; the PlantDoc evaluation avoids this by using an independently collected benchmark with near-duplicates removed.</w:t>
      </w:r>
    </w:p>
    <w:p>
      <w:pPr>
        <w:keepNext/>
        <w:spacing w:before="160" w:after="20"/>
        <w:pBdr>
          <w:left w:val="single" w:sz="18" w:space="8" w:color="7A550E"/>
        </w:pBdr>
        <w:ind w:left="144"/>
      </w:pPr>
      <w:r>
        <w:rPr>
          <w:b/>
          <w:color w:val="7A550E"/>
          <w:sz w:val="17"/>
        </w:rPr>
        <w:t xml:space="preserve">[Substantive]  </w:t>
      </w:r>
      <w:r>
        <w:rPr>
          <w:b/>
          <w:sz w:val="21"/>
        </w:rPr>
        <w:t>Lab accuracy is not field accuracy</w:t>
      </w:r>
    </w:p>
    <w:p>
      <w:pPr>
        <w:spacing w:after="80"/>
        <w:ind w:left="144"/>
      </w:pPr>
      <w:r>
        <w:t>~98–99% on a curated lab split is the standard inflated PlantVillage-style figure. Field data, field-realism augmentation and leaf cropping all exist to narrow this gap, but the gap is real and must not be presented as real-world performance.</w:t>
      </w:r>
    </w:p>
    <w:p>
      <w:pPr>
        <w:keepNext/>
        <w:spacing w:before="160" w:after="20"/>
        <w:pBdr>
          <w:left w:val="single" w:sz="18" w:space="8" w:color="7A550E"/>
        </w:pBdr>
        <w:ind w:left="144"/>
      </w:pPr>
      <w:r>
        <w:rPr>
          <w:b/>
          <w:color w:val="7A550E"/>
          <w:sz w:val="17"/>
        </w:rPr>
        <w:t xml:space="preserve">[Security]  </w:t>
      </w:r>
      <w:r>
        <w:rPr>
          <w:b/>
          <w:sz w:val="21"/>
        </w:rPr>
        <w:t>Development-grade auth configuration</w:t>
      </w:r>
    </w:p>
    <w:p>
      <w:pPr>
        <w:spacing w:after="80"/>
        <w:ind w:left="144"/>
      </w:pPr>
      <w:r>
        <w:rPr>
          <w:rFonts w:ascii="Consolas" w:hAnsi="Consolas"/>
          <w:color w:val="33443A"/>
          <w:sz w:val="19"/>
        </w:rPr>
        <w:t>JWT_SECRET is now set as a Space secret and CORS is still allow_origins=["*"]. Tokens travel in the Authorization header rather than cookies, so an open CORS policy does not by itself expose a session, but it should be narrowed to the Vercel origin before any real deployment. There is also no rate limit on /auth/login yet.</w:t>
      </w:r>
    </w:p>
    <w:p>
      <w:pPr>
        <w:keepNext/>
        <w:spacing w:before="160" w:after="20"/>
        <w:pBdr>
          <w:left w:val="single" w:sz="18" w:space="8" w:color="555F58"/>
        </w:pBdr>
        <w:ind w:left="144"/>
      </w:pPr>
      <w:r>
        <w:rPr>
          <w:b/>
          <w:color w:val="555F58"/>
          <w:sz w:val="17"/>
        </w:rPr>
        <w:t>[Resolved] Server-side history is wired in</w:t>
      </w:r>
    </w:p>
    <w:p>
      <w:pPr>
        <w:spacing w:after="80"/>
        <w:ind w:left="144"/>
      </w:pPr>
      <w:r>
        <w:rPr>
          <w:rFonts w:ascii="Consolas" w:hAnsi="Consolas"/>
          <w:color w:val="33443A"/>
          <w:sz w:val="19"/>
        </w:rPr>
        <w:t>db_save_prediction(...) now runs for every authenticated /predict, and GET /auth/history returns that user’s rows from the hosted database. The earlier note that it was two lines from working is no longer a gap.</w:t>
      </w:r>
    </w:p>
    <w:p>
      <w:pPr>
        <w:keepNext/>
        <w:spacing w:before="160" w:after="20"/>
        <w:pBdr>
          <w:left w:val="single" w:sz="18" w:space="8" w:color="555F58"/>
        </w:pBdr>
        <w:ind w:left="144"/>
      </w:pPr>
      <w:r>
        <w:rPr>
          <w:b/>
          <w:color w:val="555F58"/>
          <w:sz w:val="17"/>
        </w:rPr>
        <w:t xml:space="preserve">[Hygiene]  </w:t>
      </w:r>
      <w:r>
        <w:rPr>
          <w:b/>
          <w:sz w:val="21"/>
        </w:rPr>
        <w:t>Documentation drift and stale artifacts</w:t>
      </w:r>
    </w:p>
    <w:p>
      <w:pPr>
        <w:spacing w:after="80"/>
        <w:ind w:left="144"/>
      </w:pPr>
      <w:r>
        <w:t xml:space="preserve">The root </w:t>
      </w:r>
      <w:r>
        <w:rPr>
          <w:rFonts w:ascii="Consolas" w:hAnsi="Consolas"/>
          <w:color w:val="33443A"/>
          <w:sz w:val="19"/>
        </w:rPr>
        <w:t>README.md</w:t>
      </w:r>
      <w:r>
        <w:t xml:space="preserve"> still describes </w:t>
      </w:r>
      <w:r>
        <w:rPr>
          <w:rFonts w:ascii="Consolas" w:hAnsi="Consolas"/>
          <w:color w:val="33443A"/>
          <w:sz w:val="19"/>
        </w:rPr>
        <w:t>backend/best_model/</w:t>
      </w:r>
      <w:r>
        <w:t xml:space="preserve"> as the active model and does not mention leaf cropping, open-set rejection or </w:t>
      </w:r>
      <w:r>
        <w:rPr>
          <w:rFonts w:ascii="Consolas" w:hAnsi="Consolas"/>
          <w:color w:val="33443A"/>
          <w:sz w:val="19"/>
        </w:rPr>
        <w:t>treatments.json</w:t>
      </w:r>
      <w:r>
        <w:t xml:space="preserve">. The root </w:t>
      </w:r>
      <w:r>
        <w:rPr>
          <w:rFonts w:ascii="Consolas" w:hAnsi="Consolas"/>
          <w:color w:val="33443A"/>
          <w:sz w:val="19"/>
        </w:rPr>
        <w:t>class_names.json</w:t>
      </w:r>
      <w:r>
        <w:t xml:space="preserve"> is a stale 24-class leftover (unused — the backend reads the copy inside the model folder). Five model folders are present with no manifest saying which is which.</w:t>
      </w:r>
    </w:p>
    <w:p>
      <w:pPr>
        <w:keepNext/>
        <w:spacing w:before="160" w:after="20"/>
        <w:pBdr>
          <w:left w:val="single" w:sz="18" w:space="8" w:color="555F58"/>
        </w:pBdr>
        <w:ind w:left="144"/>
      </w:pPr>
      <w:r>
        <w:rPr>
          <w:b/>
          <w:color w:val="555F58"/>
          <w:sz w:val="17"/>
        </w:rPr>
        <w:t xml:space="preserve">[Limitation]  </w:t>
      </w:r>
      <w:r>
        <w:rPr>
          <w:b/>
          <w:sz w:val="21"/>
        </w:rPr>
        <w:t>Single-leaf, single-disease assumption</w:t>
      </w:r>
    </w:p>
    <w:p>
      <w:pPr>
        <w:spacing w:after="80"/>
        <w:ind w:left="144"/>
      </w:pPr>
      <w:r>
        <w:t>The classifier assigns one label to one image. Co-infections, nutrient deficiencies that mimic disease, and disease severity or staging are all outside the model’s vocabulary. Grad-CAM is attribution, not verification — a confidently wrong prediction still produces a plausible heatmap.</w:t>
      </w:r>
    </w:p>
    <w:p>
      <w:r>
        <w:br w:type="page"/>
      </w:r>
    </w:p>
    <w:p>
      <w:pPr>
        <w:pStyle w:val="Heading1"/>
      </w:pPr>
      <w:r>
        <w:t>15.  Defense Q&amp;A</w:t>
      </w:r>
    </w:p>
    <w:p>
      <w:pPr>
        <w:keepNext/>
        <w:spacing w:before="200" w:after="40"/>
      </w:pPr>
      <w:r>
        <w:rPr>
          <w:b/>
          <w:color w:val="1F5C38"/>
        </w:rPr>
        <w:t xml:space="preserve">Q.  </w:t>
      </w:r>
      <w:r>
        <w:rPr>
          <w:b/>
          <w:sz w:val="21"/>
        </w:rPr>
        <w:t>Why EfficientNetB2 rather than ResNet, VGG, or a larger EfficientNet?</w:t>
      </w:r>
    </w:p>
    <w:p>
      <w:pPr>
        <w:spacing w:after="120"/>
        <w:ind w:left="360"/>
      </w:pPr>
      <w:r>
        <w:t>Accuracy per parameter. B2 hits ~9 M parameters against VGG16’s 138 M, so it trains on a free Colab T4 and serves on a CPU-only free tier — real constraints for this project. Compound scaling means B2 balances depth, width and resolution together rather than scaling one axis. B3 was tried first (</w:t>
      </w:r>
      <w:r>
        <w:rPr>
          <w:rFonts w:ascii="Consolas" w:hAnsi="Consolas"/>
          <w:color w:val="33443A"/>
          <w:sz w:val="19"/>
        </w:rPr>
        <w:t>scripts/train.py</w:t>
      </w:r>
      <w:r>
        <w:t>, 300×300) and dropped: the larger input costs quadratic compute for a marginal gain on 224 px-native source images, and the deployment memory budget could not absorb it.</w:t>
      </w:r>
    </w:p>
    <w:p>
      <w:pPr>
        <w:keepNext/>
        <w:spacing w:before="200" w:after="40"/>
      </w:pPr>
      <w:r>
        <w:rPr>
          <w:b/>
          <w:color w:val="1F5C38"/>
        </w:rPr>
        <w:t xml:space="preserve">Q.  </w:t>
      </w:r>
      <w:r>
        <w:rPr>
          <w:b/>
          <w:sz w:val="21"/>
        </w:rPr>
        <w:t>You report 98%+ accuracy. Would this actually work in a farmer’s field?</w:t>
      </w:r>
    </w:p>
    <w:p>
      <w:pPr>
        <w:spacing w:after="120"/>
        <w:ind w:left="360"/>
      </w:pPr>
      <w:r>
        <w:t>Not at that number, no — and the project is built around admitting it. That figure is a lab-set score on curated, plain-background images, and it is the well-documented inflated result that PlantVillage-style datasets produce. Measured through the deployed API on 226 independent PlantDoc field photographs, top-1 accuracy is 48.0% and top-5 is 81.8%, with the crop correct 70.9% of the time; predictions at 80% confidence or above are correct 81.8% of the time. Three mechanisms narrow the gap — 1,593 real field photos merged into training, the field_augment pipeline that adds blur, sensor noise and directional shadow to lab images, and crop_to_leaf at inference — but the gap remains the dominant limitation.</w:t>
      </w:r>
    </w:p>
    <w:p>
      <w:pPr>
        <w:keepNext/>
        <w:spacing w:before="200" w:after="40"/>
      </w:pPr>
      <w:r>
        <w:rPr>
          <w:b/>
          <w:color w:val="1F5C38"/>
        </w:rPr>
        <w:t xml:space="preserve">Q.  </w:t>
      </w:r>
      <w:r>
        <w:rPr>
          <w:b/>
          <w:sz w:val="21"/>
        </w:rPr>
        <w:t>What happens if I photograph my hand? Or a crop you never trained on?</w:t>
      </w:r>
    </w:p>
    <w:p>
      <w:pPr>
        <w:spacing w:after="120"/>
        <w:ind w:left="360"/>
      </w:pPr>
      <w:r>
        <w:t>Three different defences, in order. A hand fails is_leaf_image — insufficient leaf-colour ratio, wrong edge profile — and returns “Not a Leaf” without running the model. An untrained crop passes that check because it genuinely is a leaf, so it hits the Unknown gate: a low-confidence, high-entropy or near-tie prediction is declined statistically, and the open-set rule measures cosine distance to the trained-class centroids for the case where the model is confidently wrong. Both are live in the deployed build. Measured honestly, the gate declined 28.4% of untrained-crop leaves on PlantDoc — the mechanism is right in principle, and its separation on field photographs is the weakest part of the system.</w:t>
      </w:r>
    </w:p>
    <w:p>
      <w:pPr>
        <w:keepNext/>
        <w:spacing w:before="200" w:after="40"/>
      </w:pPr>
      <w:r>
        <w:rPr>
          <w:b/>
          <w:color w:val="1F5C38"/>
        </w:rPr>
        <w:t xml:space="preserve">Q.  </w:t>
      </w:r>
      <w:r>
        <w:rPr>
          <w:b/>
          <w:sz w:val="21"/>
        </w:rPr>
        <w:t>Why can’t softmax confidence alone reject an unknown crop?</w:t>
      </w:r>
    </w:p>
    <w:p>
      <w:pPr>
        <w:spacing w:after="120"/>
        <w:ind w:left="360"/>
      </w:pPr>
      <w:r>
        <w:t>Because softmax is closed-set — the outputs are constrained to sum to 1 across the trained classes. It answers “which of my 52 classes is relatively most likely”, never “does this belong to any of them”. A guava leaf shares the visual grammar of the trained leaves, so the network genuinely can be 88% confident it is Potato Early Blight. No confidence threshold reaches that case. Distance in feature space does, because it asks a different question: how far is this from anything I have seen. That is why the two rules are OR-ed rather than one replacing the other.</w:t>
      </w:r>
    </w:p>
    <w:p>
      <w:pPr>
        <w:keepNext/>
        <w:spacing w:before="200" w:after="40"/>
      </w:pPr>
      <w:r>
        <w:rPr>
          <w:b/>
          <w:color w:val="1F5C38"/>
        </w:rPr>
        <w:t xml:space="preserve">Q.  </w:t>
      </w:r>
      <w:r>
        <w:rPr>
          <w:b/>
          <w:sz w:val="21"/>
        </w:rPr>
        <w:t>Your dataset is severely imbalanced — 2,384 images in one class and 23 in another. How did you handle that?</w:t>
      </w:r>
    </w:p>
    <w:p>
      <w:pPr>
        <w:spacing w:after="120"/>
        <w:ind w:left="360"/>
      </w:pPr>
      <w:r>
        <w:t xml:space="preserve">Four layers, applied gently so they do not compound. Undersample majorities to 2.0× the median and oversample minorities to 1.2× median, which caps the ratio at about 2:1. Protect real field photos and real non-target leaves from ever being the images deleted. Apply sqrt-damped class weights </w:t>
      </w:r>
      <w:r>
        <w:rPr>
          <w:rFonts w:ascii="Consolas" w:hAnsi="Consolas"/>
          <w:color w:val="33443A"/>
          <w:sz w:val="19"/>
        </w:rPr>
        <w:t>sqrt(mean/n)</w:t>
      </w:r>
      <w:r>
        <w:t xml:space="preserve"> — the earlier </w:t>
      </w:r>
      <w:r>
        <w:rPr>
          <w:rFonts w:ascii="Consolas" w:hAnsi="Consolas"/>
          <w:color w:val="33443A"/>
          <w:sz w:val="19"/>
        </w:rPr>
        <w:t>max/n</w:t>
      </w:r>
      <w:r>
        <w:t xml:space="preserve"> scheme gave weights of 1–6 which, stacked on top of resampling, double-corrected and destabilised training. And most importantly: checkpoint and report on </w:t>
      </w:r>
      <w:r>
        <w:rPr>
          <w:b/>
        </w:rPr>
        <w:t>macro-F1</w:t>
      </w:r>
      <w:r>
        <w:t>, not accuracy, so the saved model cannot win by favouring the crops with the most images.</w:t>
      </w:r>
    </w:p>
    <w:p>
      <w:pPr>
        <w:keepNext/>
        <w:spacing w:before="200" w:after="40"/>
      </w:pPr>
      <w:r>
        <w:rPr>
          <w:b/>
          <w:color w:val="1F5C38"/>
        </w:rPr>
        <w:t xml:space="preserve">Q.  </w:t>
      </w:r>
      <w:r>
        <w:rPr>
          <w:b/>
          <w:sz w:val="21"/>
        </w:rPr>
        <w:t>Why two training phases instead of just fine-tuning everything?</w:t>
      </w:r>
    </w:p>
    <w:p>
      <w:pPr>
        <w:spacing w:after="120"/>
        <w:ind w:left="360"/>
      </w:pPr>
      <w:r>
        <w:t>The classifier head starts with random weights. Unfreezing the pretrained backbone while random gradients flow back through it destroys the ImageNet features you paid for in the first place. Phase 1 freezes the backbone and trains only the head at 5e-4 until the head produces sensible gradients. Phase 2 then unfreezes — except the first 100 layers, which hold generic edge and texture filters worth keeping — and fine-tunes at 1e-4 on a cosine decay to 1e-6. Two orders of magnitude between the phase learning rates is the whole point.</w:t>
      </w:r>
    </w:p>
    <w:p>
      <w:pPr>
        <w:keepNext/>
        <w:spacing w:before="200" w:after="40"/>
      </w:pPr>
      <w:r>
        <w:rPr>
          <w:b/>
          <w:color w:val="1F5C38"/>
        </w:rPr>
        <w:t xml:space="preserve">Q.  </w:t>
      </w:r>
      <w:r>
        <w:rPr>
          <w:b/>
          <w:sz w:val="21"/>
        </w:rPr>
        <w:t>What does the Grad-CAM heatmap actually prove?</w:t>
      </w:r>
    </w:p>
    <w:p>
      <w:pPr>
        <w:spacing w:after="120"/>
        <w:ind w:left="360"/>
      </w:pPr>
      <w:r>
        <w:t>That the prediction was driven by the lesion rather than by the background — and nothing more than that. It is an attribution method: it shows where gradient signal for the chosen class concentrated in the last convolutional feature map. It does not verify that the class is correct; a confidently wrong model produces a plausible heatmap over a real lesion it has misidentified. The UI says this in as many words. Its practical value is catching the obvious failure: if the heat sits on a background twig or the photographer’s thumb, the user knows to retake the photo without needing to understand the model.</w:t>
      </w:r>
    </w:p>
    <w:p>
      <w:pPr>
        <w:keepNext/>
        <w:spacing w:before="200" w:after="40"/>
      </w:pPr>
      <w:r>
        <w:rPr>
          <w:b/>
          <w:color w:val="1F5C38"/>
        </w:rPr>
        <w:t>Q.  Why is an account required, when the earlier design deliberately had none?</w:t>
      </w:r>
    </w:p>
    <w:p>
      <w:pPr>
        <w:spacing w:after="120"/>
        <w:ind w:left="360"/>
      </w:pPr>
      <w:r>
        <w:t>Because a farmer who changes phone, or moves between the website and the app, loses everything under a device-only history — and the history is what turns one-off answers into a record of a season. The cost is real and I state it plainly: a sign-up step before the first photo is a barrier for the intended user, and it is the opposite trade-off from the earlier local-first design. What I kept from that design is that the inference path never depends on identity: /predict still answers without a token, so an expired session or a database outage cannot fail a diagnosis. Security-wise: bcrypt hashes, a 24-hour HS256 JWT, rows filtered by the username inside the token, and 403 on another user’s row.</w:t>
      </w:r>
    </w:p>
    <w:p>
      <w:pPr>
        <w:keepNext/>
        <w:spacing w:before="200" w:after="40"/>
      </w:pPr>
      <w:r>
        <w:rPr>
          <w:b/>
          <w:color w:val="1F5C38"/>
        </w:rPr>
        <w:t xml:space="preserve">Q.  </w:t>
      </w:r>
      <w:r>
        <w:rPr>
          <w:b/>
          <w:sz w:val="21"/>
        </w:rPr>
        <w:t>Where did the field images come from, and how do you know the labels are right?</w:t>
      </w:r>
    </w:p>
    <w:p>
      <w:pPr>
        <w:spacing w:after="120"/>
        <w:ind w:left="360"/>
      </w:pPr>
      <w:r>
        <w:t xml:space="preserve">Bing image search via </w:t>
      </w:r>
      <w:r>
        <w:rPr>
          <w:rFonts w:ascii="Consolas" w:hAnsi="Consolas"/>
          <w:color w:val="33443A"/>
          <w:sz w:val="19"/>
        </w:rPr>
        <w:t>icrawler</w:t>
      </w:r>
      <w:r>
        <w:t xml:space="preserve">, with a hand-written query per class, then a five-stage cleaning pipeline: remove corrupt and sub-224 px files, remove near-duplicates within a folder by 8×8 average hash at Hamming distance ≤ 4, delete </w:t>
      </w:r>
      <w:r>
        <w:rPr>
          <w:i/>
        </w:rPr>
        <w:t>every</w:t>
      </w:r>
      <w:r>
        <w:t xml:space="preserve"> copy of any image appearing in two class folders (at least one label is wrong and a wrong label on a confusable pair costs more than a missing image), review each class as a numbered contact sheet and delete by tile index, then re-download thin classes using Latin pathogen names to avoid lookalikes. I want to be direct: this is not expert-verified data. Residual label noise exists, and because train and test come from the same scrape, that noise is correlated — which would inflate the field score. An agronomist review pass is the correct next step.</w:t>
      </w:r>
    </w:p>
    <w:p>
      <w:pPr>
        <w:keepNext/>
        <w:spacing w:before="200" w:after="40"/>
      </w:pPr>
      <w:r>
        <w:rPr>
          <w:b/>
          <w:color w:val="1F5C38"/>
        </w:rPr>
        <w:t xml:space="preserve">Q.  </w:t>
      </w:r>
      <w:r>
        <w:rPr>
          <w:b/>
          <w:sz w:val="21"/>
        </w:rPr>
        <w:t>Why does the model reject some real leaves as unknown?</w:t>
      </w:r>
    </w:p>
    <w:p>
      <w:pPr>
        <w:spacing w:after="120"/>
        <w:ind w:left="360"/>
      </w:pPr>
      <w:r>
        <w:t xml:space="preserve">Because that is the calibrated price of rejection, and it is a number rather than an accident. The open-set threshold is set at the 5th percentile of known-class validation scores, so </w:t>
      </w:r>
      <w:r>
        <w:rPr>
          <w:rFonts w:ascii="Consolas" w:hAnsi="Consolas"/>
          <w:color w:val="33443A"/>
          <w:sz w:val="19"/>
        </w:rPr>
        <w:t>TARGET_KNOWN_ACCEPT = 0.95</w:t>
      </w:r>
      <w:r>
        <w:t xml:space="preserve"> — up to 5% of genuine known-crop leaves are expected to be wrongly rejected. Raising the threshold catches more unknowns and rejects more real leaves; lowering it does the reverse. For an advisory agricultural tool, “I’m not sure, take another photo” is a far cheaper error than confidently naming the wrong disease and sending someone to buy the wrong pesticide.</w:t>
      </w:r>
    </w:p>
    <w:p>
      <w:pPr>
        <w:keepNext/>
        <w:spacing w:before="200" w:after="40"/>
      </w:pPr>
      <w:r>
        <w:rPr>
          <w:b/>
          <w:color w:val="1F5C38"/>
        </w:rPr>
        <w:t xml:space="preserve">Q.  </w:t>
      </w:r>
      <w:r>
        <w:rPr>
          <w:b/>
          <w:sz w:val="21"/>
        </w:rPr>
        <w:t>Why crop the leaf before classifying? Doesn’t that risk destroying information?</w:t>
      </w:r>
    </w:p>
    <w:p>
      <w:pPr>
        <w:spacing w:after="120"/>
        <w:ind w:left="360"/>
      </w:pPr>
      <w:r>
        <w:t xml:space="preserve">It would, which is why every failure path returns the original image untouched. The model is trained mostly on centred lab leaves, so a field photo of soil, sky and neighbouring plants is out of distribution before the classifier sees it. </w:t>
      </w:r>
      <w:r>
        <w:rPr>
          <w:rFonts w:ascii="Consolas" w:hAnsi="Consolas"/>
          <w:color w:val="33443A"/>
          <w:sz w:val="19"/>
        </w:rPr>
        <w:t>crop_to_leaf</w:t>
      </w:r>
      <w:r>
        <w:t xml:space="preserve"> builds a mask from Excess-Green plus a deliberately narrow diseased-tissue hue band — narrow so brown soil, which shares that hue, is not swept in — and crops to the largest blob. Then the rails: if the blob is under 5% of the frame the mask is untrustworthy, over 90% means it is already a lab photo, and a crop thinner than 15% of either dimension is rejected. Any of those, or any exception, and the original goes through unchanged. It can only help.</w:t>
      </w:r>
    </w:p>
    <w:p>
      <w:pPr>
        <w:keepNext/>
        <w:spacing w:before="200" w:after="40"/>
      </w:pPr>
      <w:r>
        <w:rPr>
          <w:b/>
          <w:color w:val="1F5C38"/>
        </w:rPr>
        <w:t xml:space="preserve">Q.  </w:t>
      </w:r>
      <w:r>
        <w:rPr>
          <w:b/>
          <w:sz w:val="21"/>
        </w:rPr>
        <w:t>Why is everything bilingual?</w:t>
      </w:r>
    </w:p>
    <w:p>
      <w:pPr>
        <w:spacing w:after="120"/>
        <w:ind w:left="360"/>
      </w:pPr>
      <w:r>
        <w:t>Because the intended user is a Nepali farmer, and an English-only agricultural tool is not usable by the people it is for. It is not a translation layer bolted on top — every content field in the knowledge base is stored as a matched pair (</w:t>
      </w:r>
      <w:r>
        <w:rPr>
          <w:rFonts w:ascii="Consolas" w:hAnsi="Consolas"/>
          <w:color w:val="33443A"/>
          <w:sz w:val="19"/>
        </w:rPr>
        <w:t>symptoms</w:t>
      </w:r>
      <w:r>
        <w:t xml:space="preserve"> / </w:t>
      </w:r>
      <w:r>
        <w:rPr>
          <w:rFonts w:ascii="Consolas" w:hAnsi="Consolas"/>
          <w:color w:val="33443A"/>
          <w:sz w:val="19"/>
        </w:rPr>
        <w:t>symptoms_np</w:t>
      </w:r>
      <w:r>
        <w:t>), the API returns both in every response, and the clients pick per the language toggle. That means switching language re-renders an existing result with no new network call, and it means the safety disclaimer — the pesticide-label warning — is never the part that fails to translate.</w:t>
      </w:r>
    </w:p>
    <w:p>
      <w:pPr>
        <w:keepNext/>
        <w:spacing w:before="200" w:after="40"/>
      </w:pPr>
      <w:r>
        <w:rPr>
          <w:b/>
          <w:color w:val="1F5C38"/>
        </w:rPr>
        <w:t xml:space="preserve">Q.  </w:t>
      </w:r>
      <w:r>
        <w:rPr>
          <w:b/>
          <w:sz w:val="21"/>
        </w:rPr>
        <w:t>What would you do next, with more time?</w:t>
      </w:r>
    </w:p>
    <w:p>
      <w:pPr>
        <w:spacing w:after="120"/>
        <w:ind w:left="360"/>
      </w:pPr>
      <w:r>
        <w:t>In order of value. First, expert-verified Nepali field data — the single change most likely to move the 48% field accuracy. Second, use the crop the user selects to constrain the prediction rather than only warn on mismatch; several of the commonest errors are cross-crop (tomato late blight predicted as potato late blight). Third, better open-set rejection: energy or Mahalanobis scores, calibrated on field rather than in-domain images. Fourth, re-run training with outputs preserved so internal per-class metrics exist. Fifth, on-device TensorFlow Lite inference, so the tool works where there is no signal.</w:t>
      </w:r>
    </w:p>
    <w:p>
      <w:r>
        <w:br w:type="page"/>
      </w:r>
    </w:p>
    <w:p>
      <w:pPr>
        <w:pStyle w:val="Heading1"/>
      </w:pPr>
      <w:r>
        <w:t>16.  Live demo script</w:t>
      </w:r>
    </w:p>
    <w:p>
      <w:r>
        <w:t>A sequence that shows the whole system in about five minutes and — importantly — demonstrates the failure handling, which is what separates this from a notebook with a good accuracy number.</w:t>
      </w:r>
    </w:p>
    <w:tbl>
      <w:tblPr>
        <w:tblStyle w:val="TableGrid"/>
        <w:jc w:val="left"/>
        <w:tblLook w:firstColumn="1" w:firstRow="1" w:lastColumn="0" w:lastRow="0" w:noHBand="0" w:noVBand="1" w:val="04A0"/>
        <w:tblLayout w:type="fixed"/>
        <w:tblW w:w="9000" w:type="dxa"/>
      </w:tblPr>
      <w:tblGrid>
        <w:gridCol w:w="503"/>
        <w:gridCol w:w="2736"/>
        <w:gridCol w:w="5760"/>
      </w:tblGrid>
      <w:tr>
        <w:tc>
          <w:tcPr>
            <w:tcW w:type="dxa" w:w="504"/>
            <w:shd w:val="clear" w:color="auto" w:fill="E8EDE6"/>
          </w:tcPr>
          <w:p>
            <w:pPr>
              <w:spacing w:after="20" w:before="20"/>
            </w:pPr>
            <w:r>
              <w:rPr>
                <w:b/>
                <w:color w:val="333D36"/>
                <w:sz w:val="18"/>
              </w:rPr>
              <w:t>#</w:t>
            </w:r>
          </w:p>
        </w:tc>
        <w:tc>
          <w:tcPr>
            <w:tcW w:type="dxa" w:w="2736"/>
            <w:shd w:val="clear" w:color="auto" w:fill="E8EDE6"/>
          </w:tcPr>
          <w:p>
            <w:pPr>
              <w:spacing w:after="20" w:before="20"/>
            </w:pPr>
            <w:r>
              <w:rPr>
                <w:b/>
                <w:color w:val="333D36"/>
                <w:sz w:val="18"/>
              </w:rPr>
              <w:t>Do</w:t>
            </w:r>
          </w:p>
        </w:tc>
        <w:tc>
          <w:tcPr>
            <w:tcW w:type="dxa" w:w="5760"/>
            <w:shd w:val="clear" w:color="auto" w:fill="E8EDE6"/>
          </w:tcPr>
          <w:p>
            <w:pPr>
              <w:spacing w:after="20" w:before="20"/>
            </w:pPr>
            <w:r>
              <w:rPr>
                <w:b/>
                <w:color w:val="333D36"/>
                <w:sz w:val="18"/>
              </w:rPr>
              <w:t>Say</w:t>
            </w:r>
          </w:p>
        </w:tc>
      </w:tr>
      <w:tr>
        <w:tc>
          <w:tcPr>
            <w:tcW w:type="dxa" w:w="504"/>
          </w:tcPr>
          <w:p>
            <w:pPr>
              <w:spacing w:after="20" w:before="20"/>
            </w:pPr>
            <w:r>
              <w:rPr>
                <w:sz w:val="18"/>
              </w:rPr>
              <w:t>1</w:t>
            </w:r>
          </w:p>
        </w:tc>
        <w:tc>
          <w:tcPr>
            <w:tcW w:type="dxa" w:w="2736"/>
          </w:tcPr>
          <w:p>
            <w:pPr>
              <w:spacing w:after="20" w:before="20"/>
            </w:pPr>
            <w:r>
              <w:rPr>
                <w:sz w:val="18"/>
              </w:rPr>
              <w:t>Open :8000/health</w:t>
            </w:r>
          </w:p>
        </w:tc>
        <w:tc>
          <w:tcPr>
            <w:tcW w:type="dxa" w:w="5760"/>
          </w:tcPr>
          <w:p>
            <w:pPr>
              <w:spacing w:after="20" w:before="20"/>
            </w:pPr>
            <w:r>
              <w:rPr>
                <w:sz w:val="18"/>
              </w:rPr>
              <w:t>Model loaded, backbone, 52 classes. Proves the service is live before anything else.</w:t>
            </w:r>
          </w:p>
        </w:tc>
      </w:tr>
      <w:tr>
        <w:tc>
          <w:tcPr>
            <w:tcW w:type="dxa" w:w="504"/>
          </w:tcPr>
          <w:p>
            <w:pPr>
              <w:spacing w:after="20" w:before="20"/>
            </w:pPr>
            <w:r>
              <w:rPr>
                <w:sz w:val="18"/>
              </w:rPr>
              <w:t>2</w:t>
            </w:r>
          </w:p>
        </w:tc>
        <w:tc>
          <w:tcPr>
            <w:tcW w:type="dxa" w:w="2736"/>
          </w:tcPr>
          <w:p>
            <w:pPr>
              <w:spacing w:after="20" w:before="20"/>
            </w:pPr>
            <w:r>
              <w:rPr>
                <w:sz w:val="18"/>
              </w:rPr>
              <w:t>Diagnose a clear Tomato Late Blight leaf</w:t>
            </w:r>
          </w:p>
        </w:tc>
        <w:tc>
          <w:tcPr>
            <w:tcW w:type="dxa" w:w="5760"/>
          </w:tcPr>
          <w:p>
            <w:pPr>
              <w:spacing w:after="20" w:before="20"/>
            </w:pPr>
            <w:r>
              <w:rPr>
                <w:sz w:val="18"/>
              </w:rPr>
              <w:t>The happy path: High confidence, Grad-CAM sitting on the lesion, bilingual guidance, structured treatment with pre-harvest interval.</w:t>
            </w:r>
          </w:p>
        </w:tc>
      </w:tr>
      <w:tr>
        <w:tc>
          <w:tcPr>
            <w:tcW w:type="dxa" w:w="504"/>
          </w:tcPr>
          <w:p>
            <w:pPr>
              <w:spacing w:after="20" w:before="20"/>
            </w:pPr>
            <w:r>
              <w:rPr>
                <w:sz w:val="18"/>
              </w:rPr>
              <w:t>3</w:t>
            </w:r>
          </w:p>
        </w:tc>
        <w:tc>
          <w:tcPr>
            <w:tcW w:type="dxa" w:w="2736"/>
          </w:tcPr>
          <w:p>
            <w:pPr>
              <w:spacing w:after="20" w:before="20"/>
            </w:pPr>
            <w:r>
              <w:rPr>
                <w:sz w:val="18"/>
              </w:rPr>
              <w:t>Toggle EN → NP</w:t>
            </w:r>
          </w:p>
        </w:tc>
        <w:tc>
          <w:tcPr>
            <w:tcW w:type="dxa" w:w="5760"/>
          </w:tcPr>
          <w:p>
            <w:pPr>
              <w:spacing w:after="20" w:before="20"/>
            </w:pPr>
            <w:r>
              <w:rPr>
                <w:sz w:val="18"/>
              </w:rPr>
              <w:t>Instant — the response already carries both languages, no second request.</w:t>
            </w:r>
          </w:p>
        </w:tc>
      </w:tr>
      <w:tr>
        <w:tc>
          <w:tcPr>
            <w:tcW w:type="dxa" w:w="504"/>
          </w:tcPr>
          <w:p>
            <w:pPr>
              <w:spacing w:after="20" w:before="20"/>
            </w:pPr>
            <w:r>
              <w:rPr>
                <w:sz w:val="18"/>
              </w:rPr>
              <w:t>4</w:t>
            </w:r>
          </w:p>
        </w:tc>
        <w:tc>
          <w:tcPr>
            <w:tcW w:type="dxa" w:w="2736"/>
          </w:tcPr>
          <w:p>
            <w:pPr>
              <w:spacing w:after="20" w:before="20"/>
            </w:pPr>
            <w:r>
              <w:rPr>
                <w:sz w:val="18"/>
              </w:rPr>
              <w:t>Upload a photo of a hand or a wall</w:t>
            </w:r>
          </w:p>
        </w:tc>
        <w:tc>
          <w:tcPr>
            <w:tcW w:type="dxa" w:w="5760"/>
          </w:tcPr>
          <w:p>
            <w:pPr>
              <w:spacing w:after="20" w:before="20"/>
            </w:pPr>
            <w:r>
              <w:rPr>
                <w:sz w:val="18"/>
              </w:rPr>
              <w:t>“Not a Leaf” — rejected before inference, with advice on what to photograph instead.</w:t>
            </w:r>
          </w:p>
        </w:tc>
      </w:tr>
      <w:tr>
        <w:tc>
          <w:tcPr>
            <w:tcW w:type="dxa" w:w="504"/>
          </w:tcPr>
          <w:p>
            <w:pPr>
              <w:spacing w:after="20" w:before="20"/>
            </w:pPr>
            <w:r>
              <w:rPr>
                <w:sz w:val="18"/>
              </w:rPr>
              <w:t>5</w:t>
            </w:r>
          </w:p>
        </w:tc>
        <w:tc>
          <w:tcPr>
            <w:tcW w:type="dxa" w:w="2736"/>
          </w:tcPr>
          <w:p>
            <w:pPr>
              <w:spacing w:after="20" w:before="20"/>
            </w:pPr>
            <w:r>
              <w:rPr>
                <w:sz w:val="18"/>
              </w:rPr>
              <w:t>Upload a leaf of an untrained crop</w:t>
            </w:r>
          </w:p>
        </w:tc>
        <w:tc>
          <w:tcPr>
            <w:tcW w:type="dxa" w:w="5760"/>
          </w:tcPr>
          <w:p>
            <w:pPr>
              <w:spacing w:after="20" w:before="20"/>
            </w:pPr>
            <w:r>
              <w:rPr>
                <w:sz w:val="18"/>
              </w:rPr>
              <w:t>“Crop Not Supported”, listing the ten crops that are covered. Explain the closed-set softmax problem here.</w:t>
            </w:r>
          </w:p>
        </w:tc>
      </w:tr>
      <w:tr>
        <w:tc>
          <w:tcPr>
            <w:tcW w:type="dxa" w:w="504"/>
          </w:tcPr>
          <w:p>
            <w:pPr>
              <w:spacing w:after="20" w:before="20"/>
            </w:pPr>
            <w:r>
              <w:rPr>
                <w:sz w:val="18"/>
              </w:rPr>
              <w:t>6</w:t>
            </w:r>
          </w:p>
        </w:tc>
        <w:tc>
          <w:tcPr>
            <w:tcW w:type="dxa" w:w="2736"/>
          </w:tcPr>
          <w:p>
            <w:pPr>
              <w:spacing w:after="20" w:before="20"/>
            </w:pPr>
            <w:r>
              <w:rPr>
                <w:sz w:val="18"/>
              </w:rPr>
              <w:t>Select Potato, upload a Tomato leaf</w:t>
            </w:r>
          </w:p>
        </w:tc>
        <w:tc>
          <w:tcPr>
            <w:tcW w:type="dxa" w:w="5760"/>
          </w:tcPr>
          <w:p>
            <w:pPr>
              <w:spacing w:after="20" w:before="20"/>
            </w:pPr>
            <w:r>
              <w:rPr>
                <w:sz w:val="18"/>
              </w:rPr>
              <w:t>Crop-mismatch warning — a prediction can be confident and still be flagged.</w:t>
            </w:r>
          </w:p>
        </w:tc>
      </w:tr>
      <w:tr>
        <w:tc>
          <w:tcPr>
            <w:tcW w:type="dxa" w:w="504"/>
          </w:tcPr>
          <w:p>
            <w:pPr>
              <w:spacing w:after="20" w:before="20"/>
            </w:pPr>
            <w:r>
              <w:rPr>
                <w:sz w:val="18"/>
              </w:rPr>
              <w:t>7</w:t>
            </w:r>
          </w:p>
        </w:tc>
        <w:tc>
          <w:tcPr>
            <w:tcW w:type="dxa" w:w="2736"/>
          </w:tcPr>
          <w:p>
            <w:pPr>
              <w:spacing w:after="20" w:before="20"/>
            </w:pPr>
            <w:r>
              <w:rPr>
                <w:sz w:val="18"/>
              </w:rPr>
              <w:t>Upload a blurry or partly shaded leaf</w:t>
            </w:r>
          </w:p>
        </w:tc>
        <w:tc>
          <w:tcPr>
            <w:tcW w:type="dxa" w:w="5760"/>
          </w:tcPr>
          <w:p>
            <w:pPr>
              <w:spacing w:after="20" w:before="20"/>
            </w:pPr>
            <w:r>
              <w:rPr>
                <w:sz w:val="18"/>
              </w:rPr>
              <w:t>Moderate or Uncertain band, plus “other possibilities” with their confidences.</w:t>
            </w:r>
          </w:p>
        </w:tc>
      </w:tr>
      <w:tr>
        <w:tc>
          <w:tcPr>
            <w:tcW w:type="dxa" w:w="504"/>
          </w:tcPr>
          <w:p>
            <w:pPr>
              <w:spacing w:after="20" w:before="20"/>
            </w:pPr>
            <w:r>
              <w:rPr>
                <w:sz w:val="18"/>
              </w:rPr>
              <w:t>8</w:t>
            </w:r>
          </w:p>
        </w:tc>
        <w:tc>
          <w:tcPr>
            <w:tcW w:type="dxa" w:w="2736"/>
          </w:tcPr>
          <w:p>
            <w:pPr>
              <w:spacing w:after="20" w:before="20"/>
            </w:pPr>
            <w:r>
              <w:rPr>
                <w:sz w:val="18"/>
              </w:rPr>
              <w:t>Open History, then the phone</w:t>
            </w:r>
          </w:p>
        </w:tc>
        <w:tc>
          <w:tcPr>
            <w:tcW w:type="dxa" w:w="5760"/>
          </w:tcPr>
          <w:p>
            <w:pPr>
              <w:spacing w:after="20" w:before="20"/>
            </w:pPr>
            <w:r>
              <w:rPr>
                <w:sz w:val="18"/>
              </w:rPr>
              <w:t>Local-first history with no login; same backend, same result, from the mobile client.</w:t>
            </w:r>
          </w:p>
        </w:tc>
      </w:tr>
      <w:tr>
        <w:tc>
          <w:tcPr>
            <w:tcW w:type="dxa" w:w="504"/>
          </w:tcPr>
          <w:p>
            <w:pPr>
              <w:spacing w:after="20" w:before="20"/>
            </w:pPr>
            <w:r>
              <w:rPr>
                <w:sz w:val="18"/>
              </w:rPr>
              <w:t>9</w:t>
            </w:r>
          </w:p>
        </w:tc>
        <w:tc>
          <w:tcPr>
            <w:tcW w:type="dxa" w:w="2736"/>
          </w:tcPr>
          <w:p>
            <w:pPr>
              <w:spacing w:after="20" w:before="20"/>
            </w:pPr>
            <w:r>
              <w:rPr>
                <w:sz w:val="18"/>
              </w:rPr>
              <w:t>Open :8000/docs</w:t>
            </w:r>
          </w:p>
        </w:tc>
        <w:tc>
          <w:tcPr>
            <w:tcW w:type="dxa" w:w="5760"/>
          </w:tcPr>
          <w:p>
            <w:pPr>
              <w:spacing w:after="20" w:before="20"/>
            </w:pPr>
            <w:r>
              <w:rPr>
                <w:sz w:val="18"/>
              </w:rPr>
              <w:t>Swagger. Shows the API is a real contract, not a UI-coupled endpoint.</w:t>
            </w:r>
          </w:p>
        </w:tc>
      </w:tr>
    </w:tbl>
    <w:p>
      <w:pPr>
        <w:spacing w:after="120"/>
      </w:pPr>
    </w:p>
    <w:p>
      <w:pPr>
        <w:pStyle w:val="Heading2"/>
      </w:pPr>
      <w:r>
        <w:t>16.1  Have these open in tabs before you start</w:t>
      </w:r>
    </w:p>
    <w:p>
      <w:pPr>
        <w:pStyle w:val="ListBullet"/>
      </w:pPr>
      <w:r>
        <w:rPr>
          <w:rFonts w:ascii="Consolas" w:hAnsi="Consolas"/>
          <w:color w:val="33443A"/>
          <w:sz w:val="19"/>
        </w:rPr>
        <w:t>frontend/src/lib/normalize.js</w:t>
      </w:r>
      <w:r>
        <w:t xml:space="preserve"> — the confidence-band logic, in case they ask where the bands come from.</w:t>
      </w:r>
    </w:p>
    <w:p>
      <w:pPr>
        <w:pStyle w:val="ListBullet"/>
      </w:pPr>
      <w:r>
        <w:rPr>
          <w:rFonts w:ascii="Consolas" w:hAnsi="Consolas"/>
          <w:color w:val="33443A"/>
          <w:sz w:val="19"/>
        </w:rPr>
        <w:t>backend/main.py</w:t>
      </w:r>
      <w:r>
        <w:t xml:space="preserve"> at the Unknown gate — the five conditions in one screen.</w:t>
      </w:r>
    </w:p>
    <w:p>
      <w:pPr>
        <w:pStyle w:val="ListBullet"/>
      </w:pPr>
      <w:r>
        <w:t>Section 15c of the notebook — the centroid calibration.</w:t>
      </w:r>
    </w:p>
    <w:p>
      <w:pPr>
        <w:pStyle w:val="ListBullet"/>
      </w:pPr>
      <w:r>
        <w:rPr>
          <w:rFonts w:ascii="Consolas" w:hAnsi="Consolas"/>
          <w:color w:val="33443A"/>
          <w:sz w:val="19"/>
        </w:rPr>
        <w:t>backend/Final_Model/confusion_matrix.png</w:t>
      </w:r>
      <w:r>
        <w:t xml:space="preserve"> and </w:t>
      </w:r>
      <w:r>
        <w:rPr>
          <w:rFonts w:ascii="Consolas" w:hAnsi="Consolas"/>
          <w:color w:val="33443A"/>
          <w:sz w:val="19"/>
        </w:rPr>
        <w:t>training_history.png</w:t>
      </w:r>
      <w:r>
        <w:t>.</w:t>
      </w:r>
    </w:p>
    <w:p>
      <w:pPr>
        <w:pStyle w:val="Heading2"/>
      </w:pPr>
      <w:r>
        <w:t>16.2  Prepared answers for the two questions that will land hardest</w:t>
      </w:r>
    </w:p>
    <w:p>
      <w:pPr>
        <w:pStyle w:val="ListBullet"/>
      </w:pPr>
      <w:r>
        <w:rPr>
          <w:b/>
        </w:rPr>
        <w:t>“What’s your macro-F1?”</w:t>
      </w:r>
      <w:r>
        <w:t xml:space="preserve"> — Do not guess a number. Say the metric is what the run checkpoints and early-stops on, that the notebook computes the full per-class report and a separate field-only score, and that the current checkpoint’s outputs were not preserved. Point at what the evaluation measures rather than inventing a figure. A panel forgives a missing number; it does not forgive a fabricated one.</w:t>
      </w:r>
    </w:p>
    <w:p>
      <w:pPr>
        <w:pStyle w:val="ListBullet"/>
      </w:pPr>
      <w:r>
        <w:rPr>
          <w:b/>
        </w:rPr>
        <w:t>“Show me it rejecting an unknown crop.”</w:t>
      </w:r>
      <w:r>
        <w:t xml:space="preserve"> — Test this before the defense with the actual deployed checkpoint. With the open-set rule inactive, rejection currently rests on conditions 1–4, so whether a given guava photo is declined depends on how the softmax lands. Know the answer for the specific image you plan to use.</w:t>
      </w:r>
    </w:p>
    <w:p/>
    <w:p>
      <w:pPr>
        <w:spacing w:before="360"/>
      </w:pPr>
      <w:r>
        <w:rPr>
          <w:i/>
          <w:color w:val="555F58"/>
          <w:sz w:val="17"/>
        </w:rPr>
        <w:t>Compiled from the CropSense repository at commit 79c0e33 (branch main), 16 September 2026. Every figure, threshold, hyperparameter and file path in this document was read from the source rather than reconstructed from the README — where the README and the code disagree, the code is reported. Frontend tests, the live API and the Android build were verified by running them.</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i w:val="0"/>
      <w:color w:val="1F5C38"/>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i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