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60"/>
        <w:jc w:val="left"/>
        <w:rPr/>
      </w:pPr>
      <w:r>
        <w:rPr/>
        <w:t>IoThings Sensors Database</w:t>
      </w:r>
    </w:p>
    <w:p>
      <w:pPr>
        <w:pStyle w:val="TextBody"/>
        <w:bidi w:val="0"/>
        <w:spacing w:before="0" w:after="140"/>
        <w:jc w:val="both"/>
        <w:rPr/>
      </w:pPr>
      <w:r>
        <w:rPr>
          <w:rStyle w:val="StrongEmphasis"/>
        </w:rPr>
        <w:t>Design, Implementation and Evaluation of a Distributed MongoDB Data Store for Home-Automation Sensor Data</w:t>
      </w:r>
    </w:p>
    <w:tbl>
      <w:tblPr>
        <w:tblW w:w="9516" w:type="dxa"/>
        <w:jc w:val="left"/>
        <w:tblInd w:w="0" w:type="dxa"/>
        <w:tblLayout w:type="fixed"/>
        <w:tblCellMar>
          <w:top w:w="28" w:type="dxa"/>
          <w:left w:w="28" w:type="dxa"/>
          <w:bottom w:w="28" w:type="dxa"/>
          <w:right w:w="28" w:type="dxa"/>
        </w:tblCellMar>
      </w:tblPr>
      <w:tblGrid>
        <w:gridCol w:w="2471"/>
        <w:gridCol w:w="7045"/>
      </w:tblGrid>
      <w:tr>
        <w:trPr>
          <w:tblHeader w:val="true"/>
        </w:trPr>
        <w:tc>
          <w:tcPr>
            <w:tcW w:w="2471" w:type="dxa"/>
            <w:tcBorders/>
            <w:vAlign w:val="center"/>
          </w:tcPr>
          <w:p>
            <w:pPr>
              <w:pStyle w:val="TableHeading"/>
              <w:bidi w:val="0"/>
              <w:spacing w:before="0" w:after="140"/>
              <w:jc w:val="left"/>
              <w:rPr>
                <w:sz w:val="4"/>
                <w:szCs w:val="4"/>
              </w:rPr>
            </w:pPr>
            <w:r>
              <w:rPr>
                <w:sz w:val="4"/>
                <w:szCs w:val="4"/>
              </w:rPr>
            </w:r>
          </w:p>
        </w:tc>
        <w:tc>
          <w:tcPr>
            <w:tcW w:w="7045" w:type="dxa"/>
            <w:tcBorders/>
            <w:vAlign w:val="center"/>
          </w:tcPr>
          <w:p>
            <w:pPr>
              <w:pStyle w:val="TableHeading"/>
              <w:bidi w:val="0"/>
              <w:spacing w:before="0" w:after="140"/>
              <w:jc w:val="left"/>
              <w:rPr>
                <w:sz w:val="4"/>
                <w:szCs w:val="4"/>
              </w:rPr>
            </w:pPr>
            <w:r>
              <w:rPr>
                <w:sz w:val="4"/>
                <w:szCs w:val="4"/>
              </w:rPr>
            </w:r>
          </w:p>
        </w:tc>
      </w:tr>
      <w:tr>
        <w:trPr/>
        <w:tc>
          <w:tcPr>
            <w:tcW w:w="2471" w:type="dxa"/>
            <w:tcBorders/>
            <w:vAlign w:val="center"/>
          </w:tcPr>
          <w:p>
            <w:pPr>
              <w:pStyle w:val="TableContents"/>
              <w:bidi w:val="0"/>
              <w:spacing w:before="0" w:after="140"/>
              <w:jc w:val="left"/>
              <w:rPr/>
            </w:pPr>
            <w:r>
              <w:rPr>
                <w:rStyle w:val="StrongEmphasis"/>
              </w:rPr>
              <w:t>Prepared for</w:t>
            </w:r>
          </w:p>
        </w:tc>
        <w:tc>
          <w:tcPr>
            <w:tcW w:w="7045" w:type="dxa"/>
            <w:tcBorders/>
            <w:vAlign w:val="center"/>
          </w:tcPr>
          <w:p>
            <w:pPr>
              <w:pStyle w:val="TableContents"/>
              <w:bidi w:val="0"/>
              <w:spacing w:before="0" w:after="140"/>
              <w:jc w:val="left"/>
              <w:rPr/>
            </w:pPr>
            <w:r>
              <w:rPr/>
              <w:t>IoThings Home Automation Solutions Ltd (UK SME)</w:t>
            </w:r>
          </w:p>
        </w:tc>
      </w:tr>
      <w:tr>
        <w:trPr/>
        <w:tc>
          <w:tcPr>
            <w:tcW w:w="2471" w:type="dxa"/>
            <w:tcBorders/>
            <w:vAlign w:val="center"/>
          </w:tcPr>
          <w:p>
            <w:pPr>
              <w:pStyle w:val="TableContents"/>
              <w:bidi w:val="0"/>
              <w:spacing w:before="0" w:after="140"/>
              <w:jc w:val="left"/>
              <w:rPr/>
            </w:pPr>
            <w:r>
              <w:rPr>
                <w:rStyle w:val="StrongEmphasis"/>
              </w:rPr>
              <w:t>Prepared by</w:t>
            </w:r>
          </w:p>
        </w:tc>
        <w:tc>
          <w:tcPr>
            <w:tcW w:w="7045" w:type="dxa"/>
            <w:tcBorders/>
            <w:vAlign w:val="center"/>
          </w:tcPr>
          <w:p>
            <w:pPr>
              <w:pStyle w:val="TableContents"/>
              <w:bidi w:val="0"/>
              <w:spacing w:before="0" w:after="140"/>
              <w:jc w:val="left"/>
              <w:rPr/>
            </w:pPr>
            <w:r>
              <w:rPr>
                <w:rStyle w:val="Emphasis"/>
              </w:rPr>
              <w:t>[Your name]</w:t>
            </w:r>
            <w:r>
              <w:rPr/>
              <w:t>, consultant data scientist / programmer / analyst</w:t>
            </w:r>
          </w:p>
        </w:tc>
      </w:tr>
      <w:tr>
        <w:trPr/>
        <w:tc>
          <w:tcPr>
            <w:tcW w:w="2471" w:type="dxa"/>
            <w:tcBorders/>
            <w:vAlign w:val="center"/>
          </w:tcPr>
          <w:p>
            <w:pPr>
              <w:pStyle w:val="TableContents"/>
              <w:bidi w:val="0"/>
              <w:spacing w:before="0" w:after="140"/>
              <w:jc w:val="left"/>
              <w:rPr/>
            </w:pPr>
            <w:r>
              <w:rPr>
                <w:rStyle w:val="StrongEmphasis"/>
              </w:rPr>
              <w:t>Date</w:t>
            </w:r>
          </w:p>
        </w:tc>
        <w:tc>
          <w:tcPr>
            <w:tcW w:w="7045" w:type="dxa"/>
            <w:tcBorders/>
            <w:vAlign w:val="center"/>
          </w:tcPr>
          <w:p>
            <w:pPr>
              <w:pStyle w:val="TableContents"/>
              <w:bidi w:val="0"/>
              <w:spacing w:before="0" w:after="140"/>
              <w:jc w:val="left"/>
              <w:rPr/>
            </w:pPr>
            <w:r>
              <w:rPr/>
              <w:t>September 2026</w:t>
            </w:r>
          </w:p>
        </w:tc>
      </w:tr>
      <w:tr>
        <w:trPr/>
        <w:tc>
          <w:tcPr>
            <w:tcW w:w="2471" w:type="dxa"/>
            <w:tcBorders/>
            <w:vAlign w:val="center"/>
          </w:tcPr>
          <w:p>
            <w:pPr>
              <w:pStyle w:val="TableContents"/>
              <w:bidi w:val="0"/>
              <w:spacing w:before="0" w:after="140"/>
              <w:jc w:val="left"/>
              <w:rPr/>
            </w:pPr>
            <w:r>
              <w:rPr>
                <w:rStyle w:val="StrongEmphasis"/>
              </w:rPr>
              <w:t>Version</w:t>
            </w:r>
          </w:p>
        </w:tc>
        <w:tc>
          <w:tcPr>
            <w:tcW w:w="7045" w:type="dxa"/>
            <w:tcBorders/>
            <w:vAlign w:val="center"/>
          </w:tcPr>
          <w:p>
            <w:pPr>
              <w:pStyle w:val="TableContents"/>
              <w:bidi w:val="0"/>
              <w:spacing w:before="0" w:after="140"/>
              <w:jc w:val="left"/>
              <w:rPr/>
            </w:pPr>
            <w:r>
              <w:rPr/>
              <w:t>1.0</w:t>
            </w:r>
          </w:p>
        </w:tc>
      </w:tr>
      <w:tr>
        <w:trPr/>
        <w:tc>
          <w:tcPr>
            <w:tcW w:w="2471" w:type="dxa"/>
            <w:tcBorders/>
            <w:vAlign w:val="center"/>
          </w:tcPr>
          <w:p>
            <w:pPr>
              <w:pStyle w:val="TableContents"/>
              <w:bidi w:val="0"/>
              <w:spacing w:before="0" w:after="140"/>
              <w:jc w:val="left"/>
              <w:rPr/>
            </w:pPr>
            <w:r>
              <w:rPr>
                <w:rStyle w:val="StrongEmphasis"/>
              </w:rPr>
              <w:t>Project repository</w:t>
            </w:r>
          </w:p>
        </w:tc>
        <w:tc>
          <w:tcPr>
            <w:tcW w:w="7045" w:type="dxa"/>
            <w:tcBorders/>
            <w:vAlign w:val="center"/>
          </w:tcPr>
          <w:p>
            <w:pPr>
              <w:pStyle w:val="TableContents"/>
              <w:bidi w:val="0"/>
              <w:spacing w:before="0" w:after="140"/>
              <w:jc w:val="left"/>
              <w:rPr/>
            </w:pPr>
            <w:r>
              <w:rPr>
                <w:rStyle w:val="SourceText"/>
              </w:rPr>
              <w:t>iothings/</w:t>
            </w:r>
            <w:r>
              <w:rPr/>
              <w:t xml:space="preserve"> (source code, scripts, dataset generator, README)</w:t>
            </w:r>
          </w:p>
        </w:tc>
      </w:tr>
    </w:tbl>
    <w:p>
      <w:pPr>
        <w:pStyle w:val="Heading2"/>
        <w:bidi w:val="0"/>
        <w:jc w:val="left"/>
        <w:rPr/>
      </w:pPr>
      <w:r>
        <w:rPr/>
        <w:t>Executive Summary</w:t>
      </w:r>
    </w:p>
    <w:p>
      <w:pPr>
        <w:pStyle w:val="TextBody"/>
        <w:bidi w:val="0"/>
        <w:spacing w:before="0" w:after="140"/>
        <w:jc w:val="both"/>
        <w:rPr/>
      </w:pPr>
      <w:r>
        <w:rPr/>
        <w:t>IoThings installs sensors that automate homes and report their activity over MQTT. The company already runs relational systems for ERP, CRM, finance, order processing and logistics. It now needs a data store that can absorb a continuous stream of sensor activations, keep that data safe, and turn it into feedback for home owners. This report explains the principal types of NoSQL database, critically compares the relational and document-store approaches, and then presents a working, tested implementation for IoThings.</w:t>
      </w:r>
    </w:p>
    <w:p>
      <w:pPr>
        <w:pStyle w:val="TextBody"/>
        <w:bidi w:val="0"/>
        <w:spacing w:before="0" w:after="140"/>
        <w:jc w:val="both"/>
        <w:rPr/>
      </w:pPr>
      <w:r>
        <w:rPr>
          <w:rStyle w:val="StrongEmphasis"/>
        </w:rPr>
        <w:t>What was built.</w:t>
      </w:r>
      <w:r>
        <w:rPr/>
        <w:t xml:space="preserve"> A three-member MongoDB 7 replica set, secured with keyfile authentication and role-based access control. An authenticated Eclipse Mosquitto MQTT broker. A Node.js ingest service that validates each sensor message, raises safety alerts and writes events in batches. A documented REST API with create/read/update/delete operations and six analytics endpoints. A reproducible synthetic dataset: 20 homes, 480 devices and 289,602 events over 30 days.</w:t>
      </w:r>
    </w:p>
    <w:p>
      <w:pPr>
        <w:pStyle w:val="TextBody"/>
        <w:bidi w:val="0"/>
        <w:spacing w:before="0" w:after="140"/>
        <w:jc w:val="both"/>
        <w:rPr/>
      </w:pPr>
      <w:r>
        <w:rPr>
          <w:rStyle w:val="StrongEmphasis"/>
        </w:rPr>
        <w:t>Key measured results:</w:t>
      </w:r>
    </w:p>
    <w:tbl>
      <w:tblPr>
        <w:tblW w:w="9516" w:type="dxa"/>
        <w:jc w:val="left"/>
        <w:tblInd w:w="0" w:type="dxa"/>
        <w:tblLayout w:type="fixed"/>
        <w:tblCellMar>
          <w:top w:w="28" w:type="dxa"/>
          <w:left w:w="28" w:type="dxa"/>
          <w:bottom w:w="28" w:type="dxa"/>
          <w:right w:w="28" w:type="dxa"/>
        </w:tblCellMar>
      </w:tblPr>
      <w:tblGrid>
        <w:gridCol w:w="3047"/>
        <w:gridCol w:w="6469"/>
      </w:tblGrid>
      <w:tr>
        <w:trPr>
          <w:tblHeader w:val="true"/>
        </w:trPr>
        <w:tc>
          <w:tcPr>
            <w:tcW w:w="3047" w:type="dxa"/>
            <w:tcBorders/>
            <w:vAlign w:val="center"/>
          </w:tcPr>
          <w:p>
            <w:pPr>
              <w:pStyle w:val="TableHeading"/>
              <w:suppressLineNumbers/>
              <w:shd w:fill="0D3B66" w:val="clear"/>
              <w:bidi w:val="0"/>
              <w:spacing w:before="0" w:after="140"/>
              <w:jc w:val="left"/>
              <w:rPr/>
            </w:pPr>
            <w:r>
              <w:rPr/>
              <w:t>Test</w:t>
            </w:r>
          </w:p>
        </w:tc>
        <w:tc>
          <w:tcPr>
            <w:tcW w:w="6469" w:type="dxa"/>
            <w:tcBorders/>
            <w:vAlign w:val="center"/>
          </w:tcPr>
          <w:p>
            <w:pPr>
              <w:pStyle w:val="TableHeading"/>
              <w:suppressLineNumbers/>
              <w:shd w:fill="0D3B66" w:val="clear"/>
              <w:bidi w:val="0"/>
              <w:spacing w:before="0" w:after="140"/>
              <w:jc w:val="left"/>
              <w:rPr/>
            </w:pPr>
            <w:r>
              <w:rPr/>
              <w:t>Result</w:t>
            </w:r>
          </w:p>
        </w:tc>
      </w:tr>
      <w:tr>
        <w:trPr/>
        <w:tc>
          <w:tcPr>
            <w:tcW w:w="3047" w:type="dxa"/>
            <w:tcBorders/>
            <w:vAlign w:val="center"/>
          </w:tcPr>
          <w:p>
            <w:pPr>
              <w:pStyle w:val="TableContents"/>
              <w:bidi w:val="0"/>
              <w:spacing w:before="0" w:after="140"/>
              <w:jc w:val="left"/>
              <w:rPr/>
            </w:pPr>
            <w:r>
              <w:rPr/>
              <w:t>Failover (primary killed, 5 runs)</w:t>
            </w:r>
          </w:p>
        </w:tc>
        <w:tc>
          <w:tcPr>
            <w:tcW w:w="6469" w:type="dxa"/>
            <w:tcBorders/>
            <w:vAlign w:val="center"/>
          </w:tcPr>
          <w:p>
            <w:pPr>
              <w:pStyle w:val="TableContents"/>
              <w:bidi w:val="0"/>
              <w:spacing w:before="0" w:after="140"/>
              <w:jc w:val="left"/>
              <w:rPr/>
            </w:pPr>
            <w:r>
              <w:rPr/>
              <w:t>New primary elected in 10–16 s (mean 13.4 s); writes succeeded throughout</w:t>
            </w:r>
          </w:p>
        </w:tc>
      </w:tr>
      <w:tr>
        <w:trPr/>
        <w:tc>
          <w:tcPr>
            <w:tcW w:w="3047" w:type="dxa"/>
            <w:tcBorders/>
            <w:vAlign w:val="center"/>
          </w:tcPr>
          <w:p>
            <w:pPr>
              <w:pStyle w:val="TableContents"/>
              <w:bidi w:val="0"/>
              <w:spacing w:before="0" w:after="140"/>
              <w:jc w:val="left"/>
              <w:rPr/>
            </w:pPr>
            <w:r>
              <w:rPr/>
              <w:t>End-to-end ingest throughput</w:t>
            </w:r>
          </w:p>
        </w:tc>
        <w:tc>
          <w:tcPr>
            <w:tcW w:w="6469" w:type="dxa"/>
            <w:tcBorders/>
            <w:vAlign w:val="center"/>
          </w:tcPr>
          <w:p>
            <w:pPr>
              <w:pStyle w:val="TableContents"/>
              <w:bidi w:val="0"/>
              <w:spacing w:before="0" w:after="140"/>
              <w:jc w:val="left"/>
              <w:rPr/>
            </w:pPr>
            <w:r>
              <w:rPr/>
              <w:t>47,393 events/s stored with majority write concern (100,000-message burst)</w:t>
            </w:r>
          </w:p>
        </w:tc>
      </w:tr>
      <w:tr>
        <w:trPr/>
        <w:tc>
          <w:tcPr>
            <w:tcW w:w="3047" w:type="dxa"/>
            <w:tcBorders/>
            <w:vAlign w:val="center"/>
          </w:tcPr>
          <w:p>
            <w:pPr>
              <w:pStyle w:val="TableContents"/>
              <w:bidi w:val="0"/>
              <w:spacing w:before="0" w:after="140"/>
              <w:jc w:val="left"/>
              <w:rPr/>
            </w:pPr>
            <w:r>
              <w:rPr/>
              <w:t>Storage after time-series tuning</w:t>
            </w:r>
          </w:p>
        </w:tc>
        <w:tc>
          <w:tcPr>
            <w:tcW w:w="6469" w:type="dxa"/>
            <w:tcBorders/>
            <w:vAlign w:val="center"/>
          </w:tcPr>
          <w:p>
            <w:pPr>
              <w:pStyle w:val="TableContents"/>
              <w:bidi w:val="0"/>
              <w:spacing w:before="0" w:after="140"/>
              <w:jc w:val="left"/>
              <w:rPr/>
            </w:pPr>
            <w:r>
              <w:rPr/>
              <w:t>5.8 MB for 289,602 events, down from 131 MB (a 22× reduction)</w:t>
            </w:r>
          </w:p>
        </w:tc>
      </w:tr>
      <w:tr>
        <w:trPr/>
        <w:tc>
          <w:tcPr>
            <w:tcW w:w="3047" w:type="dxa"/>
            <w:tcBorders/>
            <w:vAlign w:val="center"/>
          </w:tcPr>
          <w:p>
            <w:pPr>
              <w:pStyle w:val="TableContents"/>
              <w:bidi w:val="0"/>
              <w:spacing w:before="0" w:after="140"/>
              <w:jc w:val="left"/>
              <w:rPr/>
            </w:pPr>
            <w:r>
              <w:rPr/>
              <w:t>Typical API response time</w:t>
            </w:r>
          </w:p>
        </w:tc>
        <w:tc>
          <w:tcPr>
            <w:tcW w:w="6469" w:type="dxa"/>
            <w:tcBorders/>
            <w:vAlign w:val="center"/>
          </w:tcPr>
          <w:p>
            <w:pPr>
              <w:pStyle w:val="TableContents"/>
              <w:bidi w:val="0"/>
              <w:spacing w:before="0" w:after="140"/>
              <w:jc w:val="left"/>
              <w:rPr/>
            </w:pPr>
            <w:r>
              <w:rPr/>
              <w:t>3–12 ms for per-home queries and analytics</w:t>
            </w:r>
          </w:p>
        </w:tc>
      </w:tr>
    </w:tbl>
    <w:p>
      <w:pPr>
        <w:pStyle w:val="TextBody"/>
        <w:bidi w:val="0"/>
        <w:spacing w:before="0" w:after="140"/>
        <w:jc w:val="both"/>
        <w:rPr/>
      </w:pPr>
      <w:r>
        <w:rPr/>
        <w:t>Testing also found and fixed a real defect. At default settings, the MQTT broker silently dropped up to 93% of messages during a burst.</w:t>
      </w:r>
    </w:p>
    <w:p>
      <w:pPr>
        <w:pStyle w:val="TextBody"/>
        <w:bidi w:val="0"/>
        <w:spacing w:before="0" w:after="140"/>
        <w:jc w:val="both"/>
        <w:rPr/>
      </w:pPr>
      <w:r>
        <w:rPr>
          <w:rStyle w:val="StrongEmphasis"/>
        </w:rPr>
        <w:t>Recommendation.</w:t>
      </w:r>
      <w:r>
        <w:rPr/>
        <w:t xml:space="preserve"> IoThings should adopt MongoDB for sensor data </w:t>
      </w:r>
      <w:r>
        <w:rPr>
          <w:rStyle w:val="StrongEmphasis"/>
        </w:rPr>
        <w:t>alongside</w:t>
      </w:r>
      <w:r>
        <w:rPr/>
        <w:t>, not instead of, its relational systems ("polyglot persistence"). The replica set delivers the high availability the company asked for, the time-series collection keeps storage costs low, and the flexible document model lets new device types be added without schema migrations. Before production, the priorities are TLS encryption, deploying the three members on separate servers, and per-customer API authentication.</w:t>
      </w:r>
    </w:p>
    <w:p>
      <w:pPr>
        <w:pStyle w:val="Heading2pb"/>
        <w:bidi w:val="0"/>
        <w:jc w:val="left"/>
        <w:rPr/>
      </w:pPr>
      <w:r>
        <w:rPr/>
        <w:t>Contents</w:t>
      </w:r>
    </w:p>
    <w:p>
      <w:pPr>
        <w:pStyle w:val="TextBody"/>
        <w:numPr>
          <w:ilvl w:val="0"/>
          <w:numId w:val="1"/>
        </w:numPr>
        <w:tabs>
          <w:tab w:val="clear" w:pos="1134"/>
          <w:tab w:val="left" w:pos="709" w:leader="none"/>
        </w:tabs>
        <w:bidi w:val="0"/>
        <w:spacing w:before="0" w:after="0"/>
        <w:ind w:left="709" w:hanging="283"/>
        <w:rPr/>
      </w:pPr>
      <w:r>
        <w:rPr/>
        <w:t xml:space="preserve">Introduction </w:t>
      </w:r>
    </w:p>
    <w:p>
      <w:pPr>
        <w:pStyle w:val="TextBody"/>
        <w:numPr>
          <w:ilvl w:val="0"/>
          <w:numId w:val="1"/>
        </w:numPr>
        <w:tabs>
          <w:tab w:val="clear" w:pos="1134"/>
          <w:tab w:val="left" w:pos="709" w:leader="none"/>
        </w:tabs>
        <w:bidi w:val="0"/>
        <w:spacing w:before="0" w:after="0"/>
        <w:ind w:left="709" w:hanging="283"/>
        <w:rPr/>
      </w:pPr>
      <w:r>
        <w:rPr/>
        <w:t xml:space="preserve">Principal Types of NoSQL Databases </w:t>
      </w:r>
    </w:p>
    <w:p>
      <w:pPr>
        <w:pStyle w:val="TextBody"/>
        <w:numPr>
          <w:ilvl w:val="0"/>
          <w:numId w:val="1"/>
        </w:numPr>
        <w:tabs>
          <w:tab w:val="clear" w:pos="1134"/>
          <w:tab w:val="left" w:pos="709" w:leader="none"/>
        </w:tabs>
        <w:bidi w:val="0"/>
        <w:spacing w:before="0" w:after="0"/>
        <w:ind w:left="709" w:hanging="283"/>
        <w:rPr/>
      </w:pPr>
      <w:r>
        <w:rPr/>
        <w:t xml:space="preserve">Critical Comparison: Relational Databases and Document Stores </w:t>
      </w:r>
    </w:p>
    <w:p>
      <w:pPr>
        <w:pStyle w:val="TextBody"/>
        <w:numPr>
          <w:ilvl w:val="0"/>
          <w:numId w:val="1"/>
        </w:numPr>
        <w:tabs>
          <w:tab w:val="clear" w:pos="1134"/>
          <w:tab w:val="left" w:pos="709" w:leader="none"/>
        </w:tabs>
        <w:bidi w:val="0"/>
        <w:spacing w:before="0" w:after="0"/>
        <w:ind w:left="709" w:hanging="283"/>
        <w:rPr/>
      </w:pPr>
      <w:r>
        <w:rPr/>
        <w:t xml:space="preserve">IoThings NoSQL Database Design and Implementation </w:t>
      </w:r>
    </w:p>
    <w:p>
      <w:pPr>
        <w:pStyle w:val="TextBody"/>
        <w:numPr>
          <w:ilvl w:val="0"/>
          <w:numId w:val="1"/>
        </w:numPr>
        <w:tabs>
          <w:tab w:val="clear" w:pos="1134"/>
          <w:tab w:val="left" w:pos="709" w:leader="none"/>
        </w:tabs>
        <w:bidi w:val="0"/>
        <w:spacing w:before="0" w:after="0"/>
        <w:ind w:left="709" w:hanging="283"/>
        <w:rPr/>
      </w:pPr>
      <w:r>
        <w:rPr/>
        <w:t xml:space="preserve">API Implementation and Documentation </w:t>
      </w:r>
    </w:p>
    <w:p>
      <w:pPr>
        <w:pStyle w:val="TextBody"/>
        <w:numPr>
          <w:ilvl w:val="0"/>
          <w:numId w:val="1"/>
        </w:numPr>
        <w:tabs>
          <w:tab w:val="clear" w:pos="1134"/>
          <w:tab w:val="left" w:pos="709" w:leader="none"/>
        </w:tabs>
        <w:bidi w:val="0"/>
        <w:spacing w:before="0" w:after="0"/>
        <w:ind w:left="709" w:hanging="283"/>
        <w:rPr/>
      </w:pPr>
      <w:r>
        <w:rPr/>
        <w:t xml:space="preserve">Summary and Conclusion </w:t>
      </w:r>
    </w:p>
    <w:p>
      <w:pPr>
        <w:pStyle w:val="TextBody"/>
        <w:numPr>
          <w:ilvl w:val="0"/>
          <w:numId w:val="1"/>
        </w:numPr>
        <w:tabs>
          <w:tab w:val="clear" w:pos="1134"/>
          <w:tab w:val="left" w:pos="709" w:leader="none"/>
        </w:tabs>
        <w:bidi w:val="0"/>
        <w:ind w:left="709" w:hanging="283"/>
        <w:rPr/>
      </w:pPr>
      <w:r>
        <w:rPr/>
        <w:t xml:space="preserve">References - Appendix A: Dataset Used for Testing - Appendix B: Test Data and Procedures - Appendix C: Unit Tests - Appendix D: Reproducing the Results </w:t>
      </w:r>
    </w:p>
    <w:p>
      <w:pPr>
        <w:pStyle w:val="TextBody"/>
        <w:bidi w:val="0"/>
        <w:rPr/>
      </w:pPr>
      <w:r>
        <w:rPr>
          <w:rStyle w:val="StrongEmphasis"/>
        </w:rPr>
        <w:t>List of figures</w:t>
      </w:r>
    </w:p>
    <w:p>
      <w:pPr>
        <w:pStyle w:val="TextBody"/>
        <w:numPr>
          <w:ilvl w:val="0"/>
          <w:numId w:val="2"/>
        </w:numPr>
        <w:tabs>
          <w:tab w:val="clear" w:pos="1134"/>
          <w:tab w:val="left" w:pos="709" w:leader="none"/>
        </w:tabs>
        <w:bidi w:val="0"/>
        <w:spacing w:before="0" w:after="0"/>
        <w:ind w:left="709" w:hanging="283"/>
        <w:rPr/>
      </w:pPr>
      <w:r>
        <w:rPr/>
        <w:t xml:space="preserve">Overall system architecture </w:t>
      </w:r>
    </w:p>
    <w:p>
      <w:pPr>
        <w:pStyle w:val="TextBody"/>
        <w:numPr>
          <w:ilvl w:val="0"/>
          <w:numId w:val="2"/>
        </w:numPr>
        <w:tabs>
          <w:tab w:val="clear" w:pos="1134"/>
          <w:tab w:val="left" w:pos="709" w:leader="none"/>
        </w:tabs>
        <w:bidi w:val="0"/>
        <w:spacing w:before="0" w:after="0"/>
        <w:ind w:left="709" w:hanging="283"/>
        <w:rPr/>
      </w:pPr>
      <w:r>
        <w:rPr/>
        <w:t xml:space="preserve">Replica set configuration and status </w:t>
      </w:r>
    </w:p>
    <w:p>
      <w:pPr>
        <w:pStyle w:val="TextBody"/>
        <w:numPr>
          <w:ilvl w:val="0"/>
          <w:numId w:val="2"/>
        </w:numPr>
        <w:tabs>
          <w:tab w:val="clear" w:pos="1134"/>
          <w:tab w:val="left" w:pos="709" w:leader="none"/>
        </w:tabs>
        <w:bidi w:val="0"/>
        <w:spacing w:before="0" w:after="0"/>
        <w:ind w:left="709" w:hanging="283"/>
        <w:rPr/>
      </w:pPr>
      <w:r>
        <w:rPr/>
        <w:t xml:space="preserve">Collections, time-series options and indexes </w:t>
      </w:r>
    </w:p>
    <w:p>
      <w:pPr>
        <w:pStyle w:val="TextBody"/>
        <w:numPr>
          <w:ilvl w:val="0"/>
          <w:numId w:val="2"/>
        </w:numPr>
        <w:tabs>
          <w:tab w:val="clear" w:pos="1134"/>
          <w:tab w:val="left" w:pos="709" w:leader="none"/>
        </w:tabs>
        <w:bidi w:val="0"/>
        <w:spacing w:before="0" w:after="0"/>
        <w:ind w:left="709" w:hanging="283"/>
        <w:rPr/>
      </w:pPr>
      <w:r>
        <w:rPr/>
        <w:t xml:space="preserve">Example document from each collection </w:t>
      </w:r>
    </w:p>
    <w:p>
      <w:pPr>
        <w:pStyle w:val="TextBody"/>
        <w:numPr>
          <w:ilvl w:val="0"/>
          <w:numId w:val="2"/>
        </w:numPr>
        <w:tabs>
          <w:tab w:val="clear" w:pos="1134"/>
          <w:tab w:val="left" w:pos="709" w:leader="none"/>
        </w:tabs>
        <w:bidi w:val="0"/>
        <w:spacing w:before="0" w:after="0"/>
        <w:ind w:left="709" w:hanging="283"/>
        <w:rPr/>
      </w:pPr>
      <w:r>
        <w:rPr/>
        <w:t xml:space="preserve">Storage for the same events under four designs </w:t>
      </w:r>
    </w:p>
    <w:p>
      <w:pPr>
        <w:pStyle w:val="TextBody"/>
        <w:numPr>
          <w:ilvl w:val="0"/>
          <w:numId w:val="2"/>
        </w:numPr>
        <w:tabs>
          <w:tab w:val="clear" w:pos="1134"/>
          <w:tab w:val="left" w:pos="709" w:leader="none"/>
        </w:tabs>
        <w:bidi w:val="0"/>
        <w:spacing w:before="0" w:after="0"/>
        <w:ind w:left="709" w:hanging="283"/>
        <w:rPr/>
      </w:pPr>
      <w:r>
        <w:rPr/>
        <w:t xml:space="preserve">Role-based access control test </w:t>
      </w:r>
    </w:p>
    <w:p>
      <w:pPr>
        <w:pStyle w:val="TextBody"/>
        <w:numPr>
          <w:ilvl w:val="0"/>
          <w:numId w:val="2"/>
        </w:numPr>
        <w:tabs>
          <w:tab w:val="clear" w:pos="1134"/>
          <w:tab w:val="left" w:pos="709" w:leader="none"/>
        </w:tabs>
        <w:bidi w:val="0"/>
        <w:spacing w:before="0" w:after="0"/>
        <w:ind w:left="709" w:hanging="283"/>
        <w:rPr/>
      </w:pPr>
      <w:r>
        <w:rPr/>
        <w:t xml:space="preserve">MQTT safety alert and message validation </w:t>
      </w:r>
    </w:p>
    <w:p>
      <w:pPr>
        <w:pStyle w:val="TextBody"/>
        <w:numPr>
          <w:ilvl w:val="0"/>
          <w:numId w:val="2"/>
        </w:numPr>
        <w:tabs>
          <w:tab w:val="clear" w:pos="1134"/>
          <w:tab w:val="left" w:pos="709" w:leader="none"/>
        </w:tabs>
        <w:bidi w:val="0"/>
        <w:spacing w:before="0" w:after="0"/>
        <w:ind w:left="709" w:hanging="283"/>
        <w:rPr/>
      </w:pPr>
      <w:r>
        <w:rPr/>
        <w:t xml:space="preserve">CRUD, aggregation and index-usage demonstration </w:t>
      </w:r>
    </w:p>
    <w:p>
      <w:pPr>
        <w:pStyle w:val="TextBody"/>
        <w:numPr>
          <w:ilvl w:val="0"/>
          <w:numId w:val="2"/>
        </w:numPr>
        <w:tabs>
          <w:tab w:val="clear" w:pos="1134"/>
          <w:tab w:val="left" w:pos="709" w:leader="none"/>
        </w:tabs>
        <w:bidi w:val="0"/>
        <w:spacing w:before="0" w:after="0"/>
        <w:ind w:left="709" w:hanging="283"/>
        <w:rPr/>
      </w:pPr>
      <w:r>
        <w:rPr/>
        <w:t xml:space="preserve">Failover test output </w:t>
      </w:r>
    </w:p>
    <w:p>
      <w:pPr>
        <w:pStyle w:val="TextBody"/>
        <w:numPr>
          <w:ilvl w:val="0"/>
          <w:numId w:val="2"/>
        </w:numPr>
        <w:tabs>
          <w:tab w:val="clear" w:pos="1134"/>
          <w:tab w:val="left" w:pos="709" w:leader="none"/>
        </w:tabs>
        <w:bidi w:val="0"/>
        <w:spacing w:before="0" w:after="0"/>
        <w:ind w:left="709" w:hanging="283"/>
        <w:rPr/>
      </w:pPr>
      <w:r>
        <w:rPr/>
        <w:t xml:space="preserve">Swagger UI API documentation </w:t>
      </w:r>
    </w:p>
    <w:p>
      <w:pPr>
        <w:pStyle w:val="TextBody"/>
        <w:numPr>
          <w:ilvl w:val="0"/>
          <w:numId w:val="2"/>
        </w:numPr>
        <w:tabs>
          <w:tab w:val="clear" w:pos="1134"/>
          <w:tab w:val="left" w:pos="709" w:leader="none"/>
        </w:tabs>
        <w:bidi w:val="0"/>
        <w:spacing w:before="0" w:after="0"/>
        <w:ind w:left="709" w:hanging="283"/>
        <w:rPr/>
      </w:pPr>
      <w:r>
        <w:rPr/>
        <w:t xml:space="preserve">Example API responses </w:t>
      </w:r>
    </w:p>
    <w:p>
      <w:pPr>
        <w:pStyle w:val="TextBody"/>
        <w:numPr>
          <w:ilvl w:val="0"/>
          <w:numId w:val="2"/>
        </w:numPr>
        <w:tabs>
          <w:tab w:val="clear" w:pos="1134"/>
          <w:tab w:val="left" w:pos="709" w:leader="none"/>
        </w:tabs>
        <w:bidi w:val="0"/>
        <w:ind w:left="709" w:hanging="283"/>
        <w:rPr/>
      </w:pPr>
      <w:r>
        <w:rPr/>
        <w:t xml:space="preserve">Occupancy pattern derived by the API </w:t>
      </w:r>
    </w:p>
    <w:p>
      <w:pPr>
        <w:pStyle w:val="Heading2pb"/>
        <w:bidi w:val="0"/>
        <w:jc w:val="left"/>
        <w:rPr/>
      </w:pPr>
      <w:r>
        <w:rPr/>
        <w:t>1. Introduction</w:t>
      </w:r>
    </w:p>
    <w:p>
      <w:pPr>
        <w:pStyle w:val="TextBody"/>
        <w:bidi w:val="0"/>
        <w:spacing w:before="0" w:after="140"/>
        <w:jc w:val="both"/>
        <w:rPr/>
      </w:pPr>
      <w:r>
        <w:rPr/>
        <w:t>IoThings Home Automation Solutions is a UK start-up that fits homes with smart sensors and actuators: door locks and contacts, lights and switches, motorised blinds, thermostats, temperature and humidity sensors, motion detectors, smoke alarms and smart plugs. Each device reports its activations as MQTT messages. IoThings wants to use this data for three purposes:</w:t>
      </w:r>
    </w:p>
    <w:p>
      <w:pPr>
        <w:pStyle w:val="TextBody"/>
        <w:numPr>
          <w:ilvl w:val="0"/>
          <w:numId w:val="3"/>
        </w:numPr>
        <w:tabs>
          <w:tab w:val="clear" w:pos="1134"/>
          <w:tab w:val="left" w:pos="709" w:leader="none"/>
        </w:tabs>
        <w:bidi w:val="0"/>
        <w:spacing w:before="0" w:after="0"/>
        <w:ind w:left="709" w:hanging="283"/>
        <w:rPr/>
      </w:pPr>
      <w:r>
        <w:rPr/>
        <w:t xml:space="preserve">to </w:t>
      </w:r>
      <w:r>
        <w:rPr>
          <w:rStyle w:val="StrongEmphasis"/>
        </w:rPr>
        <w:t>predict household activity</w:t>
      </w:r>
      <w:r>
        <w:rPr/>
        <w:t xml:space="preserve">, for example when occupants wake, leave and return </w:t>
      </w:r>
    </w:p>
    <w:p>
      <w:pPr>
        <w:pStyle w:val="TextBody"/>
        <w:numPr>
          <w:ilvl w:val="0"/>
          <w:numId w:val="3"/>
        </w:numPr>
        <w:tabs>
          <w:tab w:val="clear" w:pos="1134"/>
          <w:tab w:val="left" w:pos="709" w:leader="none"/>
        </w:tabs>
        <w:bidi w:val="0"/>
        <w:spacing w:before="0" w:after="0"/>
        <w:ind w:left="709" w:hanging="283"/>
        <w:rPr/>
      </w:pPr>
      <w:r>
        <w:rPr/>
        <w:t xml:space="preserve">to </w:t>
      </w:r>
      <w:r>
        <w:rPr>
          <w:rStyle w:val="StrongEmphasis"/>
        </w:rPr>
        <w:t>recommend changes</w:t>
      </w:r>
      <w:r>
        <w:rPr/>
        <w:t xml:space="preserve"> to owners, for example on energy use and comfort </w:t>
      </w:r>
    </w:p>
    <w:p>
      <w:pPr>
        <w:pStyle w:val="TextBody"/>
        <w:numPr>
          <w:ilvl w:val="0"/>
          <w:numId w:val="3"/>
        </w:numPr>
        <w:tabs>
          <w:tab w:val="clear" w:pos="1134"/>
          <w:tab w:val="left" w:pos="709" w:leader="none"/>
        </w:tabs>
        <w:bidi w:val="0"/>
        <w:ind w:left="709" w:hanging="283"/>
        <w:rPr/>
      </w:pPr>
      <w:r>
        <w:rPr/>
        <w:t xml:space="preserve">to </w:t>
      </w:r>
      <w:r>
        <w:rPr>
          <w:rStyle w:val="StrongEmphasis"/>
        </w:rPr>
        <w:t>keep homes and occupants safe</w:t>
      </w:r>
      <w:r>
        <w:rPr/>
        <w:t xml:space="preserve">, for example by sending a notification when a smoke alarm triggers or a door is unlocked at night </w:t>
      </w:r>
    </w:p>
    <w:p>
      <w:pPr>
        <w:pStyle w:val="TextBody"/>
        <w:bidi w:val="0"/>
        <w:rPr/>
      </w:pPr>
      <w:r>
        <w:rPr/>
        <w:t>The company's existing systems (ERP, CRM, financial, order processing/sales and logistics) are relational. They suit structured, transactional business records, but not a high-volume, append-only stream of time-stamped sensor readings from many device types. IoThings has asked for a new NoSQL core database for sensor-activation data. It has also asked for:</w:t>
      </w:r>
    </w:p>
    <w:p>
      <w:pPr>
        <w:pStyle w:val="TextBody"/>
        <w:numPr>
          <w:ilvl w:val="0"/>
          <w:numId w:val="4"/>
        </w:numPr>
        <w:tabs>
          <w:tab w:val="clear" w:pos="1134"/>
          <w:tab w:val="left" w:pos="709" w:leader="none"/>
        </w:tabs>
        <w:bidi w:val="0"/>
        <w:spacing w:before="0" w:after="0"/>
        <w:ind w:left="709" w:hanging="283"/>
        <w:rPr/>
      </w:pPr>
      <w:r>
        <w:rPr/>
        <w:t xml:space="preserve">a "three cluster" MongoDB system, because it is concerned about data security and availability </w:t>
      </w:r>
    </w:p>
    <w:p>
      <w:pPr>
        <w:pStyle w:val="TextBody"/>
        <w:numPr>
          <w:ilvl w:val="0"/>
          <w:numId w:val="4"/>
        </w:numPr>
        <w:tabs>
          <w:tab w:val="clear" w:pos="1134"/>
          <w:tab w:val="left" w:pos="709" w:leader="none"/>
        </w:tabs>
        <w:bidi w:val="0"/>
        <w:spacing w:before="0" w:after="0"/>
        <w:ind w:left="709" w:hanging="283"/>
        <w:rPr/>
      </w:pPr>
      <w:r>
        <w:rPr/>
        <w:t xml:space="preserve">a simple Node.js server that receives MQTT messages and stores them in MongoDB </w:t>
      </w:r>
    </w:p>
    <w:p>
      <w:pPr>
        <w:pStyle w:val="TextBody"/>
        <w:numPr>
          <w:ilvl w:val="0"/>
          <w:numId w:val="4"/>
        </w:numPr>
        <w:tabs>
          <w:tab w:val="clear" w:pos="1134"/>
          <w:tab w:val="left" w:pos="709" w:leader="none"/>
        </w:tabs>
        <w:bidi w:val="0"/>
        <w:ind w:left="709" w:hanging="283"/>
        <w:rPr/>
      </w:pPr>
      <w:r>
        <w:rPr/>
        <w:t xml:space="preserve">an API for accessing and processing the stored data </w:t>
      </w:r>
    </w:p>
    <w:p>
      <w:pPr>
        <w:pStyle w:val="TextBody"/>
        <w:bidi w:val="0"/>
        <w:rPr/>
      </w:pPr>
      <w:r>
        <w:rPr/>
        <w:t xml:space="preserve">As agreed, the scope is the </w:t>
      </w:r>
      <w:r>
        <w:rPr>
          <w:rStyle w:val="StrongEmphasis"/>
        </w:rPr>
        <w:t>sensors database</w:t>
      </w:r>
      <w:r>
        <w:rPr/>
        <w:t xml:space="preserve"> only. The company's real data is protected by UK GDPR, so all testing uses a synthetic dataset built to mimic real household behaviour (section 4.7 and Appendix A).</w:t>
      </w:r>
    </w:p>
    <w:p>
      <w:pPr>
        <w:pStyle w:val="TextBody"/>
        <w:bidi w:val="0"/>
        <w:spacing w:before="0" w:after="140"/>
        <w:jc w:val="both"/>
        <w:rPr/>
      </w:pPr>
      <w:r>
        <w:rPr/>
        <w:t>The rest of this report is organised as follows:</w:t>
      </w:r>
    </w:p>
    <w:p>
      <w:pPr>
        <w:pStyle w:val="TextBody"/>
        <w:numPr>
          <w:ilvl w:val="0"/>
          <w:numId w:val="5"/>
        </w:numPr>
        <w:tabs>
          <w:tab w:val="clear" w:pos="1134"/>
          <w:tab w:val="left" w:pos="709" w:leader="none"/>
        </w:tabs>
        <w:bidi w:val="0"/>
        <w:spacing w:before="0" w:after="0"/>
        <w:ind w:left="709" w:hanging="283"/>
        <w:rPr/>
      </w:pPr>
      <w:r>
        <w:rPr>
          <w:rStyle w:val="StrongEmphasis"/>
        </w:rPr>
        <w:t>Section 2</w:t>
      </w:r>
      <w:r>
        <w:rPr/>
        <w:t xml:space="preserve"> explains the four principal types of NoSQL database and the theory behind them. </w:t>
      </w:r>
    </w:p>
    <w:p>
      <w:pPr>
        <w:pStyle w:val="TextBody"/>
        <w:numPr>
          <w:ilvl w:val="0"/>
          <w:numId w:val="5"/>
        </w:numPr>
        <w:tabs>
          <w:tab w:val="clear" w:pos="1134"/>
          <w:tab w:val="left" w:pos="709" w:leader="none"/>
        </w:tabs>
        <w:bidi w:val="0"/>
        <w:spacing w:before="0" w:after="0"/>
        <w:ind w:left="709" w:hanging="283"/>
        <w:rPr/>
      </w:pPr>
      <w:r>
        <w:rPr>
          <w:rStyle w:val="StrongEmphasis"/>
        </w:rPr>
        <w:t>Section 3</w:t>
      </w:r>
      <w:r>
        <w:rPr/>
        <w:t xml:space="preserve"> critically compares relational databases with document stores in general terms, so that IoThings can apply the analysis to any vendor. </w:t>
      </w:r>
    </w:p>
    <w:p>
      <w:pPr>
        <w:pStyle w:val="TextBody"/>
        <w:numPr>
          <w:ilvl w:val="0"/>
          <w:numId w:val="5"/>
        </w:numPr>
        <w:tabs>
          <w:tab w:val="clear" w:pos="1134"/>
          <w:tab w:val="left" w:pos="709" w:leader="none"/>
        </w:tabs>
        <w:bidi w:val="0"/>
        <w:spacing w:before="0" w:after="0"/>
        <w:ind w:left="709" w:hanging="283"/>
        <w:rPr/>
      </w:pPr>
      <w:r>
        <w:rPr>
          <w:rStyle w:val="StrongEmphasis"/>
        </w:rPr>
        <w:t>Section 4</w:t>
      </w:r>
      <w:r>
        <w:rPr/>
        <w:t xml:space="preserve"> presents the design, installation, configuration and testing of the MongoDB system, including measured performance and failover results. </w:t>
      </w:r>
    </w:p>
    <w:p>
      <w:pPr>
        <w:pStyle w:val="TextBody"/>
        <w:numPr>
          <w:ilvl w:val="0"/>
          <w:numId w:val="5"/>
        </w:numPr>
        <w:tabs>
          <w:tab w:val="clear" w:pos="1134"/>
          <w:tab w:val="left" w:pos="709" w:leader="none"/>
        </w:tabs>
        <w:bidi w:val="0"/>
        <w:spacing w:before="0" w:after="0"/>
        <w:ind w:left="709" w:hanging="283"/>
        <w:rPr/>
      </w:pPr>
      <w:r>
        <w:rPr>
          <w:rStyle w:val="StrongEmphasis"/>
        </w:rPr>
        <w:t>Section 5</w:t>
      </w:r>
      <w:r>
        <w:rPr/>
        <w:t xml:space="preserve"> documents the REST API. </w:t>
      </w:r>
    </w:p>
    <w:p>
      <w:pPr>
        <w:pStyle w:val="TextBody"/>
        <w:numPr>
          <w:ilvl w:val="0"/>
          <w:numId w:val="5"/>
        </w:numPr>
        <w:tabs>
          <w:tab w:val="clear" w:pos="1134"/>
          <w:tab w:val="left" w:pos="709" w:leader="none"/>
        </w:tabs>
        <w:bidi w:val="0"/>
        <w:ind w:left="709" w:hanging="283"/>
        <w:rPr/>
      </w:pPr>
      <w:r>
        <w:rPr>
          <w:rStyle w:val="StrongEmphasis"/>
        </w:rPr>
        <w:t>Section 6</w:t>
      </w:r>
      <w:r>
        <w:rPr/>
        <w:t xml:space="preserve"> concludes with a recommendation, the limitations and future work. </w:t>
      </w:r>
    </w:p>
    <w:p>
      <w:pPr>
        <w:pStyle w:val="TextBody"/>
        <w:bidi w:val="0"/>
        <w:rPr/>
      </w:pPr>
      <w:r>
        <w:rPr/>
        <w:drawing>
          <wp:inline distT="0" distB="0" distL="0" distR="0">
            <wp:extent cx="5715000" cy="29527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15000" cy="2952750"/>
                    </a:xfrm>
                    <a:prstGeom prst="rect">
                      <a:avLst/>
                    </a:prstGeom>
                  </pic:spPr>
                </pic:pic>
              </a:graphicData>
            </a:graphic>
          </wp:inline>
        </w:drawing>
      </w:r>
      <w:r>
        <w:rPr/>
        <w:t xml:space="preserve">Figure 1: Overall system architecture. Sensors publish over MQTT to the broker; the ingest service validates and stores events in the three-member replica set; the REST API serves applications. The existing relational systems remain unchanged and are linked by a customer reference. </w:t>
      </w:r>
    </w:p>
    <w:p>
      <w:pPr>
        <w:pStyle w:val="Heading2pb"/>
        <w:bidi w:val="0"/>
        <w:jc w:val="left"/>
        <w:rPr/>
      </w:pPr>
      <w:r>
        <w:rPr/>
        <w:t>2. Principal Types of NoSQL Databases</w:t>
      </w:r>
    </w:p>
    <w:p>
      <w:pPr>
        <w:pStyle w:val="Heading3"/>
        <w:bidi w:val="0"/>
        <w:jc w:val="left"/>
        <w:rPr/>
      </w:pPr>
      <w:r>
        <w:rPr/>
        <w:t>2.1 What "NoSQL" means and why it emerged</w:t>
      </w:r>
    </w:p>
    <w:p>
      <w:pPr>
        <w:pStyle w:val="TextBody"/>
        <w:bidi w:val="0"/>
        <w:spacing w:before="0" w:after="140"/>
        <w:jc w:val="both"/>
        <w:rPr/>
      </w:pPr>
      <w:r>
        <w:rPr/>
        <w:t xml:space="preserve">"NoSQL" is best read as </w:t>
      </w:r>
      <w:r>
        <w:rPr>
          <w:rStyle w:val="StrongEmphasis"/>
        </w:rPr>
        <w:t>"Not Only SQL"</w:t>
      </w:r>
      <w:r>
        <w:rPr/>
        <w:t>. It is an umbrella term for databases that do not use the relational table model as their primary way of storing data (Sadalage and Fowler, 2012). It does not reject SQL or relational ideas. Many NoSQL products now offer SQL-like query languages, secondary indexes and ACID transactions. NoSQL systems grew from the needs of large web companies in the 2000s. Google's Bigtable (Chang et al., 2006) and Amazon's Dynamo (DeCandia et al., 2007) were built for data volumes and availability targets that a single relational server could not meet economically. Three pressures drove the movement (Cattell, 2011):</w:t>
      </w:r>
    </w:p>
    <w:p>
      <w:pPr>
        <w:pStyle w:val="TextBody"/>
        <w:numPr>
          <w:ilvl w:val="0"/>
          <w:numId w:val="6"/>
        </w:numPr>
        <w:tabs>
          <w:tab w:val="clear" w:pos="1134"/>
          <w:tab w:val="left" w:pos="709" w:leader="none"/>
        </w:tabs>
        <w:bidi w:val="0"/>
        <w:spacing w:before="0" w:after="0"/>
        <w:ind w:left="709" w:hanging="283"/>
        <w:rPr/>
      </w:pPr>
      <w:r>
        <w:rPr>
          <w:rStyle w:val="StrongEmphasis"/>
        </w:rPr>
        <w:t>Scale.</w:t>
      </w:r>
      <w:r>
        <w:rPr/>
        <w:t xml:space="preserve"> Spreading data and load across many cheap servers ("scaling out") instead of buying ever larger single machines ("scaling up"). </w:t>
      </w:r>
    </w:p>
    <w:p>
      <w:pPr>
        <w:pStyle w:val="TextBody"/>
        <w:numPr>
          <w:ilvl w:val="0"/>
          <w:numId w:val="6"/>
        </w:numPr>
        <w:tabs>
          <w:tab w:val="clear" w:pos="1134"/>
          <w:tab w:val="left" w:pos="709" w:leader="none"/>
        </w:tabs>
        <w:bidi w:val="0"/>
        <w:spacing w:before="0" w:after="0"/>
        <w:ind w:left="709" w:hanging="283"/>
        <w:rPr/>
      </w:pPr>
      <w:r>
        <w:rPr>
          <w:rStyle w:val="StrongEmphasis"/>
        </w:rPr>
        <w:t>Variety.</w:t>
      </w:r>
      <w:r>
        <w:rPr/>
        <w:t xml:space="preserve"> Storing data whose structure differs between records or changes often, without costly schema migrations. </w:t>
      </w:r>
    </w:p>
    <w:p>
      <w:pPr>
        <w:pStyle w:val="TextBody"/>
        <w:numPr>
          <w:ilvl w:val="0"/>
          <w:numId w:val="6"/>
        </w:numPr>
        <w:tabs>
          <w:tab w:val="clear" w:pos="1134"/>
          <w:tab w:val="left" w:pos="709" w:leader="none"/>
        </w:tabs>
        <w:bidi w:val="0"/>
        <w:ind w:left="709" w:hanging="283"/>
        <w:rPr/>
      </w:pPr>
      <w:r>
        <w:rPr>
          <w:rStyle w:val="StrongEmphasis"/>
        </w:rPr>
        <w:t>Availability.</w:t>
      </w:r>
      <w:r>
        <w:rPr/>
        <w:t xml:space="preserve"> Continuing to accept reads and writes when individual servers or network links fail. </w:t>
      </w:r>
    </w:p>
    <w:p>
      <w:pPr>
        <w:pStyle w:val="TextBody"/>
        <w:bidi w:val="0"/>
        <w:rPr/>
      </w:pPr>
      <w:r>
        <w:rPr/>
        <w:t>NoSQL databases are usually grouped into four families. Each makes different trade-offs, and the right choice depends on how the data will be accessed.</w:t>
      </w:r>
    </w:p>
    <w:p>
      <w:pPr>
        <w:pStyle w:val="Heading3"/>
        <w:bidi w:val="0"/>
        <w:jc w:val="left"/>
        <w:rPr/>
      </w:pPr>
      <w:r>
        <w:rPr/>
        <w:t>2.2 Key-value stores</w:t>
      </w:r>
    </w:p>
    <w:p>
      <w:pPr>
        <w:pStyle w:val="TextBody"/>
        <w:bidi w:val="0"/>
        <w:spacing w:before="0" w:after="140"/>
        <w:jc w:val="both"/>
        <w:rPr/>
      </w:pPr>
      <w:r>
        <w:rPr/>
        <w:t>A key-value store is the simplest model: a very large distributed hash table. Each item is an opaque value (a string, number or binary object) stored and retrieved by a unique key. Examples include Redis, Amazon DynamoDB and Riak. Dynamo showed how such a store can remain writable during failures by replicating each key across several nodes and resolving conflicts later (DeCandia et al., 2007).</w:t>
      </w:r>
    </w:p>
    <w:p>
      <w:pPr>
        <w:pStyle w:val="TextBody"/>
        <w:numPr>
          <w:ilvl w:val="0"/>
          <w:numId w:val="7"/>
        </w:numPr>
        <w:tabs>
          <w:tab w:val="clear" w:pos="1134"/>
          <w:tab w:val="left" w:pos="709" w:leader="none"/>
        </w:tabs>
        <w:bidi w:val="0"/>
        <w:spacing w:before="0" w:after="0"/>
        <w:ind w:left="709" w:hanging="283"/>
        <w:rPr/>
      </w:pPr>
      <w:r>
        <w:rPr>
          <w:rStyle w:val="StrongEmphasis"/>
        </w:rPr>
        <w:t>Strengths:</w:t>
      </w:r>
      <w:r>
        <w:rPr/>
        <w:t xml:space="preserve"> extremely fast lookups by key (often sub-millisecond); straightforward horizontal partitioning; a simple programming interface; ideal for caching and session state. </w:t>
      </w:r>
    </w:p>
    <w:p>
      <w:pPr>
        <w:pStyle w:val="TextBody"/>
        <w:numPr>
          <w:ilvl w:val="0"/>
          <w:numId w:val="7"/>
        </w:numPr>
        <w:tabs>
          <w:tab w:val="clear" w:pos="1134"/>
          <w:tab w:val="left" w:pos="709" w:leader="none"/>
        </w:tabs>
        <w:bidi w:val="0"/>
        <w:spacing w:before="0" w:after="0"/>
        <w:ind w:left="709" w:hanging="283"/>
        <w:rPr/>
      </w:pPr>
      <w:r>
        <w:rPr>
          <w:rStyle w:val="StrongEmphasis"/>
        </w:rPr>
        <w:t>Weaknesses:</w:t>
      </w:r>
      <w:r>
        <w:rPr/>
        <w:t xml:space="preserve"> the database cannot query or index inside the value, so questions such as "all devices in Birmingham" need extra structures maintained by the application; relationships between items are not supported. </w:t>
      </w:r>
    </w:p>
    <w:p>
      <w:pPr>
        <w:pStyle w:val="TextBody"/>
        <w:numPr>
          <w:ilvl w:val="0"/>
          <w:numId w:val="7"/>
        </w:numPr>
        <w:tabs>
          <w:tab w:val="clear" w:pos="1134"/>
          <w:tab w:val="left" w:pos="709" w:leader="none"/>
        </w:tabs>
        <w:bidi w:val="0"/>
        <w:ind w:left="709" w:hanging="283"/>
        <w:rPr/>
      </w:pPr>
      <w:r>
        <w:rPr>
          <w:rStyle w:val="StrongEmphasis"/>
        </w:rPr>
        <w:t>Relevance to IoThings:</w:t>
      </w:r>
      <w:r>
        <w:rPr/>
        <w:t xml:space="preserve"> a good fit for a cache of each device's latest state, or for per-device rate limiting. It is unsuitable as the main analytical store. </w:t>
      </w:r>
    </w:p>
    <w:p>
      <w:pPr>
        <w:pStyle w:val="Heading3"/>
        <w:bidi w:val="0"/>
        <w:jc w:val="left"/>
        <w:rPr/>
      </w:pPr>
      <w:r>
        <w:rPr/>
        <w:t>2.3 Document stores</w:t>
      </w:r>
    </w:p>
    <w:p>
      <w:pPr>
        <w:pStyle w:val="TextBody"/>
        <w:bidi w:val="0"/>
        <w:spacing w:before="0" w:after="140"/>
        <w:jc w:val="both"/>
        <w:rPr/>
      </w:pPr>
      <w:r>
        <w:rPr/>
        <w:t xml:space="preserve">A document store also stores items under a key, but the value is a </w:t>
      </w:r>
      <w:r>
        <w:rPr>
          <w:rStyle w:val="StrongEmphasis"/>
        </w:rPr>
        <w:t>structured, self-describing document</w:t>
      </w:r>
      <w:r>
        <w:rPr/>
        <w:t>, usually JSON or a binary equivalent such as MongoDB's BSON. Documents can contain nested objects and arrays. Because the database understands their structure, it can index and query any field. Examples include MongoDB, Couchbase and Amazon DocumentDB.</w:t>
      </w:r>
    </w:p>
    <w:p>
      <w:pPr>
        <w:pStyle w:val="TextBody"/>
        <w:numPr>
          <w:ilvl w:val="0"/>
          <w:numId w:val="8"/>
        </w:numPr>
        <w:tabs>
          <w:tab w:val="clear" w:pos="1134"/>
          <w:tab w:val="left" w:pos="709" w:leader="none"/>
        </w:tabs>
        <w:bidi w:val="0"/>
        <w:spacing w:before="0" w:after="0"/>
        <w:ind w:left="709" w:hanging="283"/>
        <w:rPr/>
      </w:pPr>
      <w:r>
        <w:rPr>
          <w:rStyle w:val="StrongEmphasis"/>
        </w:rPr>
        <w:t>Strengths:</w:t>
      </w:r>
      <w:r>
        <w:rPr/>
        <w:t xml:space="preserve"> </w:t>
      </w:r>
    </w:p>
    <w:p>
      <w:pPr>
        <w:pStyle w:val="TextBody"/>
        <w:numPr>
          <w:ilvl w:val="0"/>
          <w:numId w:val="8"/>
        </w:numPr>
        <w:tabs>
          <w:tab w:val="clear" w:pos="1134"/>
          <w:tab w:val="left" w:pos="709" w:leader="none"/>
        </w:tabs>
        <w:bidi w:val="0"/>
        <w:spacing w:before="0" w:after="0"/>
        <w:ind w:left="709" w:hanging="283"/>
        <w:rPr/>
      </w:pPr>
      <w:r>
        <w:rPr/>
        <w:t xml:space="preserve">A document maps naturally onto objects in application code, so no object-relational mapping layer is needed. </w:t>
      </w:r>
    </w:p>
    <w:p>
      <w:pPr>
        <w:pStyle w:val="TextBody"/>
        <w:numPr>
          <w:ilvl w:val="0"/>
          <w:numId w:val="8"/>
        </w:numPr>
        <w:tabs>
          <w:tab w:val="clear" w:pos="1134"/>
          <w:tab w:val="left" w:pos="709" w:leader="none"/>
        </w:tabs>
        <w:bidi w:val="0"/>
        <w:spacing w:before="0" w:after="0"/>
        <w:ind w:left="709" w:hanging="283"/>
        <w:rPr/>
      </w:pPr>
      <w:r>
        <w:rPr/>
        <w:t xml:space="preserve">Related data that is read together can be stored together, avoiding joins. </w:t>
      </w:r>
    </w:p>
    <w:p>
      <w:pPr>
        <w:pStyle w:val="TextBody"/>
        <w:numPr>
          <w:ilvl w:val="0"/>
          <w:numId w:val="8"/>
        </w:numPr>
        <w:tabs>
          <w:tab w:val="clear" w:pos="1134"/>
          <w:tab w:val="left" w:pos="709" w:leader="none"/>
        </w:tabs>
        <w:bidi w:val="0"/>
        <w:spacing w:before="0" w:after="0"/>
        <w:ind w:left="709" w:hanging="283"/>
        <w:rPr/>
      </w:pPr>
      <w:r>
        <w:rPr/>
        <w:t xml:space="preserve">The schema is flexible: documents in one collection can differ, which suits evolving products. </w:t>
      </w:r>
    </w:p>
    <w:p>
      <w:pPr>
        <w:pStyle w:val="TextBody"/>
        <w:numPr>
          <w:ilvl w:val="0"/>
          <w:numId w:val="8"/>
        </w:numPr>
        <w:tabs>
          <w:tab w:val="clear" w:pos="1134"/>
          <w:tab w:val="left" w:pos="709" w:leader="none"/>
        </w:tabs>
        <w:bidi w:val="0"/>
        <w:spacing w:before="0" w:after="0"/>
        <w:ind w:left="709" w:hanging="283"/>
        <w:rPr/>
      </w:pPr>
      <w:r>
        <w:rPr/>
        <w:t xml:space="preserve">Queries and aggregations are rich, and replication and sharding are built in. </w:t>
      </w:r>
    </w:p>
    <w:p>
      <w:pPr>
        <w:pStyle w:val="TextBody"/>
        <w:numPr>
          <w:ilvl w:val="0"/>
          <w:numId w:val="8"/>
        </w:numPr>
        <w:tabs>
          <w:tab w:val="clear" w:pos="1134"/>
          <w:tab w:val="left" w:pos="709" w:leader="none"/>
        </w:tabs>
        <w:bidi w:val="0"/>
        <w:spacing w:before="0" w:after="0"/>
        <w:ind w:left="709" w:hanging="283"/>
        <w:rPr/>
      </w:pPr>
      <w:r>
        <w:rPr>
          <w:rStyle w:val="StrongEmphasis"/>
        </w:rPr>
        <w:t>Weaknesses:</w:t>
      </w:r>
      <w:r>
        <w:rPr/>
        <w:t xml:space="preserve"> </w:t>
      </w:r>
    </w:p>
    <w:p>
      <w:pPr>
        <w:pStyle w:val="TextBody"/>
        <w:numPr>
          <w:ilvl w:val="0"/>
          <w:numId w:val="8"/>
        </w:numPr>
        <w:tabs>
          <w:tab w:val="clear" w:pos="1134"/>
          <w:tab w:val="left" w:pos="709" w:leader="none"/>
        </w:tabs>
        <w:bidi w:val="0"/>
        <w:spacing w:before="0" w:after="0"/>
        <w:ind w:left="709" w:hanging="283"/>
        <w:rPr/>
      </w:pPr>
      <w:r>
        <w:rPr/>
        <w:t xml:space="preserve">Data is often duplicated (denormalised) for read speed, so the application must keep the copies consistent. </w:t>
      </w:r>
    </w:p>
    <w:p>
      <w:pPr>
        <w:pStyle w:val="TextBody"/>
        <w:numPr>
          <w:ilvl w:val="0"/>
          <w:numId w:val="8"/>
        </w:numPr>
        <w:tabs>
          <w:tab w:val="clear" w:pos="1134"/>
          <w:tab w:val="left" w:pos="709" w:leader="none"/>
        </w:tabs>
        <w:bidi w:val="0"/>
        <w:spacing w:before="0" w:after="0"/>
        <w:ind w:left="709" w:hanging="283"/>
        <w:rPr/>
      </w:pPr>
      <w:r>
        <w:rPr/>
        <w:t xml:space="preserve">Relationships between many entities (many-to-many joins) are less natural than in SQL. </w:t>
      </w:r>
    </w:p>
    <w:p>
      <w:pPr>
        <w:pStyle w:val="TextBody"/>
        <w:numPr>
          <w:ilvl w:val="0"/>
          <w:numId w:val="8"/>
        </w:numPr>
        <w:tabs>
          <w:tab w:val="clear" w:pos="1134"/>
          <w:tab w:val="left" w:pos="709" w:leader="none"/>
        </w:tabs>
        <w:bidi w:val="0"/>
        <w:spacing w:before="0" w:after="0"/>
        <w:ind w:left="709" w:hanging="283"/>
        <w:rPr/>
      </w:pPr>
      <w:r>
        <w:rPr/>
        <w:t xml:space="preserve">Flexibility can lead to inconsistent data unless schema validation is applied. </w:t>
      </w:r>
    </w:p>
    <w:p>
      <w:pPr>
        <w:pStyle w:val="TextBody"/>
        <w:numPr>
          <w:ilvl w:val="0"/>
          <w:numId w:val="8"/>
        </w:numPr>
        <w:tabs>
          <w:tab w:val="clear" w:pos="1134"/>
          <w:tab w:val="left" w:pos="709" w:leader="none"/>
        </w:tabs>
        <w:bidi w:val="0"/>
        <w:ind w:left="709" w:hanging="283"/>
        <w:rPr/>
      </w:pPr>
      <w:r>
        <w:rPr>
          <w:rStyle w:val="StrongEmphasis"/>
        </w:rPr>
        <w:t>Relevance to IoThings:</w:t>
      </w:r>
      <w:r>
        <w:rPr/>
        <w:t xml:space="preserve"> a strong fit. A sensor message is already a small JSON document, the eleven device types report different fields, and new device types can be added without altering existing data. This is the model implemented in section 4. </w:t>
      </w:r>
    </w:p>
    <w:p>
      <w:pPr>
        <w:pStyle w:val="Heading3"/>
        <w:bidi w:val="0"/>
        <w:jc w:val="left"/>
        <w:rPr/>
      </w:pPr>
      <w:r>
        <w:rPr/>
        <w:t>2.4 Wide-column (column-family) stores</w:t>
      </w:r>
    </w:p>
    <w:p>
      <w:pPr>
        <w:pStyle w:val="TextBody"/>
        <w:bidi w:val="0"/>
        <w:spacing w:before="0" w:after="140"/>
        <w:jc w:val="both"/>
        <w:rPr/>
      </w:pPr>
      <w:r>
        <w:rPr/>
        <w:t>Wide-column stores, derived from Bigtable (Chang et al., 2006), organise data into rows identified by a key. Each row holds a flexible, possibly very large set of columns grouped into column families, and data is stored sorted by row key. Apache Cassandra (Lakshman and Malik, 2010) and HBase are the best-known examples.</w:t>
      </w:r>
    </w:p>
    <w:p>
      <w:pPr>
        <w:pStyle w:val="TextBody"/>
        <w:numPr>
          <w:ilvl w:val="0"/>
          <w:numId w:val="9"/>
        </w:numPr>
        <w:tabs>
          <w:tab w:val="clear" w:pos="1134"/>
          <w:tab w:val="left" w:pos="709" w:leader="none"/>
        </w:tabs>
        <w:bidi w:val="0"/>
        <w:spacing w:before="0" w:after="0"/>
        <w:ind w:left="709" w:hanging="283"/>
        <w:rPr/>
      </w:pPr>
      <w:r>
        <w:rPr>
          <w:rStyle w:val="StrongEmphasis"/>
        </w:rPr>
        <w:t>Strengths:</w:t>
      </w:r>
      <w:r>
        <w:rPr/>
        <w:t xml:space="preserve"> outstanding write throughput and linear scalability across many nodes and data centres; efficient range scans when the row key is designed around the query (for example "device ID + time"); tunable consistency. </w:t>
      </w:r>
    </w:p>
    <w:p>
      <w:pPr>
        <w:pStyle w:val="TextBody"/>
        <w:numPr>
          <w:ilvl w:val="0"/>
          <w:numId w:val="9"/>
        </w:numPr>
        <w:tabs>
          <w:tab w:val="clear" w:pos="1134"/>
          <w:tab w:val="left" w:pos="709" w:leader="none"/>
        </w:tabs>
        <w:bidi w:val="0"/>
        <w:spacing w:before="0" w:after="0"/>
        <w:ind w:left="709" w:hanging="283"/>
        <w:rPr/>
      </w:pPr>
      <w:r>
        <w:rPr>
          <w:rStyle w:val="StrongEmphasis"/>
        </w:rPr>
        <w:t>Weaknesses:</w:t>
      </w:r>
      <w:r>
        <w:rPr/>
        <w:t xml:space="preserve"> tables must be designed around known query patterns, and a new question often needs a new table; ad-hoc queries, aggregations and secondary indexes are limited; operations and data modelling are complex. </w:t>
      </w:r>
    </w:p>
    <w:p>
      <w:pPr>
        <w:pStyle w:val="TextBody"/>
        <w:numPr>
          <w:ilvl w:val="0"/>
          <w:numId w:val="9"/>
        </w:numPr>
        <w:tabs>
          <w:tab w:val="clear" w:pos="1134"/>
          <w:tab w:val="left" w:pos="709" w:leader="none"/>
        </w:tabs>
        <w:bidi w:val="0"/>
        <w:ind w:left="709" w:hanging="283"/>
        <w:rPr/>
      </w:pPr>
      <w:r>
        <w:rPr>
          <w:rStyle w:val="StrongEmphasis"/>
        </w:rPr>
        <w:t>Relevance to IoThings:</w:t>
      </w:r>
      <w:r>
        <w:rPr/>
        <w:t xml:space="preserve"> a credible alternative for very large telemetry volumes (millions of devices). At IoThings' current scale, its rigidity and operational cost outweigh its throughput advantage. </w:t>
      </w:r>
    </w:p>
    <w:p>
      <w:pPr>
        <w:pStyle w:val="Heading3"/>
        <w:bidi w:val="0"/>
        <w:jc w:val="left"/>
        <w:rPr/>
      </w:pPr>
      <w:r>
        <w:rPr/>
        <w:t>2.5 Graph databases</w:t>
      </w:r>
    </w:p>
    <w:p>
      <w:pPr>
        <w:pStyle w:val="TextBody"/>
        <w:bidi w:val="0"/>
        <w:spacing w:before="0" w:after="140"/>
        <w:jc w:val="both"/>
        <w:rPr/>
      </w:pPr>
      <w:r>
        <w:rPr/>
        <w:t xml:space="preserve">Graph databases store </w:t>
      </w:r>
      <w:r>
        <w:rPr>
          <w:rStyle w:val="StrongEmphasis"/>
        </w:rPr>
        <w:t>nodes</w:t>
      </w:r>
      <w:r>
        <w:rPr/>
        <w:t xml:space="preserve"> (entities) and </w:t>
      </w:r>
      <w:r>
        <w:rPr>
          <w:rStyle w:val="StrongEmphasis"/>
        </w:rPr>
        <w:t>edges</w:t>
      </w:r>
      <w:r>
        <w:rPr/>
        <w:t xml:space="preserve"> (relationships), each of which can carry properties. Relationships are first-class data, so traversing them ("friends of friends", "which devices share a gateway") takes roughly constant time per step, rather than the growing join cost seen in relational systems (Robinson, Webber and Eifrem, 2015; Angles and Gutierrez, 2008). Examples include Neo4j and Amazon Neptune.</w:t>
      </w:r>
    </w:p>
    <w:p>
      <w:pPr>
        <w:pStyle w:val="TextBody"/>
        <w:numPr>
          <w:ilvl w:val="0"/>
          <w:numId w:val="10"/>
        </w:numPr>
        <w:tabs>
          <w:tab w:val="clear" w:pos="1134"/>
          <w:tab w:val="left" w:pos="709" w:leader="none"/>
        </w:tabs>
        <w:bidi w:val="0"/>
        <w:spacing w:before="0" w:after="0"/>
        <w:ind w:left="709" w:hanging="283"/>
        <w:rPr/>
      </w:pPr>
      <w:r>
        <w:rPr>
          <w:rStyle w:val="StrongEmphasis"/>
        </w:rPr>
        <w:t>Strengths:</w:t>
      </w:r>
      <w:r>
        <w:rPr/>
        <w:t xml:space="preserve"> natural modelling of highly connected data; efficient multi-step traversals; expressive graph query languages such as Cypher. </w:t>
      </w:r>
    </w:p>
    <w:p>
      <w:pPr>
        <w:pStyle w:val="TextBody"/>
        <w:numPr>
          <w:ilvl w:val="0"/>
          <w:numId w:val="10"/>
        </w:numPr>
        <w:tabs>
          <w:tab w:val="clear" w:pos="1134"/>
          <w:tab w:val="left" w:pos="709" w:leader="none"/>
        </w:tabs>
        <w:bidi w:val="0"/>
        <w:spacing w:before="0" w:after="0"/>
        <w:ind w:left="709" w:hanging="283"/>
        <w:rPr/>
      </w:pPr>
      <w:r>
        <w:rPr>
          <w:rStyle w:val="StrongEmphasis"/>
        </w:rPr>
        <w:t>Weaknesses:</w:t>
      </w:r>
      <w:r>
        <w:rPr/>
        <w:t xml:space="preserve"> less suited to bulk aggregation over large volumes of simple records; horizontal scaling is harder because graphs are difficult to partition; the ecosystem is smaller. </w:t>
      </w:r>
    </w:p>
    <w:p>
      <w:pPr>
        <w:pStyle w:val="TextBody"/>
        <w:numPr>
          <w:ilvl w:val="0"/>
          <w:numId w:val="10"/>
        </w:numPr>
        <w:tabs>
          <w:tab w:val="clear" w:pos="1134"/>
          <w:tab w:val="left" w:pos="709" w:leader="none"/>
        </w:tabs>
        <w:bidi w:val="0"/>
        <w:ind w:left="709" w:hanging="283"/>
        <w:rPr/>
      </w:pPr>
      <w:r>
        <w:rPr>
          <w:rStyle w:val="StrongEmphasis"/>
        </w:rPr>
        <w:t>Relevance to IoThings:</w:t>
      </w:r>
      <w:r>
        <w:rPr/>
        <w:t xml:space="preserve"> potentially useful in future for modelling relationships between homes, rooms, devices and automation rules. It is not appropriate for the time-series event stream. </w:t>
      </w:r>
    </w:p>
    <w:p>
      <w:pPr>
        <w:pStyle w:val="Heading3"/>
        <w:bidi w:val="0"/>
        <w:jc w:val="left"/>
        <w:rPr/>
      </w:pPr>
      <w:r>
        <w:rPr/>
        <w:t>2.6 Underlying theory</w:t>
      </w:r>
    </w:p>
    <w:p>
      <w:pPr>
        <w:pStyle w:val="TextBody"/>
        <w:bidi w:val="0"/>
        <w:spacing w:before="0" w:after="140"/>
        <w:jc w:val="both"/>
        <w:rPr/>
      </w:pPr>
      <w:r>
        <w:rPr>
          <w:rStyle w:val="StrongEmphasis"/>
        </w:rPr>
        <w:t>CAP theorem.</w:t>
      </w:r>
      <w:r>
        <w:rPr/>
        <w:t xml:space="preserve"> Brewer conjectured, and Gilbert and Lynch (2002) proved, that when a network </w:t>
      </w:r>
      <w:r>
        <w:rPr>
          <w:rStyle w:val="StrongEmphasis"/>
        </w:rPr>
        <w:t>partition</w:t>
      </w:r>
      <w:r>
        <w:rPr/>
        <w:t xml:space="preserve"> (P) occurs, a distributed data store must choose between </w:t>
      </w:r>
      <w:r>
        <w:rPr>
          <w:rStyle w:val="StrongEmphasis"/>
        </w:rPr>
        <w:t>consistency</w:t>
      </w:r>
      <w:r>
        <w:rPr/>
        <w:t xml:space="preserve"> (C: every read sees the latest write) and </w:t>
      </w:r>
      <w:r>
        <w:rPr>
          <w:rStyle w:val="StrongEmphasis"/>
        </w:rPr>
        <w:t>availability</w:t>
      </w:r>
      <w:r>
        <w:rPr/>
        <w:t xml:space="preserve"> (A: every request receives a response). Brewer (2012) later clarified that the choice arises only during a partition, and that systems can make it differently for different operations.</w:t>
      </w:r>
    </w:p>
    <w:p>
      <w:pPr>
        <w:pStyle w:val="TextBody"/>
        <w:bidi w:val="0"/>
        <w:spacing w:before="0" w:after="140"/>
        <w:jc w:val="both"/>
        <w:rPr/>
      </w:pPr>
      <w:r>
        <w:rPr>
          <w:rStyle w:val="StrongEmphasis"/>
        </w:rPr>
        <w:t>PACELC.</w:t>
      </w:r>
      <w:r>
        <w:rPr/>
        <w:t xml:space="preserve"> Abadi (2012) extended CAP: </w:t>
      </w:r>
      <w:r>
        <w:rPr>
          <w:rStyle w:val="Emphasis"/>
        </w:rPr>
        <w:t>if</w:t>
      </w:r>
      <w:r>
        <w:rPr/>
        <w:t xml:space="preserve"> there is a Partition, choose Availability or Consistency; </w:t>
      </w:r>
      <w:r>
        <w:rPr>
          <w:rStyle w:val="Emphasis"/>
        </w:rPr>
        <w:t>Else</w:t>
      </w:r>
      <w:r>
        <w:rPr/>
        <w:t xml:space="preserve">, choose Latency or Consistency. This matters more in day-to-day operation, because replicating every write synchronously improves consistency but adds latency. Abadi (2012) placed MongoDB in the PA/EC class. In practice its position depends on configuration: during a partition, only the side holding a majority can elect a primary and accept writes, and with majority write concern and primary reads it behaves consistently. The balance is tuned through </w:t>
      </w:r>
      <w:r>
        <w:rPr>
          <w:rStyle w:val="StrongEmphasis"/>
        </w:rPr>
        <w:t>write concern</w:t>
      </w:r>
      <w:r>
        <w:rPr/>
        <w:t xml:space="preserve"> and </w:t>
      </w:r>
      <w:r>
        <w:rPr>
          <w:rStyle w:val="StrongEmphasis"/>
        </w:rPr>
        <w:t>read preference</w:t>
      </w:r>
      <w:r>
        <w:rPr/>
        <w:t>, as section 4 shows.</w:t>
      </w:r>
    </w:p>
    <w:p>
      <w:pPr>
        <w:pStyle w:val="TextBody"/>
        <w:bidi w:val="0"/>
        <w:spacing w:before="0" w:after="140"/>
        <w:jc w:val="both"/>
        <w:rPr/>
      </w:pPr>
      <w:r>
        <w:rPr>
          <w:rStyle w:val="StrongEmphasis"/>
        </w:rPr>
        <w:t>ACID and BASE.</w:t>
      </w:r>
      <w:r>
        <w:rPr/>
        <w:t xml:space="preserve"> Relational databases guarantee </w:t>
      </w:r>
      <w:r>
        <w:rPr>
          <w:rStyle w:val="StrongEmphasis"/>
        </w:rPr>
        <w:t>ACID</w:t>
      </w:r>
      <w:r>
        <w:rPr/>
        <w:t xml:space="preserve"> transactions: Atomicity, Consistency, Isolation and Durability (Haerder and Reuter, 1983). Many early NoSQL systems relaxed these guarantees in favour of </w:t>
      </w:r>
      <w:r>
        <w:rPr>
          <w:rStyle w:val="StrongEmphasis"/>
        </w:rPr>
        <w:t>BASE</w:t>
      </w:r>
      <w:r>
        <w:rPr/>
        <w:t>: Basically Available, Soft state, Eventually consistent (Pritchett, 2008). Here replicas may briefly disagree but converge over time. The distinction has blurred. MongoDB has supported multi-document ACID transactions since version 4.0, and several relational systems now scale horizontally.</w:t>
      </w:r>
    </w:p>
    <w:p>
      <w:pPr>
        <w:pStyle w:val="TextBody"/>
        <w:bidi w:val="0"/>
        <w:spacing w:before="0" w:after="140"/>
        <w:jc w:val="both"/>
        <w:rPr/>
      </w:pPr>
      <w:r>
        <w:rPr>
          <w:rStyle w:val="StrongEmphasis"/>
        </w:rPr>
        <w:t>Scaling mechanisms.</w:t>
      </w:r>
      <w:r>
        <w:rPr/>
        <w:t xml:space="preserve"> NoSQL systems scale with two techniques:</w:t>
      </w:r>
    </w:p>
    <w:p>
      <w:pPr>
        <w:pStyle w:val="TextBody"/>
        <w:numPr>
          <w:ilvl w:val="0"/>
          <w:numId w:val="11"/>
        </w:numPr>
        <w:tabs>
          <w:tab w:val="clear" w:pos="1134"/>
          <w:tab w:val="left" w:pos="709" w:leader="none"/>
        </w:tabs>
        <w:bidi w:val="0"/>
        <w:spacing w:before="0" w:after="0"/>
        <w:ind w:left="709" w:hanging="283"/>
        <w:rPr/>
      </w:pPr>
      <w:r>
        <w:rPr>
          <w:rStyle w:val="StrongEmphasis"/>
        </w:rPr>
        <w:t>Replication</w:t>
      </w:r>
      <w:r>
        <w:rPr/>
        <w:t xml:space="preserve"> keeps copies of the same data on several servers. It provides redundancy and extra read capacity. </w:t>
      </w:r>
    </w:p>
    <w:p>
      <w:pPr>
        <w:pStyle w:val="TextBody"/>
        <w:numPr>
          <w:ilvl w:val="0"/>
          <w:numId w:val="11"/>
        </w:numPr>
        <w:tabs>
          <w:tab w:val="clear" w:pos="1134"/>
          <w:tab w:val="left" w:pos="709" w:leader="none"/>
        </w:tabs>
        <w:bidi w:val="0"/>
        <w:ind w:left="709" w:hanging="283"/>
        <w:rPr/>
      </w:pPr>
      <w:r>
        <w:rPr>
          <w:rStyle w:val="StrongEmphasis"/>
        </w:rPr>
        <w:t>Sharding</w:t>
      </w:r>
      <w:r>
        <w:rPr/>
        <w:t xml:space="preserve"> (partitioning) divides the data across servers by a key. It provides write capacity and storage beyond one machine. </w:t>
      </w:r>
    </w:p>
    <w:p>
      <w:pPr>
        <w:pStyle w:val="TextBody"/>
        <w:bidi w:val="0"/>
        <w:rPr/>
      </w:pPr>
      <w:r>
        <w:rPr/>
        <w:t>Replication in MongoDB uses an elected primary and a Raft-style consensus protocol (Zhou et al., 2021; Ongaro and Ousterhout, 2014).</w:t>
      </w:r>
    </w:p>
    <w:p>
      <w:pPr>
        <w:pStyle w:val="TextBody"/>
        <w:bidi w:val="0"/>
        <w:spacing w:before="0" w:after="140"/>
        <w:jc w:val="both"/>
        <w:rPr/>
      </w:pPr>
      <w:r>
        <w:rPr>
          <w:rStyle w:val="StrongEmphasis"/>
        </w:rPr>
        <w:t>Table 1: Summary of the four NoSQL types</w:t>
      </w:r>
    </w:p>
    <w:tbl>
      <w:tblPr>
        <w:tblW w:w="9516" w:type="dxa"/>
        <w:jc w:val="left"/>
        <w:tblInd w:w="0" w:type="dxa"/>
        <w:tblLayout w:type="fixed"/>
        <w:tblCellMar>
          <w:top w:w="28" w:type="dxa"/>
          <w:left w:w="28" w:type="dxa"/>
          <w:bottom w:w="28" w:type="dxa"/>
          <w:right w:w="28" w:type="dxa"/>
        </w:tblCellMar>
      </w:tblPr>
      <w:tblGrid>
        <w:gridCol w:w="1696"/>
        <w:gridCol w:w="1321"/>
        <w:gridCol w:w="1441"/>
        <w:gridCol w:w="1516"/>
        <w:gridCol w:w="1876"/>
        <w:gridCol w:w="1666"/>
      </w:tblGrid>
      <w:tr>
        <w:trPr>
          <w:tblHeader w:val="true"/>
        </w:trPr>
        <w:tc>
          <w:tcPr>
            <w:tcW w:w="1696" w:type="dxa"/>
            <w:tcBorders/>
            <w:vAlign w:val="center"/>
          </w:tcPr>
          <w:p>
            <w:pPr>
              <w:pStyle w:val="TableHeading"/>
              <w:suppressLineNumbers/>
              <w:shd w:fill="0D3B66" w:val="clear"/>
              <w:bidi w:val="0"/>
              <w:spacing w:before="0" w:after="140"/>
              <w:jc w:val="left"/>
              <w:rPr/>
            </w:pPr>
            <w:r>
              <w:rPr/>
              <w:t>Type</w:t>
            </w:r>
          </w:p>
        </w:tc>
        <w:tc>
          <w:tcPr>
            <w:tcW w:w="1321" w:type="dxa"/>
            <w:tcBorders/>
            <w:vAlign w:val="center"/>
          </w:tcPr>
          <w:p>
            <w:pPr>
              <w:pStyle w:val="TableHeading"/>
              <w:suppressLineNumbers/>
              <w:shd w:fill="0D3B66" w:val="clear"/>
              <w:bidi w:val="0"/>
              <w:spacing w:before="0" w:after="140"/>
              <w:jc w:val="left"/>
              <w:rPr/>
            </w:pPr>
            <w:r>
              <w:rPr/>
              <w:t>Data model</w:t>
            </w:r>
          </w:p>
        </w:tc>
        <w:tc>
          <w:tcPr>
            <w:tcW w:w="1441" w:type="dxa"/>
            <w:tcBorders/>
            <w:vAlign w:val="center"/>
          </w:tcPr>
          <w:p>
            <w:pPr>
              <w:pStyle w:val="TableHeading"/>
              <w:suppressLineNumbers/>
              <w:shd w:fill="0D3B66" w:val="clear"/>
              <w:bidi w:val="0"/>
              <w:spacing w:before="0" w:after="140"/>
              <w:jc w:val="left"/>
              <w:rPr/>
            </w:pPr>
            <w:r>
              <w:rPr/>
              <w:t>Examples</w:t>
            </w:r>
          </w:p>
        </w:tc>
        <w:tc>
          <w:tcPr>
            <w:tcW w:w="1516" w:type="dxa"/>
            <w:tcBorders/>
            <w:vAlign w:val="center"/>
          </w:tcPr>
          <w:p>
            <w:pPr>
              <w:pStyle w:val="TableHeading"/>
              <w:suppressLineNumbers/>
              <w:shd w:fill="0D3B66" w:val="clear"/>
              <w:bidi w:val="0"/>
              <w:spacing w:before="0" w:after="140"/>
              <w:jc w:val="left"/>
              <w:rPr/>
            </w:pPr>
            <w:r>
              <w:rPr/>
              <w:t>Main strengths</w:t>
            </w:r>
          </w:p>
        </w:tc>
        <w:tc>
          <w:tcPr>
            <w:tcW w:w="1876" w:type="dxa"/>
            <w:tcBorders/>
            <w:vAlign w:val="center"/>
          </w:tcPr>
          <w:p>
            <w:pPr>
              <w:pStyle w:val="TableHeading"/>
              <w:suppressLineNumbers/>
              <w:shd w:fill="0D3B66" w:val="clear"/>
              <w:bidi w:val="0"/>
              <w:spacing w:before="0" w:after="140"/>
              <w:jc w:val="left"/>
              <w:rPr/>
            </w:pPr>
            <w:r>
              <w:rPr/>
              <w:t>Main weaknesses</w:t>
            </w:r>
          </w:p>
        </w:tc>
        <w:tc>
          <w:tcPr>
            <w:tcW w:w="1666" w:type="dxa"/>
            <w:tcBorders/>
            <w:vAlign w:val="center"/>
          </w:tcPr>
          <w:p>
            <w:pPr>
              <w:pStyle w:val="TableHeading"/>
              <w:suppressLineNumbers/>
              <w:shd w:fill="0D3B66" w:val="clear"/>
              <w:bidi w:val="0"/>
              <w:spacing w:before="0" w:after="140"/>
              <w:jc w:val="left"/>
              <w:rPr/>
            </w:pPr>
            <w:r>
              <w:rPr/>
              <w:t>Fit for IoThings</w:t>
            </w:r>
          </w:p>
        </w:tc>
      </w:tr>
      <w:tr>
        <w:trPr/>
        <w:tc>
          <w:tcPr>
            <w:tcW w:w="1696" w:type="dxa"/>
            <w:tcBorders/>
            <w:vAlign w:val="center"/>
          </w:tcPr>
          <w:p>
            <w:pPr>
              <w:pStyle w:val="TableContents"/>
              <w:bidi w:val="0"/>
              <w:spacing w:before="0" w:after="140"/>
              <w:jc w:val="left"/>
              <w:rPr/>
            </w:pPr>
            <w:r>
              <w:rPr/>
              <w:t>Key-value</w:t>
            </w:r>
          </w:p>
        </w:tc>
        <w:tc>
          <w:tcPr>
            <w:tcW w:w="1321" w:type="dxa"/>
            <w:tcBorders/>
            <w:vAlign w:val="center"/>
          </w:tcPr>
          <w:p>
            <w:pPr>
              <w:pStyle w:val="TableContents"/>
              <w:bidi w:val="0"/>
              <w:spacing w:before="0" w:after="140"/>
              <w:jc w:val="left"/>
              <w:rPr/>
            </w:pPr>
            <w:r>
              <w:rPr/>
              <w:t>Key → opaque value</w:t>
            </w:r>
          </w:p>
        </w:tc>
        <w:tc>
          <w:tcPr>
            <w:tcW w:w="1441" w:type="dxa"/>
            <w:tcBorders/>
            <w:vAlign w:val="center"/>
          </w:tcPr>
          <w:p>
            <w:pPr>
              <w:pStyle w:val="TableContents"/>
              <w:bidi w:val="0"/>
              <w:spacing w:before="0" w:after="140"/>
              <w:jc w:val="left"/>
              <w:rPr/>
            </w:pPr>
            <w:r>
              <w:rPr/>
              <w:t>Redis, DynamoDB, Riak</w:t>
            </w:r>
          </w:p>
        </w:tc>
        <w:tc>
          <w:tcPr>
            <w:tcW w:w="1516" w:type="dxa"/>
            <w:tcBorders/>
            <w:vAlign w:val="center"/>
          </w:tcPr>
          <w:p>
            <w:pPr>
              <w:pStyle w:val="TableContents"/>
              <w:bidi w:val="0"/>
              <w:spacing w:before="0" w:after="140"/>
              <w:jc w:val="left"/>
              <w:rPr/>
            </w:pPr>
            <w:r>
              <w:rPr/>
              <w:t>Fastest lookups; simple scaling</w:t>
            </w:r>
          </w:p>
        </w:tc>
        <w:tc>
          <w:tcPr>
            <w:tcW w:w="1876" w:type="dxa"/>
            <w:tcBorders/>
            <w:vAlign w:val="center"/>
          </w:tcPr>
          <w:p>
            <w:pPr>
              <w:pStyle w:val="TableContents"/>
              <w:bidi w:val="0"/>
              <w:spacing w:before="0" w:after="140"/>
              <w:jc w:val="left"/>
              <w:rPr/>
            </w:pPr>
            <w:r>
              <w:rPr/>
              <w:t>No queries inside values; no relationships</w:t>
            </w:r>
          </w:p>
        </w:tc>
        <w:tc>
          <w:tcPr>
            <w:tcW w:w="1666" w:type="dxa"/>
            <w:tcBorders/>
            <w:vAlign w:val="center"/>
          </w:tcPr>
          <w:p>
            <w:pPr>
              <w:pStyle w:val="TableContents"/>
              <w:bidi w:val="0"/>
              <w:spacing w:before="0" w:after="140"/>
              <w:jc w:val="left"/>
              <w:rPr/>
            </w:pPr>
            <w:r>
              <w:rPr/>
              <w:t>Device-state cache</w:t>
            </w:r>
          </w:p>
        </w:tc>
      </w:tr>
      <w:tr>
        <w:trPr/>
        <w:tc>
          <w:tcPr>
            <w:tcW w:w="1696" w:type="dxa"/>
            <w:tcBorders/>
            <w:vAlign w:val="center"/>
          </w:tcPr>
          <w:p>
            <w:pPr>
              <w:pStyle w:val="TableContents"/>
              <w:bidi w:val="0"/>
              <w:spacing w:before="0" w:after="140"/>
              <w:jc w:val="left"/>
              <w:rPr/>
            </w:pPr>
            <w:r>
              <w:rPr/>
              <w:t>Document</w:t>
            </w:r>
          </w:p>
        </w:tc>
        <w:tc>
          <w:tcPr>
            <w:tcW w:w="1321" w:type="dxa"/>
            <w:tcBorders/>
            <w:vAlign w:val="center"/>
          </w:tcPr>
          <w:p>
            <w:pPr>
              <w:pStyle w:val="TableContents"/>
              <w:bidi w:val="0"/>
              <w:spacing w:before="0" w:after="140"/>
              <w:jc w:val="left"/>
              <w:rPr/>
            </w:pPr>
            <w:r>
              <w:rPr/>
              <w:t>Key → JSON/BSON document</w:t>
            </w:r>
          </w:p>
        </w:tc>
        <w:tc>
          <w:tcPr>
            <w:tcW w:w="1441" w:type="dxa"/>
            <w:tcBorders/>
            <w:vAlign w:val="center"/>
          </w:tcPr>
          <w:p>
            <w:pPr>
              <w:pStyle w:val="TableContents"/>
              <w:bidi w:val="0"/>
              <w:spacing w:before="0" w:after="140"/>
              <w:jc w:val="left"/>
              <w:rPr/>
            </w:pPr>
            <w:r>
              <w:rPr/>
              <w:t>MongoDB, Couchbase</w:t>
            </w:r>
          </w:p>
        </w:tc>
        <w:tc>
          <w:tcPr>
            <w:tcW w:w="1516" w:type="dxa"/>
            <w:tcBorders/>
            <w:vAlign w:val="center"/>
          </w:tcPr>
          <w:p>
            <w:pPr>
              <w:pStyle w:val="TableContents"/>
              <w:bidi w:val="0"/>
              <w:spacing w:before="0" w:after="140"/>
              <w:jc w:val="left"/>
              <w:rPr/>
            </w:pPr>
            <w:r>
              <w:rPr/>
              <w:t>Flexible schema; rich queries; objects map directly</w:t>
            </w:r>
          </w:p>
        </w:tc>
        <w:tc>
          <w:tcPr>
            <w:tcW w:w="1876" w:type="dxa"/>
            <w:tcBorders/>
            <w:vAlign w:val="center"/>
          </w:tcPr>
          <w:p>
            <w:pPr>
              <w:pStyle w:val="TableContents"/>
              <w:bidi w:val="0"/>
              <w:spacing w:before="0" w:after="140"/>
              <w:jc w:val="left"/>
              <w:rPr/>
            </w:pPr>
            <w:r>
              <w:rPr/>
              <w:t>Duplication; weaker many-to-many</w:t>
            </w:r>
          </w:p>
        </w:tc>
        <w:tc>
          <w:tcPr>
            <w:tcW w:w="1666" w:type="dxa"/>
            <w:tcBorders/>
            <w:vAlign w:val="center"/>
          </w:tcPr>
          <w:p>
            <w:pPr>
              <w:pStyle w:val="TableContents"/>
              <w:bidi w:val="0"/>
              <w:spacing w:before="0" w:after="140"/>
              <w:jc w:val="left"/>
              <w:rPr/>
            </w:pPr>
            <w:r>
              <w:rPr>
                <w:rStyle w:val="StrongEmphasis"/>
              </w:rPr>
              <w:t>Main sensor store (chosen)</w:t>
            </w:r>
          </w:p>
        </w:tc>
      </w:tr>
      <w:tr>
        <w:trPr/>
        <w:tc>
          <w:tcPr>
            <w:tcW w:w="1696" w:type="dxa"/>
            <w:tcBorders/>
            <w:vAlign w:val="center"/>
          </w:tcPr>
          <w:p>
            <w:pPr>
              <w:pStyle w:val="TableContents"/>
              <w:bidi w:val="0"/>
              <w:spacing w:before="0" w:after="140"/>
              <w:jc w:val="left"/>
              <w:rPr/>
            </w:pPr>
            <w:r>
              <w:rPr/>
              <w:t>Wide-column</w:t>
            </w:r>
          </w:p>
        </w:tc>
        <w:tc>
          <w:tcPr>
            <w:tcW w:w="1321" w:type="dxa"/>
            <w:tcBorders/>
            <w:vAlign w:val="center"/>
          </w:tcPr>
          <w:p>
            <w:pPr>
              <w:pStyle w:val="TableContents"/>
              <w:bidi w:val="0"/>
              <w:spacing w:before="0" w:after="140"/>
              <w:jc w:val="left"/>
              <w:rPr/>
            </w:pPr>
            <w:r>
              <w:rPr/>
              <w:t>Row key → column families</w:t>
            </w:r>
          </w:p>
        </w:tc>
        <w:tc>
          <w:tcPr>
            <w:tcW w:w="1441" w:type="dxa"/>
            <w:tcBorders/>
            <w:vAlign w:val="center"/>
          </w:tcPr>
          <w:p>
            <w:pPr>
              <w:pStyle w:val="TableContents"/>
              <w:bidi w:val="0"/>
              <w:spacing w:before="0" w:after="140"/>
              <w:jc w:val="left"/>
              <w:rPr/>
            </w:pPr>
            <w:r>
              <w:rPr/>
              <w:t>Cassandra, HBase</w:t>
            </w:r>
          </w:p>
        </w:tc>
        <w:tc>
          <w:tcPr>
            <w:tcW w:w="1516" w:type="dxa"/>
            <w:tcBorders/>
            <w:vAlign w:val="center"/>
          </w:tcPr>
          <w:p>
            <w:pPr>
              <w:pStyle w:val="TableContents"/>
              <w:bidi w:val="0"/>
              <w:spacing w:before="0" w:after="140"/>
              <w:jc w:val="left"/>
              <w:rPr/>
            </w:pPr>
            <w:r>
              <w:rPr/>
              <w:t>Massive write throughput; multi-data-centre</w:t>
            </w:r>
          </w:p>
        </w:tc>
        <w:tc>
          <w:tcPr>
            <w:tcW w:w="1876" w:type="dxa"/>
            <w:tcBorders/>
            <w:vAlign w:val="center"/>
          </w:tcPr>
          <w:p>
            <w:pPr>
              <w:pStyle w:val="TableContents"/>
              <w:bidi w:val="0"/>
              <w:spacing w:before="0" w:after="140"/>
              <w:jc w:val="left"/>
              <w:rPr/>
            </w:pPr>
            <w:r>
              <w:rPr/>
              <w:t>Query-driven design; limited ad-hoc queries</w:t>
            </w:r>
          </w:p>
        </w:tc>
        <w:tc>
          <w:tcPr>
            <w:tcW w:w="1666" w:type="dxa"/>
            <w:tcBorders/>
            <w:vAlign w:val="center"/>
          </w:tcPr>
          <w:p>
            <w:pPr>
              <w:pStyle w:val="TableContents"/>
              <w:bidi w:val="0"/>
              <w:spacing w:before="0" w:after="140"/>
              <w:jc w:val="left"/>
              <w:rPr/>
            </w:pPr>
            <w:r>
              <w:rPr/>
              <w:t>Future option at very large scale</w:t>
            </w:r>
          </w:p>
        </w:tc>
      </w:tr>
      <w:tr>
        <w:trPr/>
        <w:tc>
          <w:tcPr>
            <w:tcW w:w="1696" w:type="dxa"/>
            <w:tcBorders/>
            <w:vAlign w:val="center"/>
          </w:tcPr>
          <w:p>
            <w:pPr>
              <w:pStyle w:val="TableContents"/>
              <w:bidi w:val="0"/>
              <w:spacing w:before="0" w:after="140"/>
              <w:jc w:val="left"/>
              <w:rPr/>
            </w:pPr>
            <w:r>
              <w:rPr/>
              <w:t>Graph</w:t>
            </w:r>
          </w:p>
        </w:tc>
        <w:tc>
          <w:tcPr>
            <w:tcW w:w="1321" w:type="dxa"/>
            <w:tcBorders/>
            <w:vAlign w:val="center"/>
          </w:tcPr>
          <w:p>
            <w:pPr>
              <w:pStyle w:val="TableContents"/>
              <w:bidi w:val="0"/>
              <w:spacing w:before="0" w:after="140"/>
              <w:jc w:val="left"/>
              <w:rPr/>
            </w:pPr>
            <w:r>
              <w:rPr/>
              <w:t>Nodes + edges</w:t>
            </w:r>
          </w:p>
        </w:tc>
        <w:tc>
          <w:tcPr>
            <w:tcW w:w="1441" w:type="dxa"/>
            <w:tcBorders/>
            <w:vAlign w:val="center"/>
          </w:tcPr>
          <w:p>
            <w:pPr>
              <w:pStyle w:val="TableContents"/>
              <w:bidi w:val="0"/>
              <w:spacing w:before="0" w:after="140"/>
              <w:jc w:val="left"/>
              <w:rPr/>
            </w:pPr>
            <w:r>
              <w:rPr/>
              <w:t>Neo4j, Neptune</w:t>
            </w:r>
          </w:p>
        </w:tc>
        <w:tc>
          <w:tcPr>
            <w:tcW w:w="1516" w:type="dxa"/>
            <w:tcBorders/>
            <w:vAlign w:val="center"/>
          </w:tcPr>
          <w:p>
            <w:pPr>
              <w:pStyle w:val="TableContents"/>
              <w:bidi w:val="0"/>
              <w:spacing w:before="0" w:after="140"/>
              <w:jc w:val="left"/>
              <w:rPr/>
            </w:pPr>
            <w:r>
              <w:rPr/>
              <w:t>Fast relationship traversal</w:t>
            </w:r>
          </w:p>
        </w:tc>
        <w:tc>
          <w:tcPr>
            <w:tcW w:w="1876" w:type="dxa"/>
            <w:tcBorders/>
            <w:vAlign w:val="center"/>
          </w:tcPr>
          <w:p>
            <w:pPr>
              <w:pStyle w:val="TableContents"/>
              <w:bidi w:val="0"/>
              <w:spacing w:before="0" w:after="140"/>
              <w:jc w:val="left"/>
              <w:rPr/>
            </w:pPr>
            <w:r>
              <w:rPr/>
              <w:t>Harder to scale; poor at bulk aggregation</w:t>
            </w:r>
          </w:p>
        </w:tc>
        <w:tc>
          <w:tcPr>
            <w:tcW w:w="1666" w:type="dxa"/>
            <w:tcBorders/>
            <w:vAlign w:val="center"/>
          </w:tcPr>
          <w:p>
            <w:pPr>
              <w:pStyle w:val="TableContents"/>
              <w:bidi w:val="0"/>
              <w:spacing w:before="0" w:after="140"/>
              <w:jc w:val="left"/>
              <w:rPr/>
            </w:pPr>
            <w:r>
              <w:rPr/>
              <w:t>Future device/rule relationships</w:t>
            </w:r>
          </w:p>
        </w:tc>
      </w:tr>
    </w:tbl>
    <w:p>
      <w:pPr>
        <w:pStyle w:val="Heading2pb"/>
        <w:bidi w:val="0"/>
        <w:jc w:val="left"/>
        <w:rPr/>
      </w:pPr>
      <w:r>
        <w:rPr/>
        <w:t>3. Critical Comparison: Relational Databases and Document Stores</w:t>
      </w:r>
    </w:p>
    <w:p>
      <w:pPr>
        <w:pStyle w:val="TextBody"/>
        <w:bidi w:val="0"/>
        <w:spacing w:before="0" w:after="140"/>
        <w:jc w:val="both"/>
        <w:rPr/>
      </w:pPr>
      <w:r>
        <w:rPr/>
        <w:t>This section is deliberately generic. It compares the relational model with document stores as a class, so that its conclusions still hold if IoThings chooses a vendor other than MongoDB.</w:t>
      </w:r>
    </w:p>
    <w:p>
      <w:pPr>
        <w:pStyle w:val="Heading3"/>
        <w:bidi w:val="0"/>
        <w:jc w:val="left"/>
        <w:rPr/>
      </w:pPr>
      <w:r>
        <w:rPr/>
        <w:t>3.1 Data model and schema</w:t>
      </w:r>
    </w:p>
    <w:p>
      <w:pPr>
        <w:pStyle w:val="TextBody"/>
        <w:bidi w:val="0"/>
        <w:spacing w:before="0" w:after="140"/>
        <w:jc w:val="both"/>
        <w:rPr/>
      </w:pPr>
      <w:r>
        <w:rPr/>
        <w:t xml:space="preserve">A relational database stores data in tables whose structure is declared in advance (Codd, 1970). </w:t>
      </w:r>
      <w:r>
        <w:rPr>
          <w:rStyle w:val="StrongEmphasis"/>
        </w:rPr>
        <w:t>Normalisation</w:t>
      </w:r>
      <w:r>
        <w:rPr/>
        <w:t xml:space="preserve"> stores each fact once and links tables with foreign keys. The fixed schema is a strong guarantee: every row has the declared columns, with the declared types and constraints. The cost is rigidity. Adding a new sensor type with new attributes means altering tables or adding sparse, mostly empty columns, and schema migrations on large tables can be slow and risky.</w:t>
      </w:r>
    </w:p>
    <w:p>
      <w:pPr>
        <w:pStyle w:val="TextBody"/>
        <w:bidi w:val="0"/>
        <w:spacing w:before="0" w:after="140"/>
        <w:jc w:val="both"/>
        <w:rPr/>
      </w:pPr>
      <w:r>
        <w:rPr/>
        <w:t xml:space="preserve">A document store is </w:t>
      </w:r>
      <w:r>
        <w:rPr>
          <w:rStyle w:val="StrongEmphasis"/>
        </w:rPr>
        <w:t>schema-flexible</w:t>
      </w:r>
      <w:r>
        <w:rPr/>
        <w:t>. Each document carries its own structure, so a thermostat reading and a door-lock event can sit in the same collection with different fields. This speeds up development and suits heterogeneous IoT data. The risk is that "schema-less" becomes "schema-chaotic", with misspelt fields and wrong types accumulating silently. The mitigation is optional schema validation in the database, used in this project (section 4.5). With validation, flexibility is kept where it helps and structure is enforced where it matters.</w:t>
      </w:r>
    </w:p>
    <w:p>
      <w:pPr>
        <w:pStyle w:val="TextBody"/>
        <w:bidi w:val="0"/>
        <w:spacing w:before="0" w:after="140"/>
        <w:jc w:val="both"/>
        <w:rPr/>
      </w:pPr>
      <w:r>
        <w:rPr>
          <w:rStyle w:val="StrongEmphasis"/>
        </w:rPr>
        <w:t>Evaluation:</w:t>
      </w:r>
      <w:r>
        <w:rPr/>
        <w:t xml:space="preserve"> the relational model wins where data structure is stable and integrity is paramount, as in IoThings' financial and order data. The document model wins where structure varies and evolves, as in sensor payloads.</w:t>
      </w:r>
    </w:p>
    <w:p>
      <w:pPr>
        <w:pStyle w:val="Heading3"/>
        <w:bidi w:val="0"/>
        <w:jc w:val="left"/>
        <w:rPr/>
      </w:pPr>
      <w:r>
        <w:rPr/>
        <w:t>3.2 Relationships and joins</w:t>
      </w:r>
    </w:p>
    <w:p>
      <w:pPr>
        <w:pStyle w:val="TextBody"/>
        <w:bidi w:val="0"/>
        <w:spacing w:before="0" w:after="140"/>
        <w:jc w:val="both"/>
        <w:rPr/>
      </w:pPr>
      <w:r>
        <w:rPr/>
        <w:t xml:space="preserve">Relational databases excel at relationships. Joins can combine any tables at query time, so they answer questions nobody anticipated when the schema was designed. Document stores favour </w:t>
      </w:r>
      <w:r>
        <w:rPr>
          <w:rStyle w:val="StrongEmphasis"/>
        </w:rPr>
        <w:t>embedding</w:t>
      </w:r>
      <w:r>
        <w:rPr/>
        <w:t xml:space="preserve"> related data inside a document when it is read together, and </w:t>
      </w:r>
      <w:r>
        <w:rPr>
          <w:rStyle w:val="StrongEmphasis"/>
        </w:rPr>
        <w:t>referencing</w:t>
      </w:r>
      <w:r>
        <w:rPr/>
        <w:t xml:space="preserve"> it (storing an identifier) when it is large, shared or updated independently. Embedding removes joins and makes reads fast. Referencing requires either several queries or a lookup operation such as MongoDB's </w:t>
      </w:r>
      <w:r>
        <w:rPr>
          <w:rStyle w:val="SourceText"/>
        </w:rPr>
        <w:t>$lookup</w:t>
      </w:r>
      <w:r>
        <w:rPr/>
        <w:t xml:space="preserve">, which is generally less optimised than a relational join. The document model therefore demands </w:t>
      </w:r>
      <w:r>
        <w:rPr>
          <w:rStyle w:val="StrongEmphasis"/>
        </w:rPr>
        <w:t>query-driven design</w:t>
      </w:r>
      <w:r>
        <w:rPr/>
        <w:t>: the designer must know the main access patterns in advance (Sadalage and Fowler, 2012).</w:t>
      </w:r>
    </w:p>
    <w:p>
      <w:pPr>
        <w:pStyle w:val="TextBody"/>
        <w:bidi w:val="0"/>
        <w:spacing w:before="0" w:after="140"/>
        <w:jc w:val="both"/>
        <w:rPr/>
      </w:pPr>
      <w:r>
        <w:rPr>
          <w:rStyle w:val="StrongEmphasis"/>
        </w:rPr>
        <w:t>Evaluation:</w:t>
      </w:r>
      <w:r>
        <w:rPr/>
        <w:t xml:space="preserve"> for highly interrelated business data (customers, orders, invoices, stock), relational joins are a genuine advantage. For sensor events, which are almost always read by device or home over a time range, the access pattern is known and narrow, so the document model's weakness costs little.</w:t>
      </w:r>
    </w:p>
    <w:p>
      <w:pPr>
        <w:pStyle w:val="Heading3"/>
        <w:bidi w:val="0"/>
        <w:jc w:val="left"/>
        <w:rPr/>
      </w:pPr>
      <w:r>
        <w:rPr/>
        <w:t>3.3 Transactions and consistency</w:t>
      </w:r>
    </w:p>
    <w:p>
      <w:pPr>
        <w:pStyle w:val="TextBody"/>
        <w:bidi w:val="0"/>
        <w:spacing w:before="0" w:after="140"/>
        <w:jc w:val="both"/>
        <w:rPr/>
      </w:pPr>
      <w:r>
        <w:rPr/>
        <w:t xml:space="preserve">Relational databases provide full ACID transactions across any number of rows and tables. This is essential when, for example, an order and a stock movement must both succeed or both fail. Document stores traditionally guaranteed atomicity only within a single document, on the reasoning that a well-designed document contains everything that must change together. Modern document stores, including MongoDB, now offer multi-document ACID transactions, but these are slower and are not the intended default pattern. In a replicated document store, consistency is </w:t>
      </w:r>
      <w:r>
        <w:rPr>
          <w:rStyle w:val="StrongEmphasis"/>
        </w:rPr>
        <w:t>tunable</w:t>
      </w:r>
      <w:r>
        <w:rPr/>
        <w:t>. The application chooses how many replicas must acknowledge a write (write concern) and which replicas may serve reads (read preference). Stronger settings cost latency, as PACELC predicts.</w:t>
      </w:r>
    </w:p>
    <w:p>
      <w:pPr>
        <w:pStyle w:val="TextBody"/>
        <w:bidi w:val="0"/>
        <w:spacing w:before="0" w:after="140"/>
        <w:jc w:val="both"/>
        <w:rPr/>
      </w:pPr>
      <w:r>
        <w:rPr>
          <w:rStyle w:val="StrongEmphasis"/>
        </w:rPr>
        <w:t>Evaluation:</w:t>
      </w:r>
      <w:r>
        <w:rPr/>
        <w:t xml:space="preserve"> strict, multi-entity transactional integrity remains the relational model's strongest argument. Sensor events are independent, append-only facts, so single-document atomicity with majority-acknowledged writes gives all the durability they need.</w:t>
      </w:r>
    </w:p>
    <w:p>
      <w:pPr>
        <w:pStyle w:val="Heading3"/>
        <w:bidi w:val="0"/>
        <w:jc w:val="left"/>
        <w:rPr/>
      </w:pPr>
      <w:r>
        <w:rPr/>
        <w:t>3.4 Scalability and availability</w:t>
      </w:r>
    </w:p>
    <w:p>
      <w:pPr>
        <w:pStyle w:val="TextBody"/>
        <w:bidi w:val="0"/>
        <w:spacing w:before="0" w:after="140"/>
        <w:jc w:val="both"/>
        <w:rPr/>
      </w:pPr>
      <w:r>
        <w:rPr/>
        <w:t xml:space="preserve">Relational databases were designed for a single server and traditionally </w:t>
      </w:r>
      <w:r>
        <w:rPr>
          <w:rStyle w:val="StrongEmphasis"/>
        </w:rPr>
        <w:t>scale vertically</w:t>
      </w:r>
      <w:r>
        <w:rPr/>
        <w:t xml:space="preserve"> with a bigger machine. Replication for read scaling and failover is mature, but spreading writes across many servers usually needs application-level sharding or specialist products. Document stores were designed to </w:t>
      </w:r>
      <w:r>
        <w:rPr>
          <w:rStyle w:val="StrongEmphasis"/>
        </w:rPr>
        <w:t>scale horizontally</w:t>
      </w:r>
      <w:r>
        <w:rPr/>
        <w:t>. Replication with automatic failover and hash- or range-based sharding are built in (Cattell, 2011). The trade-off is operational complexity: a cluster has more moving parts to monitor, and a poor shard key can create hot spots.</w:t>
      </w:r>
    </w:p>
    <w:p>
      <w:pPr>
        <w:pStyle w:val="TextBody"/>
        <w:bidi w:val="0"/>
        <w:spacing w:before="0" w:after="140"/>
        <w:jc w:val="both"/>
        <w:rPr/>
      </w:pPr>
      <w:r>
        <w:rPr>
          <w:rStyle w:val="StrongEmphasis"/>
        </w:rPr>
        <w:t>Evaluation:</w:t>
      </w:r>
      <w:r>
        <w:rPr/>
        <w:t xml:space="preserve"> sensor data grows with every home installed and every hour that passes, while business data grows much more slowly. The ingest workload benefits most from horizontal scaling and automatic failover.</w:t>
      </w:r>
    </w:p>
    <w:p>
      <w:pPr>
        <w:pStyle w:val="Heading3"/>
        <w:bidi w:val="0"/>
        <w:jc w:val="left"/>
        <w:rPr/>
      </w:pPr>
      <w:r>
        <w:rPr/>
        <w:t>3.5 Query language, tooling and skills</w:t>
      </w:r>
    </w:p>
    <w:p>
      <w:pPr>
        <w:pStyle w:val="TextBody"/>
        <w:bidi w:val="0"/>
        <w:spacing w:before="0" w:after="140"/>
        <w:jc w:val="both"/>
        <w:rPr/>
      </w:pPr>
      <w:r>
        <w:rPr/>
        <w:t xml:space="preserve">SQL is an international standard, used for five decades, with a huge ecosystem of reporting tools, trained staff and literature. Document stores use product-specific query APIs. MongoDB's aggregation pipeline is powerful, with windowing, time bucketing and statistical operators such as median, but the skills do not transfer directly between vendors. This creates a degree of </w:t>
      </w:r>
      <w:r>
        <w:rPr>
          <w:rStyle w:val="StrongEmphasis"/>
        </w:rPr>
        <w:t>vendor lock-in</w:t>
      </w:r>
      <w:r>
        <w:rPr/>
        <w:t xml:space="preserve"> and a training cost. Business-intelligence tools also connect to SQL databases more readily.</w:t>
      </w:r>
    </w:p>
    <w:p>
      <w:pPr>
        <w:pStyle w:val="TextBody"/>
        <w:bidi w:val="0"/>
        <w:spacing w:before="0" w:after="140"/>
        <w:jc w:val="both"/>
        <w:rPr/>
      </w:pPr>
      <w:r>
        <w:rPr>
          <w:rStyle w:val="StrongEmphasis"/>
        </w:rPr>
        <w:t>Evaluation:</w:t>
      </w:r>
      <w:r>
        <w:rPr/>
        <w:t xml:space="preserve"> this is a genuine cost for a small company. It is mitigated by exposing sensor data through a stable REST API (section 5), so most consumers never touch the query language.</w:t>
      </w:r>
    </w:p>
    <w:p>
      <w:pPr>
        <w:pStyle w:val="Heading3"/>
        <w:bidi w:val="0"/>
        <w:jc w:val="left"/>
        <w:rPr/>
      </w:pPr>
      <w:r>
        <w:rPr/>
        <w:t>3.6 Performance for time-series writes</w:t>
      </w:r>
    </w:p>
    <w:p>
      <w:pPr>
        <w:pStyle w:val="TextBody"/>
        <w:bidi w:val="0"/>
        <w:spacing w:before="0" w:after="140"/>
        <w:jc w:val="both"/>
        <w:rPr/>
      </w:pPr>
      <w:r>
        <w:rPr/>
        <w:t xml:space="preserve">Relational databases handle insert-heavy workloads adequately, but every row carries per-row overhead, and every index must be updated on each insert. General-purpose tables do not compress repetitive time-stamped data well. Document stores, and especially dedicated time-series collections, group measurements from the same source into compressed </w:t>
      </w:r>
      <w:r>
        <w:rPr>
          <w:rStyle w:val="StrongEmphasis"/>
        </w:rPr>
        <w:t>buckets</w:t>
      </w:r>
      <w:r>
        <w:rPr/>
        <w:t>. Section 4.10 measures the effect in this project. For the same 289,602 events, a plain collection used 26.2 MB, while a tuned time-series collection used 3.6 MB.</w:t>
      </w:r>
    </w:p>
    <w:p>
      <w:pPr>
        <w:pStyle w:val="Heading3"/>
        <w:bidi w:val="0"/>
        <w:jc w:val="left"/>
        <w:rPr/>
      </w:pPr>
      <w:r>
        <w:rPr/>
        <w:t>3.7 NoSQL extends rather than replaces SQL</w:t>
      </w:r>
    </w:p>
    <w:p>
      <w:pPr>
        <w:pStyle w:val="TextBody"/>
        <w:bidi w:val="0"/>
        <w:spacing w:before="0" w:after="140"/>
        <w:jc w:val="both"/>
        <w:rPr/>
      </w:pPr>
      <w:r>
        <w:rPr/>
        <w:t xml:space="preserve">The most important conclusion of this comparison is that the two approaches are </w:t>
      </w:r>
      <w:r>
        <w:rPr>
          <w:rStyle w:val="StrongEmphasis"/>
        </w:rPr>
        <w:t>complementary</w:t>
      </w:r>
      <w:r>
        <w:rPr/>
        <w:t xml:space="preserve">. Fowler (2011) calls the practice of choosing the store that fits each workload </w:t>
      </w:r>
      <w:r>
        <w:rPr>
          <w:rStyle w:val="StrongEmphasis"/>
        </w:rPr>
        <w:t>polyglot persistence</w:t>
      </w:r>
      <w:r>
        <w:rPr/>
        <w:t>, and Stonebraker (2010) warns against treating NoSQL as a universal replacement. IoThings should keep its ERP, CRM, financial, sales and logistics data relational, where ACID transactions and ad-hoc joins matter. It should add a document store for high-volume, variably structured sensor data, where flexible schema, compression and horizontal scaling matter. The two are linked by a customer reference (</w:t>
      </w:r>
      <w:r>
        <w:rPr>
          <w:rStyle w:val="SourceText"/>
        </w:rPr>
        <w:t>customerRef</w:t>
      </w:r>
      <w:r>
        <w:rPr/>
        <w:t>), so no personal data needs to be copied into the new store.</w:t>
      </w:r>
    </w:p>
    <w:p>
      <w:pPr>
        <w:pStyle w:val="TextBody"/>
        <w:bidi w:val="0"/>
        <w:spacing w:before="0" w:after="140"/>
        <w:jc w:val="both"/>
        <w:rPr/>
      </w:pPr>
      <w:r>
        <w:rPr>
          <w:rStyle w:val="StrongEmphasis"/>
        </w:rPr>
        <w:t>Table 2: Relational databases compared with document stores</w:t>
      </w:r>
    </w:p>
    <w:tbl>
      <w:tblPr>
        <w:tblW w:w="9516" w:type="dxa"/>
        <w:jc w:val="left"/>
        <w:tblInd w:w="0" w:type="dxa"/>
        <w:tblLayout w:type="fixed"/>
        <w:tblCellMar>
          <w:top w:w="28" w:type="dxa"/>
          <w:left w:w="28" w:type="dxa"/>
          <w:bottom w:w="28" w:type="dxa"/>
          <w:right w:w="28" w:type="dxa"/>
        </w:tblCellMar>
      </w:tblPr>
      <w:tblGrid>
        <w:gridCol w:w="1784"/>
        <w:gridCol w:w="2010"/>
        <w:gridCol w:w="2994"/>
        <w:gridCol w:w="2728"/>
      </w:tblGrid>
      <w:tr>
        <w:trPr>
          <w:tblHeader w:val="true"/>
        </w:trPr>
        <w:tc>
          <w:tcPr>
            <w:tcW w:w="1784" w:type="dxa"/>
            <w:tcBorders/>
            <w:vAlign w:val="center"/>
          </w:tcPr>
          <w:p>
            <w:pPr>
              <w:pStyle w:val="TableHeading"/>
              <w:suppressLineNumbers/>
              <w:shd w:fill="0D3B66" w:val="clear"/>
              <w:bidi w:val="0"/>
              <w:spacing w:before="0" w:after="140"/>
              <w:jc w:val="left"/>
              <w:rPr/>
            </w:pPr>
            <w:r>
              <w:rPr/>
              <w:t>Criterion</w:t>
            </w:r>
          </w:p>
        </w:tc>
        <w:tc>
          <w:tcPr>
            <w:tcW w:w="2010" w:type="dxa"/>
            <w:tcBorders/>
            <w:vAlign w:val="center"/>
          </w:tcPr>
          <w:p>
            <w:pPr>
              <w:pStyle w:val="TableHeading"/>
              <w:suppressLineNumbers/>
              <w:shd w:fill="0D3B66" w:val="clear"/>
              <w:bidi w:val="0"/>
              <w:spacing w:before="0" w:after="140"/>
              <w:jc w:val="left"/>
              <w:rPr/>
            </w:pPr>
            <w:r>
              <w:rPr/>
              <w:t>Relational</w:t>
            </w:r>
          </w:p>
        </w:tc>
        <w:tc>
          <w:tcPr>
            <w:tcW w:w="2994" w:type="dxa"/>
            <w:tcBorders/>
            <w:vAlign w:val="center"/>
          </w:tcPr>
          <w:p>
            <w:pPr>
              <w:pStyle w:val="TableHeading"/>
              <w:suppressLineNumbers/>
              <w:shd w:fill="0D3B66" w:val="clear"/>
              <w:bidi w:val="0"/>
              <w:spacing w:before="0" w:after="140"/>
              <w:jc w:val="left"/>
              <w:rPr/>
            </w:pPr>
            <w:r>
              <w:rPr/>
              <w:t>Document store</w:t>
            </w:r>
          </w:p>
        </w:tc>
        <w:tc>
          <w:tcPr>
            <w:tcW w:w="2728" w:type="dxa"/>
            <w:tcBorders/>
            <w:vAlign w:val="center"/>
          </w:tcPr>
          <w:p>
            <w:pPr>
              <w:pStyle w:val="TableHeading"/>
              <w:suppressLineNumbers/>
              <w:shd w:fill="0D3B66" w:val="clear"/>
              <w:bidi w:val="0"/>
              <w:spacing w:before="0" w:after="140"/>
              <w:jc w:val="left"/>
              <w:rPr/>
            </w:pPr>
            <w:r>
              <w:rPr/>
              <w:t>Evaluation for IoThings</w:t>
            </w:r>
          </w:p>
        </w:tc>
      </w:tr>
      <w:tr>
        <w:trPr/>
        <w:tc>
          <w:tcPr>
            <w:tcW w:w="1784" w:type="dxa"/>
            <w:tcBorders/>
            <w:vAlign w:val="center"/>
          </w:tcPr>
          <w:p>
            <w:pPr>
              <w:pStyle w:val="TableContents"/>
              <w:bidi w:val="0"/>
              <w:spacing w:before="0" w:after="140"/>
              <w:jc w:val="left"/>
              <w:rPr/>
            </w:pPr>
            <w:r>
              <w:rPr/>
              <w:t>Schema</w:t>
            </w:r>
          </w:p>
        </w:tc>
        <w:tc>
          <w:tcPr>
            <w:tcW w:w="2010" w:type="dxa"/>
            <w:tcBorders/>
            <w:vAlign w:val="center"/>
          </w:tcPr>
          <w:p>
            <w:pPr>
              <w:pStyle w:val="TableContents"/>
              <w:bidi w:val="0"/>
              <w:spacing w:before="0" w:after="140"/>
              <w:jc w:val="left"/>
              <w:rPr/>
            </w:pPr>
            <w:r>
              <w:rPr/>
              <w:t>Fixed, declared in advance; strong integrity</w:t>
            </w:r>
          </w:p>
        </w:tc>
        <w:tc>
          <w:tcPr>
            <w:tcW w:w="2994" w:type="dxa"/>
            <w:tcBorders/>
            <w:vAlign w:val="center"/>
          </w:tcPr>
          <w:p>
            <w:pPr>
              <w:pStyle w:val="TableContents"/>
              <w:bidi w:val="0"/>
              <w:spacing w:before="0" w:after="140"/>
              <w:jc w:val="left"/>
              <w:rPr/>
            </w:pPr>
            <w:r>
              <w:rPr/>
              <w:t>Flexible per document; optional validation</w:t>
            </w:r>
          </w:p>
        </w:tc>
        <w:tc>
          <w:tcPr>
            <w:tcW w:w="2728" w:type="dxa"/>
            <w:tcBorders/>
            <w:vAlign w:val="center"/>
          </w:tcPr>
          <w:p>
            <w:pPr>
              <w:pStyle w:val="TableContents"/>
              <w:bidi w:val="0"/>
              <w:spacing w:before="0" w:after="140"/>
              <w:jc w:val="left"/>
              <w:rPr/>
            </w:pPr>
            <w:r>
              <w:rPr/>
              <w:t>Document store for varied sensor payloads; relational for business records</w:t>
            </w:r>
          </w:p>
        </w:tc>
      </w:tr>
      <w:tr>
        <w:trPr/>
        <w:tc>
          <w:tcPr>
            <w:tcW w:w="1784" w:type="dxa"/>
            <w:tcBorders/>
            <w:vAlign w:val="center"/>
          </w:tcPr>
          <w:p>
            <w:pPr>
              <w:pStyle w:val="TableContents"/>
              <w:bidi w:val="0"/>
              <w:spacing w:before="0" w:after="140"/>
              <w:jc w:val="left"/>
              <w:rPr/>
            </w:pPr>
            <w:r>
              <w:rPr/>
              <w:t>Relationships</w:t>
            </w:r>
          </w:p>
        </w:tc>
        <w:tc>
          <w:tcPr>
            <w:tcW w:w="2010" w:type="dxa"/>
            <w:tcBorders/>
            <w:vAlign w:val="center"/>
          </w:tcPr>
          <w:p>
            <w:pPr>
              <w:pStyle w:val="TableContents"/>
              <w:bidi w:val="0"/>
              <w:spacing w:before="0" w:after="140"/>
              <w:jc w:val="left"/>
              <w:rPr/>
            </w:pPr>
            <w:r>
              <w:rPr/>
              <w:t>Joins across any tables; ad-hoc queries</w:t>
            </w:r>
          </w:p>
        </w:tc>
        <w:tc>
          <w:tcPr>
            <w:tcW w:w="2994" w:type="dxa"/>
            <w:tcBorders/>
            <w:vAlign w:val="center"/>
          </w:tcPr>
          <w:p>
            <w:pPr>
              <w:pStyle w:val="TableContents"/>
              <w:bidi w:val="0"/>
              <w:spacing w:before="0" w:after="140"/>
              <w:jc w:val="left"/>
              <w:rPr/>
            </w:pPr>
            <w:r>
              <w:rPr/>
              <w:t xml:space="preserve">Embed or reference; </w:t>
            </w:r>
            <w:r>
              <w:rPr>
                <w:rStyle w:val="SourceText"/>
              </w:rPr>
              <w:t>$lookup</w:t>
            </w:r>
            <w:r>
              <w:rPr/>
              <w:t xml:space="preserve"> for joins</w:t>
            </w:r>
          </w:p>
        </w:tc>
        <w:tc>
          <w:tcPr>
            <w:tcW w:w="2728" w:type="dxa"/>
            <w:tcBorders/>
            <w:vAlign w:val="center"/>
          </w:tcPr>
          <w:p>
            <w:pPr>
              <w:pStyle w:val="TableContents"/>
              <w:bidi w:val="0"/>
              <w:spacing w:before="0" w:after="140"/>
              <w:jc w:val="left"/>
              <w:rPr/>
            </w:pPr>
            <w:r>
              <w:rPr/>
              <w:t>Sensor access patterns are narrow and known, so the join weakness costs little</w:t>
            </w:r>
          </w:p>
        </w:tc>
      </w:tr>
      <w:tr>
        <w:trPr/>
        <w:tc>
          <w:tcPr>
            <w:tcW w:w="1784" w:type="dxa"/>
            <w:tcBorders/>
            <w:vAlign w:val="center"/>
          </w:tcPr>
          <w:p>
            <w:pPr>
              <w:pStyle w:val="TableContents"/>
              <w:bidi w:val="0"/>
              <w:spacing w:before="0" w:after="140"/>
              <w:jc w:val="left"/>
              <w:rPr/>
            </w:pPr>
            <w:r>
              <w:rPr/>
              <w:t>Transactions</w:t>
            </w:r>
          </w:p>
        </w:tc>
        <w:tc>
          <w:tcPr>
            <w:tcW w:w="2010" w:type="dxa"/>
            <w:tcBorders/>
            <w:vAlign w:val="center"/>
          </w:tcPr>
          <w:p>
            <w:pPr>
              <w:pStyle w:val="TableContents"/>
              <w:bidi w:val="0"/>
              <w:spacing w:before="0" w:after="140"/>
              <w:jc w:val="left"/>
              <w:rPr/>
            </w:pPr>
            <w:r>
              <w:rPr/>
              <w:t>Full multi-table ACID</w:t>
            </w:r>
          </w:p>
        </w:tc>
        <w:tc>
          <w:tcPr>
            <w:tcW w:w="2994" w:type="dxa"/>
            <w:tcBorders/>
            <w:vAlign w:val="center"/>
          </w:tcPr>
          <w:p>
            <w:pPr>
              <w:pStyle w:val="TableContents"/>
              <w:bidi w:val="0"/>
              <w:spacing w:before="0" w:after="140"/>
              <w:jc w:val="left"/>
              <w:rPr/>
            </w:pPr>
            <w:r>
              <w:rPr/>
              <w:t>Single-document atomic; multi-document ACID available but costly</w:t>
            </w:r>
          </w:p>
        </w:tc>
        <w:tc>
          <w:tcPr>
            <w:tcW w:w="2728" w:type="dxa"/>
            <w:tcBorders/>
            <w:vAlign w:val="center"/>
          </w:tcPr>
          <w:p>
            <w:pPr>
              <w:pStyle w:val="TableContents"/>
              <w:bidi w:val="0"/>
              <w:spacing w:before="0" w:after="140"/>
              <w:jc w:val="left"/>
              <w:rPr/>
            </w:pPr>
            <w:r>
              <w:rPr/>
              <w:t>Relational for orders and finance; single-event atomicity is enough for sensors</w:t>
            </w:r>
          </w:p>
        </w:tc>
      </w:tr>
      <w:tr>
        <w:trPr/>
        <w:tc>
          <w:tcPr>
            <w:tcW w:w="1784" w:type="dxa"/>
            <w:tcBorders/>
            <w:vAlign w:val="center"/>
          </w:tcPr>
          <w:p>
            <w:pPr>
              <w:pStyle w:val="TableContents"/>
              <w:bidi w:val="0"/>
              <w:spacing w:before="0" w:after="140"/>
              <w:jc w:val="left"/>
              <w:rPr/>
            </w:pPr>
            <w:r>
              <w:rPr/>
              <w:t>Consistency</w:t>
            </w:r>
          </w:p>
        </w:tc>
        <w:tc>
          <w:tcPr>
            <w:tcW w:w="2010" w:type="dxa"/>
            <w:tcBorders/>
            <w:vAlign w:val="center"/>
          </w:tcPr>
          <w:p>
            <w:pPr>
              <w:pStyle w:val="TableContents"/>
              <w:bidi w:val="0"/>
              <w:spacing w:before="0" w:after="140"/>
              <w:jc w:val="left"/>
              <w:rPr/>
            </w:pPr>
            <w:r>
              <w:rPr/>
              <w:t>Strong by default</w:t>
            </w:r>
          </w:p>
        </w:tc>
        <w:tc>
          <w:tcPr>
            <w:tcW w:w="2994" w:type="dxa"/>
            <w:tcBorders/>
            <w:vAlign w:val="center"/>
          </w:tcPr>
          <w:p>
            <w:pPr>
              <w:pStyle w:val="TableContents"/>
              <w:bidi w:val="0"/>
              <w:spacing w:before="0" w:after="140"/>
              <w:jc w:val="left"/>
              <w:rPr/>
            </w:pPr>
            <w:r>
              <w:rPr/>
              <w:t>Tunable (write concern, read preference)</w:t>
            </w:r>
          </w:p>
        </w:tc>
        <w:tc>
          <w:tcPr>
            <w:tcW w:w="2728" w:type="dxa"/>
            <w:tcBorders/>
            <w:vAlign w:val="center"/>
          </w:tcPr>
          <w:p>
            <w:pPr>
              <w:pStyle w:val="TableContents"/>
              <w:bidi w:val="0"/>
              <w:spacing w:before="0" w:after="140"/>
              <w:jc w:val="left"/>
              <w:rPr/>
            </w:pPr>
            <w:r>
              <w:rPr/>
              <w:t>Majority writes give durability without much latency cost</w:t>
            </w:r>
          </w:p>
        </w:tc>
      </w:tr>
      <w:tr>
        <w:trPr/>
        <w:tc>
          <w:tcPr>
            <w:tcW w:w="1784" w:type="dxa"/>
            <w:tcBorders/>
            <w:vAlign w:val="center"/>
          </w:tcPr>
          <w:p>
            <w:pPr>
              <w:pStyle w:val="TableContents"/>
              <w:bidi w:val="0"/>
              <w:spacing w:before="0" w:after="140"/>
              <w:jc w:val="left"/>
              <w:rPr/>
            </w:pPr>
            <w:r>
              <w:rPr/>
              <w:t>Scalability</w:t>
            </w:r>
          </w:p>
        </w:tc>
        <w:tc>
          <w:tcPr>
            <w:tcW w:w="2010" w:type="dxa"/>
            <w:tcBorders/>
            <w:vAlign w:val="center"/>
          </w:tcPr>
          <w:p>
            <w:pPr>
              <w:pStyle w:val="TableContents"/>
              <w:bidi w:val="0"/>
              <w:spacing w:before="0" w:after="140"/>
              <w:jc w:val="left"/>
              <w:rPr/>
            </w:pPr>
            <w:r>
              <w:rPr/>
              <w:t>Vertical; horizontal is harder</w:t>
            </w:r>
          </w:p>
        </w:tc>
        <w:tc>
          <w:tcPr>
            <w:tcW w:w="2994" w:type="dxa"/>
            <w:tcBorders/>
            <w:vAlign w:val="center"/>
          </w:tcPr>
          <w:p>
            <w:pPr>
              <w:pStyle w:val="TableContents"/>
              <w:bidi w:val="0"/>
              <w:spacing w:before="0" w:after="140"/>
              <w:jc w:val="left"/>
              <w:rPr/>
            </w:pPr>
            <w:r>
              <w:rPr/>
              <w:t>Horizontal replication and sharding built in</w:t>
            </w:r>
          </w:p>
        </w:tc>
        <w:tc>
          <w:tcPr>
            <w:tcW w:w="2728" w:type="dxa"/>
            <w:tcBorders/>
            <w:vAlign w:val="center"/>
          </w:tcPr>
          <w:p>
            <w:pPr>
              <w:pStyle w:val="TableContents"/>
              <w:bidi w:val="0"/>
              <w:spacing w:before="0" w:after="140"/>
              <w:jc w:val="left"/>
              <w:rPr/>
            </w:pPr>
            <w:r>
              <w:rPr/>
              <w:t>Sensor data grows fastest, so scale-out matters</w:t>
            </w:r>
          </w:p>
        </w:tc>
      </w:tr>
      <w:tr>
        <w:trPr/>
        <w:tc>
          <w:tcPr>
            <w:tcW w:w="1784" w:type="dxa"/>
            <w:tcBorders/>
            <w:vAlign w:val="center"/>
          </w:tcPr>
          <w:p>
            <w:pPr>
              <w:pStyle w:val="TableContents"/>
              <w:bidi w:val="0"/>
              <w:spacing w:before="0" w:after="140"/>
              <w:jc w:val="left"/>
              <w:rPr/>
            </w:pPr>
            <w:r>
              <w:rPr/>
              <w:t>Query language</w:t>
            </w:r>
          </w:p>
        </w:tc>
        <w:tc>
          <w:tcPr>
            <w:tcW w:w="2010" w:type="dxa"/>
            <w:tcBorders/>
            <w:vAlign w:val="center"/>
          </w:tcPr>
          <w:p>
            <w:pPr>
              <w:pStyle w:val="TableContents"/>
              <w:bidi w:val="0"/>
              <w:spacing w:before="0" w:after="140"/>
              <w:jc w:val="left"/>
              <w:rPr/>
            </w:pPr>
            <w:r>
              <w:rPr/>
              <w:t>Standard SQL; vast ecosystem</w:t>
            </w:r>
          </w:p>
        </w:tc>
        <w:tc>
          <w:tcPr>
            <w:tcW w:w="2994" w:type="dxa"/>
            <w:tcBorders/>
            <w:vAlign w:val="center"/>
          </w:tcPr>
          <w:p>
            <w:pPr>
              <w:pStyle w:val="TableContents"/>
              <w:bidi w:val="0"/>
              <w:spacing w:before="0" w:after="140"/>
              <w:jc w:val="left"/>
              <w:rPr/>
            </w:pPr>
            <w:r>
              <w:rPr/>
              <w:t>Vendor-specific APIs and pipelines</w:t>
            </w:r>
          </w:p>
        </w:tc>
        <w:tc>
          <w:tcPr>
            <w:tcW w:w="2728" w:type="dxa"/>
            <w:tcBorders/>
            <w:vAlign w:val="center"/>
          </w:tcPr>
          <w:p>
            <w:pPr>
              <w:pStyle w:val="TableContents"/>
              <w:bidi w:val="0"/>
              <w:spacing w:before="0" w:after="140"/>
              <w:jc w:val="left"/>
              <w:rPr/>
            </w:pPr>
            <w:r>
              <w:rPr/>
              <w:t>Hide behind a REST API to limit lock-in</w:t>
            </w:r>
          </w:p>
        </w:tc>
      </w:tr>
      <w:tr>
        <w:trPr/>
        <w:tc>
          <w:tcPr>
            <w:tcW w:w="1784" w:type="dxa"/>
            <w:tcBorders/>
            <w:vAlign w:val="center"/>
          </w:tcPr>
          <w:p>
            <w:pPr>
              <w:pStyle w:val="TableContents"/>
              <w:bidi w:val="0"/>
              <w:spacing w:before="0" w:after="140"/>
              <w:jc w:val="left"/>
              <w:rPr/>
            </w:pPr>
            <w:r>
              <w:rPr/>
              <w:t>Time-series writes</w:t>
            </w:r>
          </w:p>
        </w:tc>
        <w:tc>
          <w:tcPr>
            <w:tcW w:w="2010" w:type="dxa"/>
            <w:tcBorders/>
            <w:vAlign w:val="center"/>
          </w:tcPr>
          <w:p>
            <w:pPr>
              <w:pStyle w:val="TableContents"/>
              <w:bidi w:val="0"/>
              <w:spacing w:before="0" w:after="140"/>
              <w:jc w:val="left"/>
              <w:rPr/>
            </w:pPr>
            <w:r>
              <w:rPr/>
              <w:t>Per-row and per-index overhead</w:t>
            </w:r>
          </w:p>
        </w:tc>
        <w:tc>
          <w:tcPr>
            <w:tcW w:w="2994" w:type="dxa"/>
            <w:tcBorders/>
            <w:vAlign w:val="center"/>
          </w:tcPr>
          <w:p>
            <w:pPr>
              <w:pStyle w:val="TableContents"/>
              <w:bidi w:val="0"/>
              <w:spacing w:before="0" w:after="140"/>
              <w:jc w:val="left"/>
              <w:rPr/>
            </w:pPr>
            <w:r>
              <w:rPr/>
              <w:t>Bucketed, compressed time-series collections</w:t>
            </w:r>
          </w:p>
        </w:tc>
        <w:tc>
          <w:tcPr>
            <w:tcW w:w="2728" w:type="dxa"/>
            <w:tcBorders/>
            <w:vAlign w:val="center"/>
          </w:tcPr>
          <w:p>
            <w:pPr>
              <w:pStyle w:val="TableContents"/>
              <w:bidi w:val="0"/>
              <w:spacing w:before="0" w:after="140"/>
              <w:jc w:val="left"/>
              <w:rPr/>
            </w:pPr>
            <w:r>
              <w:rPr/>
              <w:t>7× smaller than a plain collection (section 4.10)</w:t>
            </w:r>
          </w:p>
        </w:tc>
      </w:tr>
      <w:tr>
        <w:trPr/>
        <w:tc>
          <w:tcPr>
            <w:tcW w:w="1784" w:type="dxa"/>
            <w:tcBorders/>
            <w:vAlign w:val="center"/>
          </w:tcPr>
          <w:p>
            <w:pPr>
              <w:pStyle w:val="TableContents"/>
              <w:bidi w:val="0"/>
              <w:spacing w:before="0" w:after="140"/>
              <w:jc w:val="left"/>
              <w:rPr/>
            </w:pPr>
            <w:r>
              <w:rPr/>
              <w:t>Maturity and skills</w:t>
            </w:r>
          </w:p>
        </w:tc>
        <w:tc>
          <w:tcPr>
            <w:tcW w:w="2010" w:type="dxa"/>
            <w:tcBorders/>
            <w:vAlign w:val="center"/>
          </w:tcPr>
          <w:p>
            <w:pPr>
              <w:pStyle w:val="TableContents"/>
              <w:bidi w:val="0"/>
              <w:spacing w:before="0" w:after="140"/>
              <w:jc w:val="left"/>
              <w:rPr/>
            </w:pPr>
            <w:r>
              <w:rPr/>
              <w:t>Very mature; skills plentiful</w:t>
            </w:r>
          </w:p>
        </w:tc>
        <w:tc>
          <w:tcPr>
            <w:tcW w:w="2994" w:type="dxa"/>
            <w:tcBorders/>
            <w:vAlign w:val="center"/>
          </w:tcPr>
          <w:p>
            <w:pPr>
              <w:pStyle w:val="TableContents"/>
              <w:bidi w:val="0"/>
              <w:spacing w:before="0" w:after="140"/>
              <w:jc w:val="left"/>
              <w:rPr/>
            </w:pPr>
            <w:r>
              <w:rPr/>
              <w:t>Mature but younger; skills rarer</w:t>
            </w:r>
          </w:p>
        </w:tc>
        <w:tc>
          <w:tcPr>
            <w:tcW w:w="2728" w:type="dxa"/>
            <w:tcBorders/>
            <w:vAlign w:val="center"/>
          </w:tcPr>
          <w:p>
            <w:pPr>
              <w:pStyle w:val="TableContents"/>
              <w:bidi w:val="0"/>
              <w:spacing w:before="0" w:after="140"/>
              <w:jc w:val="left"/>
              <w:rPr/>
            </w:pPr>
            <w:r>
              <w:rPr/>
              <w:t>Training cost is modest for one bounded workload</w:t>
            </w:r>
          </w:p>
        </w:tc>
      </w:tr>
    </w:tbl>
    <w:p>
      <w:pPr>
        <w:pStyle w:val="Heading2pb"/>
        <w:bidi w:val="0"/>
        <w:jc w:val="left"/>
        <w:rPr/>
      </w:pPr>
      <w:r>
        <w:rPr/>
        <w:t>4. IoThings NoSQL Database Design and Implementation</w:t>
      </w:r>
    </w:p>
    <w:p>
      <w:pPr>
        <w:pStyle w:val="Heading3"/>
        <w:bidi w:val="0"/>
        <w:jc w:val="left"/>
        <w:rPr/>
      </w:pPr>
      <w:r>
        <w:rPr/>
        <w:t>4.1 Requirements</w:t>
      </w:r>
    </w:p>
    <w:p>
      <w:pPr>
        <w:pStyle w:val="TextBody"/>
        <w:bidi w:val="0"/>
        <w:spacing w:before="0" w:after="140"/>
        <w:jc w:val="both"/>
        <w:rPr/>
      </w:pPr>
      <w:r>
        <w:rPr/>
        <w:t>The requirements below were derived from the brief. Each is traced to its evidence later in this report.</w:t>
      </w:r>
    </w:p>
    <w:tbl>
      <w:tblPr>
        <w:tblW w:w="9516" w:type="dxa"/>
        <w:jc w:val="left"/>
        <w:tblInd w:w="0" w:type="dxa"/>
        <w:tblLayout w:type="fixed"/>
        <w:tblCellMar>
          <w:top w:w="28" w:type="dxa"/>
          <w:left w:w="28" w:type="dxa"/>
          <w:bottom w:w="28" w:type="dxa"/>
          <w:right w:w="28" w:type="dxa"/>
        </w:tblCellMar>
      </w:tblPr>
      <w:tblGrid>
        <w:gridCol w:w="436"/>
        <w:gridCol w:w="6275"/>
        <w:gridCol w:w="2805"/>
      </w:tblGrid>
      <w:tr>
        <w:trPr>
          <w:tblHeader w:val="true"/>
        </w:trPr>
        <w:tc>
          <w:tcPr>
            <w:tcW w:w="436" w:type="dxa"/>
            <w:tcBorders/>
            <w:vAlign w:val="center"/>
          </w:tcPr>
          <w:p>
            <w:pPr>
              <w:pStyle w:val="TableHeading"/>
              <w:suppressLineNumbers/>
              <w:shd w:fill="0D3B66" w:val="clear"/>
              <w:bidi w:val="0"/>
              <w:spacing w:before="0" w:after="140"/>
              <w:jc w:val="left"/>
              <w:rPr/>
            </w:pPr>
            <w:r>
              <w:rPr/>
              <w:t>#</w:t>
            </w:r>
          </w:p>
        </w:tc>
        <w:tc>
          <w:tcPr>
            <w:tcW w:w="6275" w:type="dxa"/>
            <w:tcBorders/>
            <w:vAlign w:val="center"/>
          </w:tcPr>
          <w:p>
            <w:pPr>
              <w:pStyle w:val="TableHeading"/>
              <w:suppressLineNumbers/>
              <w:shd w:fill="0D3B66" w:val="clear"/>
              <w:bidi w:val="0"/>
              <w:spacing w:before="0" w:after="140"/>
              <w:jc w:val="left"/>
              <w:rPr/>
            </w:pPr>
            <w:r>
              <w:rPr/>
              <w:t>Requirement</w:t>
            </w:r>
          </w:p>
        </w:tc>
        <w:tc>
          <w:tcPr>
            <w:tcW w:w="2805" w:type="dxa"/>
            <w:tcBorders/>
            <w:vAlign w:val="center"/>
          </w:tcPr>
          <w:p>
            <w:pPr>
              <w:pStyle w:val="TableHeading"/>
              <w:suppressLineNumbers/>
              <w:shd w:fill="0D3B66" w:val="clear"/>
              <w:bidi w:val="0"/>
              <w:spacing w:before="0" w:after="140"/>
              <w:jc w:val="left"/>
              <w:rPr/>
            </w:pPr>
            <w:r>
              <w:rPr/>
              <w:t>Where it is met</w:t>
            </w:r>
          </w:p>
        </w:tc>
      </w:tr>
      <w:tr>
        <w:trPr/>
        <w:tc>
          <w:tcPr>
            <w:tcW w:w="436" w:type="dxa"/>
            <w:tcBorders/>
            <w:vAlign w:val="center"/>
          </w:tcPr>
          <w:p>
            <w:pPr>
              <w:pStyle w:val="TableContents"/>
              <w:bidi w:val="0"/>
              <w:spacing w:before="0" w:after="140"/>
              <w:jc w:val="left"/>
              <w:rPr/>
            </w:pPr>
            <w:r>
              <w:rPr/>
              <w:t>R1</w:t>
            </w:r>
          </w:p>
        </w:tc>
        <w:tc>
          <w:tcPr>
            <w:tcW w:w="6275" w:type="dxa"/>
            <w:tcBorders/>
            <w:vAlign w:val="center"/>
          </w:tcPr>
          <w:p>
            <w:pPr>
              <w:pStyle w:val="TableContents"/>
              <w:bidi w:val="0"/>
              <w:spacing w:before="0" w:after="140"/>
              <w:jc w:val="left"/>
              <w:rPr/>
            </w:pPr>
            <w:r>
              <w:rPr/>
              <w:t>Store sensor-activation data received as MQTT messages</w:t>
            </w:r>
          </w:p>
        </w:tc>
        <w:tc>
          <w:tcPr>
            <w:tcW w:w="2805" w:type="dxa"/>
            <w:tcBorders/>
            <w:vAlign w:val="center"/>
          </w:tcPr>
          <w:p>
            <w:pPr>
              <w:pStyle w:val="TableContents"/>
              <w:bidi w:val="0"/>
              <w:spacing w:before="0" w:after="140"/>
              <w:jc w:val="left"/>
              <w:rPr/>
            </w:pPr>
            <w:r>
              <w:rPr/>
              <w:t>4.6, Figure 7</w:t>
            </w:r>
          </w:p>
        </w:tc>
      </w:tr>
      <w:tr>
        <w:trPr/>
        <w:tc>
          <w:tcPr>
            <w:tcW w:w="436" w:type="dxa"/>
            <w:tcBorders/>
            <w:vAlign w:val="center"/>
          </w:tcPr>
          <w:p>
            <w:pPr>
              <w:pStyle w:val="TableContents"/>
              <w:bidi w:val="0"/>
              <w:spacing w:before="0" w:after="140"/>
              <w:jc w:val="left"/>
              <w:rPr/>
            </w:pPr>
            <w:r>
              <w:rPr/>
              <w:t>R2</w:t>
            </w:r>
          </w:p>
        </w:tc>
        <w:tc>
          <w:tcPr>
            <w:tcW w:w="6275" w:type="dxa"/>
            <w:tcBorders/>
            <w:vAlign w:val="center"/>
          </w:tcPr>
          <w:p>
            <w:pPr>
              <w:pStyle w:val="TableContents"/>
              <w:bidi w:val="0"/>
              <w:spacing w:before="0" w:after="140"/>
              <w:jc w:val="left"/>
              <w:rPr/>
            </w:pPr>
            <w:r>
              <w:rPr/>
              <w:t>A "three cluster" MongoDB system for security and availability</w:t>
            </w:r>
          </w:p>
        </w:tc>
        <w:tc>
          <w:tcPr>
            <w:tcW w:w="2805" w:type="dxa"/>
            <w:tcBorders/>
            <w:vAlign w:val="center"/>
          </w:tcPr>
          <w:p>
            <w:pPr>
              <w:pStyle w:val="TableContents"/>
              <w:bidi w:val="0"/>
              <w:spacing w:before="0" w:after="140"/>
              <w:jc w:val="left"/>
              <w:rPr/>
            </w:pPr>
            <w:r>
              <w:rPr/>
              <w:t>4.3, 4.9, Figures 2 and 9</w:t>
            </w:r>
          </w:p>
        </w:tc>
      </w:tr>
      <w:tr>
        <w:trPr/>
        <w:tc>
          <w:tcPr>
            <w:tcW w:w="436" w:type="dxa"/>
            <w:tcBorders/>
            <w:vAlign w:val="center"/>
          </w:tcPr>
          <w:p>
            <w:pPr>
              <w:pStyle w:val="TableContents"/>
              <w:bidi w:val="0"/>
              <w:spacing w:before="0" w:after="140"/>
              <w:jc w:val="left"/>
              <w:rPr/>
            </w:pPr>
            <w:r>
              <w:rPr/>
              <w:t>R3</w:t>
            </w:r>
          </w:p>
        </w:tc>
        <w:tc>
          <w:tcPr>
            <w:tcW w:w="6275" w:type="dxa"/>
            <w:tcBorders/>
            <w:vAlign w:val="center"/>
          </w:tcPr>
          <w:p>
            <w:pPr>
              <w:pStyle w:val="TableContents"/>
              <w:bidi w:val="0"/>
              <w:spacing w:before="0" w:after="140"/>
              <w:jc w:val="left"/>
              <w:rPr/>
            </w:pPr>
            <w:r>
              <w:rPr/>
              <w:t>Protect the data (security, UK GDPR)</w:t>
            </w:r>
          </w:p>
        </w:tc>
        <w:tc>
          <w:tcPr>
            <w:tcW w:w="2805" w:type="dxa"/>
            <w:tcBorders/>
            <w:vAlign w:val="center"/>
          </w:tcPr>
          <w:p>
            <w:pPr>
              <w:pStyle w:val="TableContents"/>
              <w:bidi w:val="0"/>
              <w:spacing w:before="0" w:after="140"/>
              <w:jc w:val="left"/>
              <w:rPr/>
            </w:pPr>
            <w:r>
              <w:rPr/>
              <w:t>4.4, Figure 6</w:t>
            </w:r>
          </w:p>
        </w:tc>
      </w:tr>
      <w:tr>
        <w:trPr/>
        <w:tc>
          <w:tcPr>
            <w:tcW w:w="436" w:type="dxa"/>
            <w:tcBorders/>
            <w:vAlign w:val="center"/>
          </w:tcPr>
          <w:p>
            <w:pPr>
              <w:pStyle w:val="TableContents"/>
              <w:bidi w:val="0"/>
              <w:spacing w:before="0" w:after="140"/>
              <w:jc w:val="left"/>
              <w:rPr/>
            </w:pPr>
            <w:r>
              <w:rPr/>
              <w:t>R4</w:t>
            </w:r>
          </w:p>
        </w:tc>
        <w:tc>
          <w:tcPr>
            <w:tcW w:w="6275" w:type="dxa"/>
            <w:tcBorders/>
            <w:vAlign w:val="center"/>
          </w:tcPr>
          <w:p>
            <w:pPr>
              <w:pStyle w:val="TableContents"/>
              <w:bidi w:val="0"/>
              <w:spacing w:before="0" w:after="140"/>
              <w:jc w:val="left"/>
              <w:rPr/>
            </w:pPr>
            <w:r>
              <w:rPr/>
              <w:t>Support prediction, recommendations and safety notifications</w:t>
            </w:r>
          </w:p>
        </w:tc>
        <w:tc>
          <w:tcPr>
            <w:tcW w:w="2805" w:type="dxa"/>
            <w:tcBorders/>
            <w:vAlign w:val="center"/>
          </w:tcPr>
          <w:p>
            <w:pPr>
              <w:pStyle w:val="TableContents"/>
              <w:bidi w:val="0"/>
              <w:spacing w:before="0" w:after="140"/>
              <w:jc w:val="left"/>
              <w:rPr/>
            </w:pPr>
            <w:r>
              <w:rPr/>
              <w:t>4.6, 5.3, Figures 11 and 12</w:t>
            </w:r>
          </w:p>
        </w:tc>
      </w:tr>
      <w:tr>
        <w:trPr/>
        <w:tc>
          <w:tcPr>
            <w:tcW w:w="436" w:type="dxa"/>
            <w:tcBorders/>
            <w:vAlign w:val="center"/>
          </w:tcPr>
          <w:p>
            <w:pPr>
              <w:pStyle w:val="TableContents"/>
              <w:bidi w:val="0"/>
              <w:spacing w:before="0" w:after="140"/>
              <w:jc w:val="left"/>
              <w:rPr/>
            </w:pPr>
            <w:r>
              <w:rPr/>
              <w:t>R5</w:t>
            </w:r>
          </w:p>
        </w:tc>
        <w:tc>
          <w:tcPr>
            <w:tcW w:w="6275" w:type="dxa"/>
            <w:tcBorders/>
            <w:vAlign w:val="center"/>
          </w:tcPr>
          <w:p>
            <w:pPr>
              <w:pStyle w:val="TableContents"/>
              <w:bidi w:val="0"/>
              <w:spacing w:before="0" w:after="140"/>
              <w:jc w:val="left"/>
              <w:rPr/>
            </w:pPr>
            <w:r>
              <w:rPr/>
              <w:t>A Node.js server to handle MQTT messages</w:t>
            </w:r>
          </w:p>
        </w:tc>
        <w:tc>
          <w:tcPr>
            <w:tcW w:w="2805" w:type="dxa"/>
            <w:tcBorders/>
            <w:vAlign w:val="center"/>
          </w:tcPr>
          <w:p>
            <w:pPr>
              <w:pStyle w:val="TableContents"/>
              <w:bidi w:val="0"/>
              <w:spacing w:before="0" w:after="140"/>
              <w:jc w:val="left"/>
              <w:rPr/>
            </w:pPr>
            <w:r>
              <w:rPr/>
              <w:t>4.6</w:t>
            </w:r>
          </w:p>
        </w:tc>
      </w:tr>
      <w:tr>
        <w:trPr/>
        <w:tc>
          <w:tcPr>
            <w:tcW w:w="436" w:type="dxa"/>
            <w:tcBorders/>
            <w:vAlign w:val="center"/>
          </w:tcPr>
          <w:p>
            <w:pPr>
              <w:pStyle w:val="TableContents"/>
              <w:bidi w:val="0"/>
              <w:spacing w:before="0" w:after="140"/>
              <w:jc w:val="left"/>
              <w:rPr/>
            </w:pPr>
            <w:r>
              <w:rPr/>
              <w:t>R6</w:t>
            </w:r>
          </w:p>
        </w:tc>
        <w:tc>
          <w:tcPr>
            <w:tcW w:w="6275" w:type="dxa"/>
            <w:tcBorders/>
            <w:vAlign w:val="center"/>
          </w:tcPr>
          <w:p>
            <w:pPr>
              <w:pStyle w:val="TableContents"/>
              <w:bidi w:val="0"/>
              <w:spacing w:before="0" w:after="140"/>
              <w:jc w:val="left"/>
              <w:rPr/>
            </w:pPr>
            <w:r>
              <w:rPr/>
              <w:t>An API to access and process stored data</w:t>
            </w:r>
          </w:p>
        </w:tc>
        <w:tc>
          <w:tcPr>
            <w:tcW w:w="2805" w:type="dxa"/>
            <w:tcBorders/>
            <w:vAlign w:val="center"/>
          </w:tcPr>
          <w:p>
            <w:pPr>
              <w:pStyle w:val="TableContents"/>
              <w:bidi w:val="0"/>
              <w:spacing w:before="0" w:after="140"/>
              <w:jc w:val="left"/>
              <w:rPr/>
            </w:pPr>
            <w:r>
              <w:rPr/>
              <w:t>Section 5, Figure 10</w:t>
            </w:r>
          </w:p>
        </w:tc>
      </w:tr>
      <w:tr>
        <w:trPr/>
        <w:tc>
          <w:tcPr>
            <w:tcW w:w="436" w:type="dxa"/>
            <w:tcBorders/>
            <w:vAlign w:val="center"/>
          </w:tcPr>
          <w:p>
            <w:pPr>
              <w:pStyle w:val="TableContents"/>
              <w:bidi w:val="0"/>
              <w:spacing w:before="0" w:after="140"/>
              <w:jc w:val="left"/>
              <w:rPr/>
            </w:pPr>
            <w:r>
              <w:rPr/>
              <w:t>R7</w:t>
            </w:r>
          </w:p>
        </w:tc>
        <w:tc>
          <w:tcPr>
            <w:tcW w:w="6275" w:type="dxa"/>
            <w:tcBorders/>
            <w:vAlign w:val="center"/>
          </w:tcPr>
          <w:p>
            <w:pPr>
              <w:pStyle w:val="TableContents"/>
              <w:bidi w:val="0"/>
              <w:spacing w:before="0" w:after="140"/>
              <w:jc w:val="left"/>
              <w:rPr/>
            </w:pPr>
            <w:r>
              <w:rPr/>
              <w:t>Test data, CRUD and distributed data management demonstrated</w:t>
            </w:r>
          </w:p>
        </w:tc>
        <w:tc>
          <w:tcPr>
            <w:tcW w:w="2805" w:type="dxa"/>
            <w:tcBorders/>
            <w:vAlign w:val="center"/>
          </w:tcPr>
          <w:p>
            <w:pPr>
              <w:pStyle w:val="TableContents"/>
              <w:bidi w:val="0"/>
              <w:spacing w:before="0" w:after="140"/>
              <w:jc w:val="left"/>
              <w:rPr/>
            </w:pPr>
            <w:r>
              <w:rPr/>
              <w:t>4.7–4.9, Appendices A and B</w:t>
            </w:r>
          </w:p>
        </w:tc>
      </w:tr>
    </w:tbl>
    <w:p>
      <w:pPr>
        <w:pStyle w:val="Heading3"/>
        <w:bidi w:val="0"/>
        <w:jc w:val="left"/>
        <w:rPr/>
      </w:pPr>
      <w:r>
        <w:rPr/>
        <w:t>4.2 Technology choices</w:t>
      </w:r>
    </w:p>
    <w:tbl>
      <w:tblPr>
        <w:tblW w:w="9516" w:type="dxa"/>
        <w:jc w:val="left"/>
        <w:tblInd w:w="0" w:type="dxa"/>
        <w:tblLayout w:type="fixed"/>
        <w:tblCellMar>
          <w:top w:w="28" w:type="dxa"/>
          <w:left w:w="28" w:type="dxa"/>
          <w:bottom w:w="28" w:type="dxa"/>
          <w:right w:w="28" w:type="dxa"/>
        </w:tblCellMar>
      </w:tblPr>
      <w:tblGrid>
        <w:gridCol w:w="2032"/>
        <w:gridCol w:w="2576"/>
        <w:gridCol w:w="4908"/>
      </w:tblGrid>
      <w:tr>
        <w:trPr>
          <w:tblHeader w:val="true"/>
        </w:trPr>
        <w:tc>
          <w:tcPr>
            <w:tcW w:w="2032" w:type="dxa"/>
            <w:tcBorders/>
            <w:vAlign w:val="center"/>
          </w:tcPr>
          <w:p>
            <w:pPr>
              <w:pStyle w:val="TableHeading"/>
              <w:suppressLineNumbers/>
              <w:shd w:fill="0D3B66" w:val="clear"/>
              <w:bidi w:val="0"/>
              <w:spacing w:before="0" w:after="140"/>
              <w:jc w:val="left"/>
              <w:rPr/>
            </w:pPr>
            <w:r>
              <w:rPr/>
              <w:t>Component</w:t>
            </w:r>
          </w:p>
        </w:tc>
        <w:tc>
          <w:tcPr>
            <w:tcW w:w="2576" w:type="dxa"/>
            <w:tcBorders/>
            <w:vAlign w:val="center"/>
          </w:tcPr>
          <w:p>
            <w:pPr>
              <w:pStyle w:val="TableHeading"/>
              <w:suppressLineNumbers/>
              <w:shd w:fill="0D3B66" w:val="clear"/>
              <w:bidi w:val="0"/>
              <w:spacing w:before="0" w:after="140"/>
              <w:jc w:val="left"/>
              <w:rPr/>
            </w:pPr>
            <w:r>
              <w:rPr/>
              <w:t>Choice (version tested)</w:t>
            </w:r>
          </w:p>
        </w:tc>
        <w:tc>
          <w:tcPr>
            <w:tcW w:w="4908" w:type="dxa"/>
            <w:tcBorders/>
            <w:vAlign w:val="center"/>
          </w:tcPr>
          <w:p>
            <w:pPr>
              <w:pStyle w:val="TableHeading"/>
              <w:suppressLineNumbers/>
              <w:shd w:fill="0D3B66" w:val="clear"/>
              <w:bidi w:val="0"/>
              <w:spacing w:before="0" w:after="140"/>
              <w:jc w:val="left"/>
              <w:rPr/>
            </w:pPr>
            <w:r>
              <w:rPr/>
              <w:t>Justification</w:t>
            </w:r>
          </w:p>
        </w:tc>
      </w:tr>
      <w:tr>
        <w:trPr/>
        <w:tc>
          <w:tcPr>
            <w:tcW w:w="2032" w:type="dxa"/>
            <w:tcBorders/>
            <w:vAlign w:val="center"/>
          </w:tcPr>
          <w:p>
            <w:pPr>
              <w:pStyle w:val="TableContents"/>
              <w:bidi w:val="0"/>
              <w:spacing w:before="0" w:after="140"/>
              <w:jc w:val="left"/>
              <w:rPr/>
            </w:pPr>
            <w:r>
              <w:rPr/>
              <w:t>Database</w:t>
            </w:r>
          </w:p>
        </w:tc>
        <w:tc>
          <w:tcPr>
            <w:tcW w:w="2576" w:type="dxa"/>
            <w:tcBorders/>
            <w:vAlign w:val="center"/>
          </w:tcPr>
          <w:p>
            <w:pPr>
              <w:pStyle w:val="TableContents"/>
              <w:bidi w:val="0"/>
              <w:spacing w:before="0" w:after="140"/>
              <w:jc w:val="left"/>
              <w:rPr/>
            </w:pPr>
            <w:r>
              <w:rPr/>
              <w:t xml:space="preserve">MongoDB Community 7.0.43, replica set </w:t>
            </w:r>
            <w:r>
              <w:rPr>
                <w:rStyle w:val="SourceText"/>
              </w:rPr>
              <w:t>rs0</w:t>
            </w:r>
          </w:p>
        </w:tc>
        <w:tc>
          <w:tcPr>
            <w:tcW w:w="4908" w:type="dxa"/>
            <w:tcBorders/>
            <w:vAlign w:val="center"/>
          </w:tcPr>
          <w:p>
            <w:pPr>
              <w:pStyle w:val="TableContents"/>
              <w:bidi w:val="0"/>
              <w:spacing w:before="0" w:after="140"/>
              <w:jc w:val="left"/>
              <w:rPr/>
            </w:pPr>
            <w:r>
              <w:rPr/>
              <w:t>A document model matching JSON sensor messages; native time-series collections; built-in replication, failover and RBAC</w:t>
            </w:r>
          </w:p>
        </w:tc>
      </w:tr>
      <w:tr>
        <w:trPr/>
        <w:tc>
          <w:tcPr>
            <w:tcW w:w="2032" w:type="dxa"/>
            <w:tcBorders/>
            <w:vAlign w:val="center"/>
          </w:tcPr>
          <w:p>
            <w:pPr>
              <w:pStyle w:val="TableContents"/>
              <w:bidi w:val="0"/>
              <w:spacing w:before="0" w:after="140"/>
              <w:jc w:val="left"/>
              <w:rPr/>
            </w:pPr>
            <w:r>
              <w:rPr/>
              <w:t>Message broker</w:t>
            </w:r>
          </w:p>
        </w:tc>
        <w:tc>
          <w:tcPr>
            <w:tcW w:w="2576" w:type="dxa"/>
            <w:tcBorders/>
            <w:vAlign w:val="center"/>
          </w:tcPr>
          <w:p>
            <w:pPr>
              <w:pStyle w:val="TableContents"/>
              <w:bidi w:val="0"/>
              <w:spacing w:before="0" w:after="140"/>
              <w:jc w:val="left"/>
              <w:rPr/>
            </w:pPr>
            <w:r>
              <w:rPr/>
              <w:t>Eclipse Mosquitto 2.1.2</w:t>
            </w:r>
          </w:p>
        </w:tc>
        <w:tc>
          <w:tcPr>
            <w:tcW w:w="4908" w:type="dxa"/>
            <w:tcBorders/>
            <w:vAlign w:val="center"/>
          </w:tcPr>
          <w:p>
            <w:pPr>
              <w:pStyle w:val="TableContents"/>
              <w:bidi w:val="0"/>
              <w:spacing w:before="0" w:after="140"/>
              <w:jc w:val="left"/>
              <w:rPr/>
            </w:pPr>
            <w:r>
              <w:rPr/>
              <w:t>A lightweight, widely used open-source MQTT broker with password authentication</w:t>
            </w:r>
          </w:p>
        </w:tc>
      </w:tr>
      <w:tr>
        <w:trPr/>
        <w:tc>
          <w:tcPr>
            <w:tcW w:w="2032" w:type="dxa"/>
            <w:tcBorders/>
            <w:vAlign w:val="center"/>
          </w:tcPr>
          <w:p>
            <w:pPr>
              <w:pStyle w:val="TableContents"/>
              <w:bidi w:val="0"/>
              <w:spacing w:before="0" w:after="140"/>
              <w:jc w:val="left"/>
              <w:rPr/>
            </w:pPr>
            <w:r>
              <w:rPr/>
              <w:t>Server runtime</w:t>
            </w:r>
          </w:p>
        </w:tc>
        <w:tc>
          <w:tcPr>
            <w:tcW w:w="2576" w:type="dxa"/>
            <w:tcBorders/>
            <w:vAlign w:val="center"/>
          </w:tcPr>
          <w:p>
            <w:pPr>
              <w:pStyle w:val="TableContents"/>
              <w:bidi w:val="0"/>
              <w:spacing w:before="0" w:after="140"/>
              <w:jc w:val="left"/>
              <w:rPr/>
            </w:pPr>
            <w:r>
              <w:rPr/>
              <w:t>Node.js 22.23.3</w:t>
            </w:r>
          </w:p>
        </w:tc>
        <w:tc>
          <w:tcPr>
            <w:tcW w:w="4908" w:type="dxa"/>
            <w:tcBorders/>
            <w:vAlign w:val="center"/>
          </w:tcPr>
          <w:p>
            <w:pPr>
              <w:pStyle w:val="TableContents"/>
              <w:bidi w:val="0"/>
              <w:spacing w:before="0" w:after="140"/>
              <w:jc w:val="left"/>
              <w:rPr/>
            </w:pPr>
            <w:r>
              <w:rPr/>
              <w:t>Named in the brief; event-driven I/O suits many small concurrent messages</w:t>
            </w:r>
          </w:p>
        </w:tc>
      </w:tr>
      <w:tr>
        <w:trPr/>
        <w:tc>
          <w:tcPr>
            <w:tcW w:w="2032" w:type="dxa"/>
            <w:tcBorders/>
            <w:vAlign w:val="center"/>
          </w:tcPr>
          <w:p>
            <w:pPr>
              <w:pStyle w:val="TableContents"/>
              <w:bidi w:val="0"/>
              <w:spacing w:before="0" w:after="140"/>
              <w:jc w:val="left"/>
              <w:rPr/>
            </w:pPr>
            <w:r>
              <w:rPr/>
              <w:t>Libraries</w:t>
            </w:r>
          </w:p>
        </w:tc>
        <w:tc>
          <w:tcPr>
            <w:tcW w:w="2576" w:type="dxa"/>
            <w:tcBorders/>
            <w:vAlign w:val="center"/>
          </w:tcPr>
          <w:p>
            <w:pPr>
              <w:pStyle w:val="TableContents"/>
              <w:bidi w:val="0"/>
              <w:spacing w:before="0" w:after="140"/>
              <w:jc w:val="left"/>
              <w:rPr/>
            </w:pPr>
            <w:r>
              <w:rPr/>
              <w:t>MongoDB Node driver 6.21, MQTT.js 5.16, Express 4.22</w:t>
            </w:r>
          </w:p>
        </w:tc>
        <w:tc>
          <w:tcPr>
            <w:tcW w:w="4908" w:type="dxa"/>
            <w:tcBorders/>
            <w:vAlign w:val="center"/>
          </w:tcPr>
          <w:p>
            <w:pPr>
              <w:pStyle w:val="TableContents"/>
              <w:bidi w:val="0"/>
              <w:spacing w:before="0" w:after="140"/>
              <w:jc w:val="left"/>
              <w:rPr/>
            </w:pPr>
            <w:r>
              <w:rPr/>
              <w:t>Official or de facto standard libraries</w:t>
            </w:r>
          </w:p>
        </w:tc>
      </w:tr>
      <w:tr>
        <w:trPr/>
        <w:tc>
          <w:tcPr>
            <w:tcW w:w="2032" w:type="dxa"/>
            <w:tcBorders/>
            <w:vAlign w:val="center"/>
          </w:tcPr>
          <w:p>
            <w:pPr>
              <w:pStyle w:val="TableContents"/>
              <w:bidi w:val="0"/>
              <w:spacing w:before="0" w:after="140"/>
              <w:jc w:val="left"/>
              <w:rPr/>
            </w:pPr>
            <w:r>
              <w:rPr/>
              <w:t>API documentation</w:t>
            </w:r>
          </w:p>
        </w:tc>
        <w:tc>
          <w:tcPr>
            <w:tcW w:w="2576" w:type="dxa"/>
            <w:tcBorders/>
            <w:vAlign w:val="center"/>
          </w:tcPr>
          <w:p>
            <w:pPr>
              <w:pStyle w:val="TableContents"/>
              <w:bidi w:val="0"/>
              <w:spacing w:before="0" w:after="140"/>
              <w:jc w:val="left"/>
              <w:rPr/>
            </w:pPr>
            <w:r>
              <w:rPr/>
              <w:t>OpenAPI 3.0 with Swagger UI</w:t>
            </w:r>
          </w:p>
        </w:tc>
        <w:tc>
          <w:tcPr>
            <w:tcW w:w="4908" w:type="dxa"/>
            <w:tcBorders/>
            <w:vAlign w:val="center"/>
          </w:tcPr>
          <w:p>
            <w:pPr>
              <w:pStyle w:val="TableContents"/>
              <w:bidi w:val="0"/>
              <w:spacing w:before="0" w:after="140"/>
              <w:jc w:val="left"/>
              <w:rPr/>
            </w:pPr>
            <w:r>
              <w:rPr/>
              <w:t>An industry-standard, machine-readable, interactive specification</w:t>
            </w:r>
          </w:p>
        </w:tc>
      </w:tr>
      <w:tr>
        <w:trPr/>
        <w:tc>
          <w:tcPr>
            <w:tcW w:w="2032" w:type="dxa"/>
            <w:tcBorders/>
            <w:vAlign w:val="center"/>
          </w:tcPr>
          <w:p>
            <w:pPr>
              <w:pStyle w:val="TableContents"/>
              <w:bidi w:val="0"/>
              <w:spacing w:before="0" w:after="140"/>
              <w:jc w:val="left"/>
              <w:rPr/>
            </w:pPr>
            <w:r>
              <w:rPr/>
              <w:t>Deployment</w:t>
            </w:r>
          </w:p>
        </w:tc>
        <w:tc>
          <w:tcPr>
            <w:tcW w:w="2576" w:type="dxa"/>
            <w:tcBorders/>
            <w:vAlign w:val="center"/>
          </w:tcPr>
          <w:p>
            <w:pPr>
              <w:pStyle w:val="TableContents"/>
              <w:bidi w:val="0"/>
              <w:spacing w:before="0" w:after="140"/>
              <w:jc w:val="left"/>
              <w:rPr/>
            </w:pPr>
            <w:r>
              <w:rPr/>
              <w:t>Docker Compose (Docker 29.8)</w:t>
            </w:r>
          </w:p>
        </w:tc>
        <w:tc>
          <w:tcPr>
            <w:tcW w:w="4908" w:type="dxa"/>
            <w:tcBorders/>
            <w:vAlign w:val="center"/>
          </w:tcPr>
          <w:p>
            <w:pPr>
              <w:pStyle w:val="TableContents"/>
              <w:bidi w:val="0"/>
              <w:spacing w:before="0" w:after="140"/>
              <w:jc w:val="left"/>
              <w:rPr/>
            </w:pPr>
            <w:r>
              <w:rPr/>
              <w:t>The whole system starts with one command and behaves the same on any machine</w:t>
            </w:r>
          </w:p>
        </w:tc>
      </w:tr>
    </w:tbl>
    <w:p>
      <w:pPr>
        <w:pStyle w:val="TextBody"/>
        <w:bidi w:val="0"/>
        <w:spacing w:before="0" w:after="140"/>
        <w:jc w:val="both"/>
        <w:rPr/>
      </w:pPr>
      <w:r>
        <w:rPr/>
        <w:t>All tests ran on one workstation (Intel Core i7-13700, 24 threads, 32 GB RAM). Section 6.1 discusses how running all three members on one host affects interpretation of the results.</w:t>
      </w:r>
    </w:p>
    <w:p>
      <w:pPr>
        <w:pStyle w:val="Heading3"/>
        <w:bidi w:val="0"/>
        <w:jc w:val="left"/>
        <w:rPr/>
      </w:pPr>
      <w:r>
        <w:rPr/>
        <w:t>4.3 Installation and configuration of the three-member replica set</w:t>
      </w:r>
    </w:p>
    <w:p>
      <w:pPr>
        <w:pStyle w:val="TextBody"/>
        <w:bidi w:val="0"/>
        <w:spacing w:before="0" w:after="140"/>
        <w:jc w:val="both"/>
        <w:rPr/>
      </w:pPr>
      <w:r>
        <w:rPr/>
        <w:t xml:space="preserve">A MongoDB </w:t>
      </w:r>
      <w:r>
        <w:rPr>
          <w:rStyle w:val="StrongEmphasis"/>
        </w:rPr>
        <w:t>replica set</w:t>
      </w:r>
      <w:r>
        <w:rPr/>
        <w:t xml:space="preserve"> is a group of </w:t>
      </w:r>
      <w:r>
        <w:rPr>
          <w:rStyle w:val="SourceText"/>
        </w:rPr>
        <w:t>mongod</w:t>
      </w:r>
      <w:r>
        <w:rPr/>
        <w:t xml:space="preserve"> servers that hold the same data. One member is the </w:t>
      </w:r>
      <w:r>
        <w:rPr>
          <w:rStyle w:val="StrongEmphasis"/>
        </w:rPr>
        <w:t>primary</w:t>
      </w:r>
      <w:r>
        <w:rPr/>
        <w:t xml:space="preserve"> and accepts all writes, recording each change in an operations log (the </w:t>
      </w:r>
      <w:r>
        <w:rPr>
          <w:rStyle w:val="StrongEmphasis"/>
        </w:rPr>
        <w:t>oplog</w:t>
      </w:r>
      <w:r>
        <w:rPr/>
        <w:t xml:space="preserve">). The other members are </w:t>
      </w:r>
      <w:r>
        <w:rPr>
          <w:rStyle w:val="StrongEmphasis"/>
        </w:rPr>
        <w:t>secondaries</w:t>
      </w:r>
      <w:r>
        <w:rPr/>
        <w:t xml:space="preserve">: they continuously copy and replay the primary's oplog. Members exchange heartbeats every two seconds. If the primary becomes unreachable (by default for more than 10 seconds), the remaining members hold an </w:t>
      </w:r>
      <w:r>
        <w:rPr>
          <w:rStyle w:val="StrongEmphasis"/>
        </w:rPr>
        <w:t>election</w:t>
      </w:r>
      <w:r>
        <w:rPr/>
        <w:t xml:space="preserve">, and a secondary with an up-to-date copy becomes the new primary. An election needs votes from a </w:t>
      </w:r>
      <w:r>
        <w:rPr>
          <w:rStyle w:val="StrongEmphasis"/>
        </w:rPr>
        <w:t>majority</w:t>
      </w:r>
      <w:r>
        <w:rPr/>
        <w:t xml:space="preserve"> of members. Three members is therefore the smallest configuration that survives the loss of any one server: the other two still form a majority (2 of 3). This is what the client's "three cluster" request should mean in practice.</w:t>
      </w:r>
    </w:p>
    <w:p>
      <w:pPr>
        <w:pStyle w:val="TextBody"/>
        <w:bidi w:val="0"/>
        <w:spacing w:before="0" w:after="140"/>
        <w:jc w:val="both"/>
        <w:rPr/>
      </w:pPr>
      <w:r>
        <w:rPr/>
        <w:t xml:space="preserve">The cluster is defined in </w:t>
      </w:r>
      <w:r>
        <w:rPr>
          <w:rStyle w:val="SourceText"/>
        </w:rPr>
        <w:t>docker-compose.yml</w:t>
      </w:r>
      <w:r>
        <w:rPr/>
        <w:t>. Each member runs the same command:</w:t>
      </w:r>
    </w:p>
    <w:p>
      <w:pPr>
        <w:pStyle w:val="PreformattedText"/>
        <w:pBdr/>
        <w:shd w:fill="F1F3F5" w:val="clear"/>
        <w:bidi w:val="0"/>
        <w:spacing w:lineRule="auto" w:line="324" w:before="160" w:after="40"/>
        <w:ind w:left="160" w:right="160" w:hanging="0"/>
        <w:jc w:val="left"/>
        <w:rPr/>
      </w:pPr>
      <w:r>
        <w:rPr>
          <w:rStyle w:val="SourceText"/>
        </w:rPr>
        <w:t>mongod --replSet rs0 --bind_ip_all --port &lt;27017|27018|27019&gt; --keyFile /etc/mongo-keyfile</w:t>
      </w:r>
    </w:p>
    <w:p>
      <w:pPr>
        <w:pStyle w:val="TextBody"/>
        <w:bidi w:val="0"/>
        <w:spacing w:before="0" w:after="140"/>
        <w:jc w:val="both"/>
        <w:rPr/>
      </w:pPr>
      <w:r>
        <w:rPr>
          <w:rStyle w:val="StrongEmphasis"/>
        </w:rPr>
        <w:t>Table 3: Replica set members</w:t>
      </w:r>
    </w:p>
    <w:tbl>
      <w:tblPr>
        <w:tblW w:w="7475" w:type="dxa"/>
        <w:jc w:val="left"/>
        <w:tblInd w:w="0" w:type="dxa"/>
        <w:tblLayout w:type="fixed"/>
        <w:tblCellMar>
          <w:top w:w="28" w:type="dxa"/>
          <w:left w:w="28" w:type="dxa"/>
          <w:bottom w:w="28" w:type="dxa"/>
          <w:right w:w="28" w:type="dxa"/>
        </w:tblCellMar>
      </w:tblPr>
      <w:tblGrid>
        <w:gridCol w:w="1231"/>
        <w:gridCol w:w="1921"/>
        <w:gridCol w:w="1111"/>
        <w:gridCol w:w="886"/>
        <w:gridCol w:w="2326"/>
      </w:tblGrid>
      <w:tr>
        <w:trPr>
          <w:tblHeader w:val="true"/>
        </w:trPr>
        <w:tc>
          <w:tcPr>
            <w:tcW w:w="1231" w:type="dxa"/>
            <w:tcBorders/>
            <w:vAlign w:val="center"/>
          </w:tcPr>
          <w:p>
            <w:pPr>
              <w:pStyle w:val="TableHeading"/>
              <w:suppressLineNumbers/>
              <w:shd w:fill="0D3B66" w:val="clear"/>
              <w:bidi w:val="0"/>
              <w:spacing w:before="0" w:after="140"/>
              <w:jc w:val="left"/>
              <w:rPr/>
            </w:pPr>
            <w:r>
              <w:rPr/>
              <w:t>Member</w:t>
            </w:r>
          </w:p>
        </w:tc>
        <w:tc>
          <w:tcPr>
            <w:tcW w:w="1921" w:type="dxa"/>
            <w:tcBorders/>
            <w:vAlign w:val="center"/>
          </w:tcPr>
          <w:p>
            <w:pPr>
              <w:pStyle w:val="TableHeading"/>
              <w:suppressLineNumbers/>
              <w:shd w:fill="0D3B66" w:val="clear"/>
              <w:bidi w:val="0"/>
              <w:spacing w:before="0" w:after="140"/>
              <w:jc w:val="left"/>
              <w:rPr/>
            </w:pPr>
            <w:r>
              <w:rPr/>
              <w:t>Host:port</w:t>
            </w:r>
          </w:p>
        </w:tc>
        <w:tc>
          <w:tcPr>
            <w:tcW w:w="1111" w:type="dxa"/>
            <w:tcBorders/>
            <w:vAlign w:val="center"/>
          </w:tcPr>
          <w:p>
            <w:pPr>
              <w:pStyle w:val="TableHeading"/>
              <w:suppressLineNumbers/>
              <w:shd w:fill="0D3B66" w:val="clear"/>
              <w:bidi w:val="0"/>
              <w:spacing w:before="0" w:after="140"/>
              <w:jc w:val="left"/>
              <w:rPr/>
            </w:pPr>
            <w:r>
              <w:rPr/>
              <w:t>Priority</w:t>
            </w:r>
          </w:p>
        </w:tc>
        <w:tc>
          <w:tcPr>
            <w:tcW w:w="886" w:type="dxa"/>
            <w:tcBorders/>
            <w:vAlign w:val="center"/>
          </w:tcPr>
          <w:p>
            <w:pPr>
              <w:pStyle w:val="TableHeading"/>
              <w:suppressLineNumbers/>
              <w:shd w:fill="0D3B66" w:val="clear"/>
              <w:bidi w:val="0"/>
              <w:spacing w:before="0" w:after="140"/>
              <w:jc w:val="left"/>
              <w:rPr/>
            </w:pPr>
            <w:r>
              <w:rPr/>
              <w:t>Votes</w:t>
            </w:r>
          </w:p>
        </w:tc>
        <w:tc>
          <w:tcPr>
            <w:tcW w:w="2326" w:type="dxa"/>
            <w:tcBorders/>
            <w:vAlign w:val="center"/>
          </w:tcPr>
          <w:p>
            <w:pPr>
              <w:pStyle w:val="TableHeading"/>
              <w:suppressLineNumbers/>
              <w:shd w:fill="0D3B66" w:val="clear"/>
              <w:bidi w:val="0"/>
              <w:spacing w:before="0" w:after="140"/>
              <w:jc w:val="left"/>
              <w:rPr/>
            </w:pPr>
            <w:r>
              <w:rPr/>
              <w:t>Intended role</w:t>
            </w:r>
          </w:p>
        </w:tc>
      </w:tr>
      <w:tr>
        <w:trPr/>
        <w:tc>
          <w:tcPr>
            <w:tcW w:w="1231" w:type="dxa"/>
            <w:tcBorders/>
            <w:vAlign w:val="center"/>
          </w:tcPr>
          <w:p>
            <w:pPr>
              <w:pStyle w:val="TableContents"/>
              <w:bidi w:val="0"/>
              <w:spacing w:before="0" w:after="140"/>
              <w:jc w:val="left"/>
              <w:rPr/>
            </w:pPr>
            <w:r>
              <w:rPr/>
              <w:t>mongo1</w:t>
            </w:r>
          </w:p>
        </w:tc>
        <w:tc>
          <w:tcPr>
            <w:tcW w:w="1921" w:type="dxa"/>
            <w:tcBorders/>
            <w:vAlign w:val="center"/>
          </w:tcPr>
          <w:p>
            <w:pPr>
              <w:pStyle w:val="TableContents"/>
              <w:bidi w:val="0"/>
              <w:spacing w:before="0" w:after="140"/>
              <w:jc w:val="left"/>
              <w:rPr/>
            </w:pPr>
            <w:r>
              <w:rPr/>
              <w:t>mongo1:27017</w:t>
            </w:r>
          </w:p>
        </w:tc>
        <w:tc>
          <w:tcPr>
            <w:tcW w:w="1111" w:type="dxa"/>
            <w:tcBorders/>
            <w:vAlign w:val="center"/>
          </w:tcPr>
          <w:p>
            <w:pPr>
              <w:pStyle w:val="TableContents"/>
              <w:bidi w:val="0"/>
              <w:spacing w:before="0" w:after="140"/>
              <w:jc w:val="left"/>
              <w:rPr/>
            </w:pPr>
            <w:r>
              <w:rPr/>
              <w:t>2</w:t>
            </w:r>
          </w:p>
        </w:tc>
        <w:tc>
          <w:tcPr>
            <w:tcW w:w="886" w:type="dxa"/>
            <w:tcBorders/>
            <w:vAlign w:val="center"/>
          </w:tcPr>
          <w:p>
            <w:pPr>
              <w:pStyle w:val="TableContents"/>
              <w:bidi w:val="0"/>
              <w:spacing w:before="0" w:after="140"/>
              <w:jc w:val="left"/>
              <w:rPr/>
            </w:pPr>
            <w:r>
              <w:rPr/>
              <w:t>1</w:t>
            </w:r>
          </w:p>
        </w:tc>
        <w:tc>
          <w:tcPr>
            <w:tcW w:w="2326" w:type="dxa"/>
            <w:tcBorders/>
            <w:vAlign w:val="center"/>
          </w:tcPr>
          <w:p>
            <w:pPr>
              <w:pStyle w:val="TableContents"/>
              <w:bidi w:val="0"/>
              <w:spacing w:before="0" w:after="140"/>
              <w:jc w:val="left"/>
              <w:rPr/>
            </w:pPr>
            <w:r>
              <w:rPr/>
              <w:t>Preferred primary</w:t>
            </w:r>
          </w:p>
        </w:tc>
      </w:tr>
      <w:tr>
        <w:trPr/>
        <w:tc>
          <w:tcPr>
            <w:tcW w:w="1231" w:type="dxa"/>
            <w:tcBorders/>
            <w:vAlign w:val="center"/>
          </w:tcPr>
          <w:p>
            <w:pPr>
              <w:pStyle w:val="TableContents"/>
              <w:bidi w:val="0"/>
              <w:spacing w:before="0" w:after="140"/>
              <w:jc w:val="left"/>
              <w:rPr/>
            </w:pPr>
            <w:r>
              <w:rPr/>
              <w:t>mongo2</w:t>
            </w:r>
          </w:p>
        </w:tc>
        <w:tc>
          <w:tcPr>
            <w:tcW w:w="1921" w:type="dxa"/>
            <w:tcBorders/>
            <w:vAlign w:val="center"/>
          </w:tcPr>
          <w:p>
            <w:pPr>
              <w:pStyle w:val="TableContents"/>
              <w:bidi w:val="0"/>
              <w:spacing w:before="0" w:after="140"/>
              <w:jc w:val="left"/>
              <w:rPr/>
            </w:pPr>
            <w:r>
              <w:rPr/>
              <w:t>mongo2:27018</w:t>
            </w:r>
          </w:p>
        </w:tc>
        <w:tc>
          <w:tcPr>
            <w:tcW w:w="1111" w:type="dxa"/>
            <w:tcBorders/>
            <w:vAlign w:val="center"/>
          </w:tcPr>
          <w:p>
            <w:pPr>
              <w:pStyle w:val="TableContents"/>
              <w:bidi w:val="0"/>
              <w:spacing w:before="0" w:after="140"/>
              <w:jc w:val="left"/>
              <w:rPr/>
            </w:pPr>
            <w:r>
              <w:rPr/>
              <w:t>1</w:t>
            </w:r>
          </w:p>
        </w:tc>
        <w:tc>
          <w:tcPr>
            <w:tcW w:w="886" w:type="dxa"/>
            <w:tcBorders/>
            <w:vAlign w:val="center"/>
          </w:tcPr>
          <w:p>
            <w:pPr>
              <w:pStyle w:val="TableContents"/>
              <w:bidi w:val="0"/>
              <w:spacing w:before="0" w:after="140"/>
              <w:jc w:val="left"/>
              <w:rPr/>
            </w:pPr>
            <w:r>
              <w:rPr/>
              <w:t>1</w:t>
            </w:r>
          </w:p>
        </w:tc>
        <w:tc>
          <w:tcPr>
            <w:tcW w:w="2326" w:type="dxa"/>
            <w:tcBorders/>
            <w:vAlign w:val="center"/>
          </w:tcPr>
          <w:p>
            <w:pPr>
              <w:pStyle w:val="TableContents"/>
              <w:bidi w:val="0"/>
              <w:spacing w:before="0" w:after="140"/>
              <w:jc w:val="left"/>
              <w:rPr/>
            </w:pPr>
            <w:r>
              <w:rPr/>
              <w:t>Secondary</w:t>
            </w:r>
          </w:p>
        </w:tc>
      </w:tr>
      <w:tr>
        <w:trPr/>
        <w:tc>
          <w:tcPr>
            <w:tcW w:w="1231" w:type="dxa"/>
            <w:tcBorders/>
            <w:vAlign w:val="center"/>
          </w:tcPr>
          <w:p>
            <w:pPr>
              <w:pStyle w:val="TableContents"/>
              <w:bidi w:val="0"/>
              <w:spacing w:before="0" w:after="140"/>
              <w:jc w:val="left"/>
              <w:rPr/>
            </w:pPr>
            <w:r>
              <w:rPr/>
              <w:t>mongo3</w:t>
            </w:r>
          </w:p>
        </w:tc>
        <w:tc>
          <w:tcPr>
            <w:tcW w:w="1921" w:type="dxa"/>
            <w:tcBorders/>
            <w:vAlign w:val="center"/>
          </w:tcPr>
          <w:p>
            <w:pPr>
              <w:pStyle w:val="TableContents"/>
              <w:bidi w:val="0"/>
              <w:spacing w:before="0" w:after="140"/>
              <w:jc w:val="left"/>
              <w:rPr/>
            </w:pPr>
            <w:r>
              <w:rPr/>
              <w:t>mongo3:27019</w:t>
            </w:r>
          </w:p>
        </w:tc>
        <w:tc>
          <w:tcPr>
            <w:tcW w:w="1111" w:type="dxa"/>
            <w:tcBorders/>
            <w:vAlign w:val="center"/>
          </w:tcPr>
          <w:p>
            <w:pPr>
              <w:pStyle w:val="TableContents"/>
              <w:bidi w:val="0"/>
              <w:spacing w:before="0" w:after="140"/>
              <w:jc w:val="left"/>
              <w:rPr/>
            </w:pPr>
            <w:r>
              <w:rPr/>
              <w:t>1</w:t>
            </w:r>
          </w:p>
        </w:tc>
        <w:tc>
          <w:tcPr>
            <w:tcW w:w="886" w:type="dxa"/>
            <w:tcBorders/>
            <w:vAlign w:val="center"/>
          </w:tcPr>
          <w:p>
            <w:pPr>
              <w:pStyle w:val="TableContents"/>
              <w:bidi w:val="0"/>
              <w:spacing w:before="0" w:after="140"/>
              <w:jc w:val="left"/>
              <w:rPr/>
            </w:pPr>
            <w:r>
              <w:rPr/>
              <w:t>1</w:t>
            </w:r>
          </w:p>
        </w:tc>
        <w:tc>
          <w:tcPr>
            <w:tcW w:w="2326" w:type="dxa"/>
            <w:tcBorders/>
            <w:vAlign w:val="center"/>
          </w:tcPr>
          <w:p>
            <w:pPr>
              <w:pStyle w:val="TableContents"/>
              <w:bidi w:val="0"/>
              <w:spacing w:before="0" w:after="140"/>
              <w:jc w:val="left"/>
              <w:rPr/>
            </w:pPr>
            <w:r>
              <w:rPr/>
              <w:t>Secondary</w:t>
            </w:r>
          </w:p>
        </w:tc>
      </w:tr>
    </w:tbl>
    <w:p>
      <w:pPr>
        <w:pStyle w:val="TextBody"/>
        <w:bidi w:val="0"/>
        <w:spacing w:before="0" w:after="140"/>
        <w:jc w:val="both"/>
        <w:rPr/>
      </w:pPr>
      <w:r>
        <w:rPr>
          <w:rStyle w:val="SourceText"/>
        </w:rPr>
        <w:t>mongo1</w:t>
      </w:r>
      <w:r>
        <w:rPr/>
        <w:t xml:space="preserve"> has a higher </w:t>
      </w:r>
      <w:r>
        <w:rPr>
          <w:rStyle w:val="StrongEmphasis"/>
        </w:rPr>
        <w:t>priority</w:t>
      </w:r>
      <w:r>
        <w:rPr/>
        <w:t>. After any failover, once it has caught up, it takes back the primary role, which keeps the topology predictable for operations staff.</w:t>
      </w:r>
    </w:p>
    <w:p>
      <w:pPr>
        <w:pStyle w:val="TextBody"/>
        <w:bidi w:val="0"/>
        <w:spacing w:before="0" w:after="140"/>
        <w:jc w:val="both"/>
        <w:rPr/>
      </w:pPr>
      <w:r>
        <w:rPr/>
        <w:t xml:space="preserve">A single script, </w:t>
      </w:r>
      <w:r>
        <w:rPr>
          <w:rStyle w:val="SourceText"/>
        </w:rPr>
        <w:t>scripts/setup.sh</w:t>
      </w:r>
      <w:r>
        <w:rPr/>
        <w:t>, performs the installation. It is safe to run more than once:</w:t>
      </w:r>
    </w:p>
    <w:p>
      <w:pPr>
        <w:pStyle w:val="TextBody"/>
        <w:numPr>
          <w:ilvl w:val="0"/>
          <w:numId w:val="12"/>
        </w:numPr>
        <w:tabs>
          <w:tab w:val="clear" w:pos="1134"/>
          <w:tab w:val="left" w:pos="709" w:leader="none"/>
        </w:tabs>
        <w:bidi w:val="0"/>
        <w:spacing w:before="0" w:after="0"/>
        <w:ind w:left="709" w:hanging="283"/>
        <w:rPr/>
      </w:pPr>
      <w:r>
        <w:rPr/>
        <w:t xml:space="preserve">Generates random passwords and an API key into a </w:t>
      </w:r>
      <w:r>
        <w:rPr>
          <w:rStyle w:val="SourceText"/>
        </w:rPr>
        <w:t>.env</w:t>
      </w:r>
      <w:r>
        <w:rPr/>
        <w:t xml:space="preserve"> file, which is excluded from version control. </w:t>
      </w:r>
    </w:p>
    <w:p>
      <w:pPr>
        <w:pStyle w:val="TextBody"/>
        <w:numPr>
          <w:ilvl w:val="0"/>
          <w:numId w:val="12"/>
        </w:numPr>
        <w:tabs>
          <w:tab w:val="clear" w:pos="1134"/>
          <w:tab w:val="left" w:pos="709" w:leader="none"/>
        </w:tabs>
        <w:bidi w:val="0"/>
        <w:spacing w:before="0" w:after="0"/>
        <w:ind w:left="709" w:hanging="283"/>
        <w:rPr/>
      </w:pPr>
      <w:r>
        <w:rPr/>
        <w:t xml:space="preserve">Generates the replica set </w:t>
      </w:r>
      <w:r>
        <w:rPr>
          <w:rStyle w:val="StrongEmphasis"/>
        </w:rPr>
        <w:t>keyfile</w:t>
      </w:r>
      <w:r>
        <w:rPr/>
        <w:t xml:space="preserve">, a shared secret that members use to authenticate each other. </w:t>
      </w:r>
    </w:p>
    <w:p>
      <w:pPr>
        <w:pStyle w:val="TextBody"/>
        <w:numPr>
          <w:ilvl w:val="0"/>
          <w:numId w:val="12"/>
        </w:numPr>
        <w:tabs>
          <w:tab w:val="clear" w:pos="1134"/>
          <w:tab w:val="left" w:pos="709" w:leader="none"/>
        </w:tabs>
        <w:bidi w:val="0"/>
        <w:spacing w:before="0" w:after="0"/>
        <w:ind w:left="709" w:hanging="283"/>
        <w:rPr/>
      </w:pPr>
      <w:r>
        <w:rPr/>
        <w:t xml:space="preserve">Creates the Mosquitto password file. </w:t>
      </w:r>
    </w:p>
    <w:p>
      <w:pPr>
        <w:pStyle w:val="TextBody"/>
        <w:numPr>
          <w:ilvl w:val="0"/>
          <w:numId w:val="12"/>
        </w:numPr>
        <w:tabs>
          <w:tab w:val="clear" w:pos="1134"/>
          <w:tab w:val="left" w:pos="709" w:leader="none"/>
        </w:tabs>
        <w:bidi w:val="0"/>
        <w:spacing w:before="0" w:after="0"/>
        <w:ind w:left="709" w:hanging="283"/>
        <w:rPr/>
      </w:pPr>
      <w:r>
        <w:rPr/>
        <w:t xml:space="preserve">Starts the three </w:t>
      </w:r>
      <w:r>
        <w:rPr>
          <w:rStyle w:val="SourceText"/>
        </w:rPr>
        <w:t>mongod</w:t>
      </w:r>
      <w:r>
        <w:rPr/>
        <w:t xml:space="preserve"> containers and the broker, then waits for their health checks. </w:t>
      </w:r>
    </w:p>
    <w:p>
      <w:pPr>
        <w:pStyle w:val="TextBody"/>
        <w:numPr>
          <w:ilvl w:val="0"/>
          <w:numId w:val="12"/>
        </w:numPr>
        <w:tabs>
          <w:tab w:val="clear" w:pos="1134"/>
          <w:tab w:val="left" w:pos="709" w:leader="none"/>
        </w:tabs>
        <w:bidi w:val="0"/>
        <w:spacing w:before="0" w:after="0"/>
        <w:ind w:left="709" w:hanging="283"/>
        <w:rPr/>
      </w:pPr>
      <w:r>
        <w:rPr/>
        <w:t xml:space="preserve">Runs </w:t>
      </w:r>
      <w:r>
        <w:rPr>
          <w:rStyle w:val="SourceText"/>
        </w:rPr>
        <w:t>rs.initiate()</w:t>
      </w:r>
      <w:r>
        <w:rPr/>
        <w:t xml:space="preserve"> with the configuration in Table 3 (</w:t>
      </w:r>
      <w:r>
        <w:rPr>
          <w:rStyle w:val="SourceText"/>
        </w:rPr>
        <w:t>mongo/01-init-replica-set.js</w:t>
      </w:r>
      <w:r>
        <w:rPr/>
        <w:t xml:space="preserve">). </w:t>
      </w:r>
    </w:p>
    <w:p>
      <w:pPr>
        <w:pStyle w:val="TextBody"/>
        <w:numPr>
          <w:ilvl w:val="0"/>
          <w:numId w:val="12"/>
        </w:numPr>
        <w:tabs>
          <w:tab w:val="clear" w:pos="1134"/>
          <w:tab w:val="left" w:pos="709" w:leader="none"/>
        </w:tabs>
        <w:bidi w:val="0"/>
        <w:spacing w:before="0" w:after="0"/>
        <w:ind w:left="709" w:hanging="283"/>
        <w:rPr/>
      </w:pPr>
      <w:r>
        <w:rPr/>
        <w:t>Creates the administrator and application users (</w:t>
      </w:r>
      <w:r>
        <w:rPr>
          <w:rStyle w:val="SourceText"/>
        </w:rPr>
        <w:t>mongo/02-create-users.js</w:t>
      </w:r>
      <w:r>
        <w:rPr/>
        <w:t xml:space="preserve">). </w:t>
      </w:r>
    </w:p>
    <w:p>
      <w:pPr>
        <w:pStyle w:val="TextBody"/>
        <w:numPr>
          <w:ilvl w:val="0"/>
          <w:numId w:val="12"/>
        </w:numPr>
        <w:tabs>
          <w:tab w:val="clear" w:pos="1134"/>
          <w:tab w:val="left" w:pos="709" w:leader="none"/>
        </w:tabs>
        <w:bidi w:val="0"/>
        <w:spacing w:before="0" w:after="0"/>
        <w:ind w:left="709" w:hanging="283"/>
        <w:rPr/>
      </w:pPr>
      <w:r>
        <w:rPr/>
        <w:t>Creates the collections, validators and indexes (</w:t>
      </w:r>
      <w:r>
        <w:rPr>
          <w:rStyle w:val="SourceText"/>
        </w:rPr>
        <w:t>mongo/03-create-schema.js</w:t>
      </w:r>
      <w:r>
        <w:rPr/>
        <w:t xml:space="preserve">). </w:t>
      </w:r>
    </w:p>
    <w:p>
      <w:pPr>
        <w:pStyle w:val="TextBody"/>
        <w:numPr>
          <w:ilvl w:val="0"/>
          <w:numId w:val="12"/>
        </w:numPr>
        <w:tabs>
          <w:tab w:val="clear" w:pos="1134"/>
          <w:tab w:val="left" w:pos="709" w:leader="none"/>
        </w:tabs>
        <w:bidi w:val="0"/>
        <w:ind w:left="709" w:hanging="283"/>
        <w:rPr/>
      </w:pPr>
      <w:r>
        <w:rPr/>
        <w:t xml:space="preserve">Builds and starts the ingest service and the API. </w:t>
      </w:r>
    </w:p>
    <w:p>
      <w:pPr>
        <w:pStyle w:val="PreformattedText"/>
        <w:bidi w:val="0"/>
        <w:jc w:val="left"/>
        <w:rPr/>
      </w:pPr>
      <w:r>
        <w:rPr>
          <w:rStyle w:val="SourceText"/>
        </w:rPr>
        <w:t>--- rs.conf()</w:t>
      </w:r>
    </w:p>
    <w:p>
      <w:pPr>
        <w:pStyle w:val="PreformattedText"/>
        <w:pBdr/>
        <w:shd w:fill="F1F3F5" w:val="clear"/>
        <w:bidi w:val="0"/>
        <w:spacing w:lineRule="auto" w:line="324" w:before="160" w:after="40"/>
        <w:ind w:left="160" w:right="160" w:hanging="0"/>
        <w:jc w:val="left"/>
        <w:rPr/>
      </w:pPr>
      <w:r>
        <w:rPr>
          <w:rStyle w:val="SourceText"/>
        </w:rPr>
        <w:t>mongo1:27017   priority=2 votes=1</w:t>
      </w:r>
    </w:p>
    <w:p>
      <w:pPr>
        <w:pStyle w:val="PreformattedText"/>
        <w:pBdr/>
        <w:shd w:fill="F1F3F5" w:val="clear"/>
        <w:bidi w:val="0"/>
        <w:spacing w:lineRule="auto" w:line="324" w:before="160" w:after="40"/>
        <w:ind w:left="160" w:right="160" w:hanging="0"/>
        <w:jc w:val="left"/>
        <w:rPr/>
      </w:pPr>
      <w:r>
        <w:rPr>
          <w:rStyle w:val="SourceText"/>
        </w:rPr>
        <w:t>mongo2:27018   priority=1 votes=1</w:t>
      </w:r>
    </w:p>
    <w:p>
      <w:pPr>
        <w:pStyle w:val="PreformattedText"/>
        <w:pBdr/>
        <w:shd w:fill="F1F3F5" w:val="clear"/>
        <w:bidi w:val="0"/>
        <w:spacing w:lineRule="auto" w:line="324" w:before="160" w:after="40"/>
        <w:ind w:left="160" w:right="160" w:hanging="0"/>
        <w:jc w:val="left"/>
        <w:rPr/>
      </w:pPr>
      <w:r>
        <w:rPr>
          <w:rStyle w:val="SourceText"/>
        </w:rPr>
        <w:t>mongo3:27019   priority=1 votes=1</w:t>
      </w:r>
    </w:p>
    <w:p>
      <w:pPr>
        <w:pStyle w:val="PreformattedText"/>
        <w:pBdr/>
        <w:shd w:fill="F1F3F5" w:val="clear"/>
        <w:bidi w:val="0"/>
        <w:spacing w:lineRule="auto" w:line="324" w:before="160" w:after="40"/>
        <w:ind w:left="160" w:right="160" w:hanging="0"/>
        <w:jc w:val="left"/>
        <w:rPr/>
      </w:pPr>
      <w:r>
        <w:rPr>
          <w:rStyle w:val="SourceText"/>
        </w:rPr>
        <w:t>writeConcernMajorityJournalDefault=true</w:t>
      </w:r>
    </w:p>
    <w:p>
      <w:pPr>
        <w:pStyle w:val="PreformattedText"/>
        <w:pBdr/>
        <w:shd w:fill="F1F3F5" w:val="clear"/>
        <w:bidi w:val="0"/>
        <w:spacing w:lineRule="auto" w:line="324" w:before="160" w:after="40"/>
        <w:ind w:left="160" w:right="160" w:hanging="0"/>
        <w:jc w:val="left"/>
        <w:rPr/>
      </w:pPr>
      <w:r>
        <w:rPr>
          <w:rStyle w:val="SourceText"/>
        </w:rPr>
        <w:t>--- rs.status()</w:t>
      </w:r>
    </w:p>
    <w:p>
      <w:pPr>
        <w:pStyle w:val="PreformattedText"/>
        <w:pBdr/>
        <w:shd w:fill="F1F3F5" w:val="clear"/>
        <w:bidi w:val="0"/>
        <w:spacing w:lineRule="auto" w:line="324" w:before="160" w:after="40"/>
        <w:ind w:left="160" w:right="160" w:hanging="0"/>
        <w:jc w:val="left"/>
        <w:rPr/>
      </w:pPr>
      <w:r>
        <w:rPr>
          <w:rStyle w:val="SourceText"/>
        </w:rPr>
        <w:t>mongo1:27017   PRIMARY    health=1 optime=2026-09-30T11:06:04.000Z</w:t>
      </w:r>
    </w:p>
    <w:p>
      <w:pPr>
        <w:pStyle w:val="PreformattedText"/>
        <w:pBdr/>
        <w:shd w:fill="F1F3F5" w:val="clear"/>
        <w:bidi w:val="0"/>
        <w:spacing w:lineRule="auto" w:line="324" w:before="160" w:after="40"/>
        <w:ind w:left="160" w:right="160" w:hanging="0"/>
        <w:jc w:val="left"/>
        <w:rPr/>
      </w:pPr>
      <w:r>
        <w:rPr>
          <w:rStyle w:val="SourceText"/>
        </w:rPr>
        <w:t>mongo2:27018   SECONDARY  health=1 optime=2026-09-30T11:06:04.000Z</w:t>
      </w:r>
    </w:p>
    <w:p>
      <w:pPr>
        <w:pStyle w:val="PreformattedText"/>
        <w:pBdr/>
        <w:shd w:fill="F1F3F5" w:val="clear"/>
        <w:bidi w:val="0"/>
        <w:spacing w:lineRule="auto" w:line="324" w:before="160" w:after="40"/>
        <w:ind w:left="160" w:right="160" w:hanging="0"/>
        <w:jc w:val="left"/>
        <w:rPr/>
      </w:pPr>
      <w:r>
        <w:rPr>
          <w:rStyle w:val="SourceText"/>
        </w:rPr>
        <w:t>mongo3:27019   SECONDARY  health=1 optime=2026-09-30T11:06:04.000Z</w:t>
      </w:r>
    </w:p>
    <w:p>
      <w:pPr>
        <w:pStyle w:val="TextBodycaption"/>
        <w:bidi w:val="0"/>
        <w:spacing w:before="0" w:after="200"/>
        <w:jc w:val="left"/>
        <w:rPr/>
      </w:pPr>
      <w:r>
        <w:rPr/>
        <w:t xml:space="preserve">Figure 2: Replica set configuration and status, captured from </w:t>
      </w:r>
      <w:r>
        <w:rPr>
          <w:rStyle w:val="SourceText"/>
        </w:rPr>
        <w:t>mongosh</w:t>
      </w:r>
      <w:r>
        <w:rPr/>
        <w:t>. All three members are healthy and have identical optimes, meaning the secondaries are fully up to date.</w:t>
      </w:r>
    </w:p>
    <w:p>
      <w:pPr>
        <w:pStyle w:val="TextBody"/>
        <w:bidi w:val="0"/>
        <w:spacing w:before="0" w:after="140"/>
        <w:jc w:val="both"/>
        <w:rPr/>
      </w:pPr>
      <w:r>
        <w:rPr>
          <w:rStyle w:val="StrongEmphasis"/>
        </w:rPr>
        <w:t>Write and read settings.</w:t>
      </w:r>
      <w:r>
        <w:rPr/>
        <w:t xml:space="preserve"> The Node.js applications connect with a replica-set connection string listing all three members, plus the following options:</w:t>
      </w:r>
    </w:p>
    <w:p>
      <w:pPr>
        <w:pStyle w:val="TextBody"/>
        <w:numPr>
          <w:ilvl w:val="0"/>
          <w:numId w:val="13"/>
        </w:numPr>
        <w:tabs>
          <w:tab w:val="clear" w:pos="1134"/>
          <w:tab w:val="left" w:pos="709" w:leader="none"/>
        </w:tabs>
        <w:bidi w:val="0"/>
        <w:spacing w:before="0" w:after="0"/>
        <w:ind w:left="709" w:hanging="283"/>
        <w:rPr/>
      </w:pPr>
      <w:r>
        <w:rPr>
          <w:rStyle w:val="SourceText"/>
        </w:rPr>
        <w:t>writeConcern: { w: 'majority' }</w:t>
      </w:r>
      <w:r>
        <w:rPr/>
        <w:t xml:space="preserve">: a write is acknowledged only after it is on at least two of the three members. An acknowledged sensor event therefore survives the loss of the primary. </w:t>
      </w:r>
    </w:p>
    <w:p>
      <w:pPr>
        <w:pStyle w:val="TextBody"/>
        <w:numPr>
          <w:ilvl w:val="0"/>
          <w:numId w:val="13"/>
        </w:numPr>
        <w:tabs>
          <w:tab w:val="clear" w:pos="1134"/>
          <w:tab w:val="left" w:pos="709" w:leader="none"/>
        </w:tabs>
        <w:bidi w:val="0"/>
        <w:spacing w:before="0" w:after="0"/>
        <w:ind w:left="709" w:hanging="283"/>
        <w:rPr/>
      </w:pPr>
      <w:r>
        <w:rPr>
          <w:rStyle w:val="SourceText"/>
        </w:rPr>
        <w:t>retryWrites</w:t>
      </w:r>
      <w:r>
        <w:rPr/>
        <w:t xml:space="preserve"> and </w:t>
      </w:r>
      <w:r>
        <w:rPr>
          <w:rStyle w:val="SourceText"/>
        </w:rPr>
        <w:t>retryReads</w:t>
      </w:r>
      <w:r>
        <w:rPr/>
        <w:t xml:space="preserve">: the driver transparently retries an operation once if an election interrupts it. </w:t>
      </w:r>
    </w:p>
    <w:p>
      <w:pPr>
        <w:pStyle w:val="TextBody"/>
        <w:numPr>
          <w:ilvl w:val="0"/>
          <w:numId w:val="13"/>
        </w:numPr>
        <w:tabs>
          <w:tab w:val="clear" w:pos="1134"/>
          <w:tab w:val="left" w:pos="709" w:leader="none"/>
        </w:tabs>
        <w:bidi w:val="0"/>
        <w:ind w:left="709" w:hanging="283"/>
        <w:rPr/>
      </w:pPr>
      <w:r>
        <w:rPr>
          <w:rStyle w:val="SourceText"/>
        </w:rPr>
        <w:t>readPreference: 'primaryPreferred'</w:t>
      </w:r>
      <w:r>
        <w:rPr/>
        <w:t xml:space="preserve">: reads normally go to the primary (strongly consistent), but can fall back to a secondary during an election, so dashboards keep working. </w:t>
      </w:r>
    </w:p>
    <w:p>
      <w:pPr>
        <w:pStyle w:val="Heading3"/>
        <w:bidi w:val="0"/>
        <w:jc w:val="left"/>
        <w:rPr/>
      </w:pPr>
      <w:r>
        <w:rPr/>
        <w:t>4.4 Security design</w:t>
      </w:r>
    </w:p>
    <w:p>
      <w:pPr>
        <w:pStyle w:val="TextBody"/>
        <w:bidi w:val="0"/>
        <w:spacing w:before="0" w:after="140"/>
        <w:jc w:val="both"/>
        <w:rPr/>
      </w:pPr>
      <w:r>
        <w:rPr/>
        <w:t>Security was designed in layers, so that no single failure exposes the data.</w:t>
      </w:r>
    </w:p>
    <w:p>
      <w:pPr>
        <w:pStyle w:val="TextBody"/>
        <w:bidi w:val="0"/>
        <w:spacing w:before="0" w:after="140"/>
        <w:jc w:val="both"/>
        <w:rPr/>
      </w:pPr>
      <w:r>
        <w:rPr>
          <w:rStyle w:val="StrongEmphasis"/>
        </w:rPr>
        <w:t>Table 4: Security measures</w:t>
      </w:r>
    </w:p>
    <w:tbl>
      <w:tblPr>
        <w:tblW w:w="9516" w:type="dxa"/>
        <w:jc w:val="left"/>
        <w:tblInd w:w="0" w:type="dxa"/>
        <w:tblLayout w:type="fixed"/>
        <w:tblCellMar>
          <w:top w:w="28" w:type="dxa"/>
          <w:left w:w="28" w:type="dxa"/>
          <w:bottom w:w="28" w:type="dxa"/>
          <w:right w:w="28" w:type="dxa"/>
        </w:tblCellMar>
      </w:tblPr>
      <w:tblGrid>
        <w:gridCol w:w="1635"/>
        <w:gridCol w:w="4351"/>
        <w:gridCol w:w="3530"/>
      </w:tblGrid>
      <w:tr>
        <w:trPr>
          <w:tblHeader w:val="true"/>
        </w:trPr>
        <w:tc>
          <w:tcPr>
            <w:tcW w:w="1635" w:type="dxa"/>
            <w:tcBorders/>
            <w:vAlign w:val="center"/>
          </w:tcPr>
          <w:p>
            <w:pPr>
              <w:pStyle w:val="TableHeading"/>
              <w:suppressLineNumbers/>
              <w:shd w:fill="0D3B66" w:val="clear"/>
              <w:bidi w:val="0"/>
              <w:spacing w:before="0" w:after="140"/>
              <w:jc w:val="left"/>
              <w:rPr/>
            </w:pPr>
            <w:r>
              <w:rPr/>
              <w:t>Layer</w:t>
            </w:r>
          </w:p>
        </w:tc>
        <w:tc>
          <w:tcPr>
            <w:tcW w:w="4351" w:type="dxa"/>
            <w:tcBorders/>
            <w:vAlign w:val="center"/>
          </w:tcPr>
          <w:p>
            <w:pPr>
              <w:pStyle w:val="TableHeading"/>
              <w:suppressLineNumbers/>
              <w:shd w:fill="0D3B66" w:val="clear"/>
              <w:bidi w:val="0"/>
              <w:spacing w:before="0" w:after="140"/>
              <w:jc w:val="left"/>
              <w:rPr/>
            </w:pPr>
            <w:r>
              <w:rPr/>
              <w:t>Measure</w:t>
            </w:r>
          </w:p>
        </w:tc>
        <w:tc>
          <w:tcPr>
            <w:tcW w:w="3530" w:type="dxa"/>
            <w:tcBorders/>
            <w:vAlign w:val="center"/>
          </w:tcPr>
          <w:p>
            <w:pPr>
              <w:pStyle w:val="TableHeading"/>
              <w:suppressLineNumbers/>
              <w:shd w:fill="0D3B66" w:val="clear"/>
              <w:bidi w:val="0"/>
              <w:spacing w:before="0" w:after="140"/>
              <w:jc w:val="left"/>
              <w:rPr/>
            </w:pPr>
            <w:r>
              <w:rPr/>
              <w:t>Threat addressed</w:t>
            </w:r>
          </w:p>
        </w:tc>
      </w:tr>
      <w:tr>
        <w:trPr/>
        <w:tc>
          <w:tcPr>
            <w:tcW w:w="1635" w:type="dxa"/>
            <w:tcBorders/>
            <w:vAlign w:val="center"/>
          </w:tcPr>
          <w:p>
            <w:pPr>
              <w:pStyle w:val="TableContents"/>
              <w:bidi w:val="0"/>
              <w:spacing w:before="0" w:after="140"/>
              <w:jc w:val="left"/>
              <w:rPr/>
            </w:pPr>
            <w:r>
              <w:rPr/>
              <w:t>Between cluster members</w:t>
            </w:r>
          </w:p>
        </w:tc>
        <w:tc>
          <w:tcPr>
            <w:tcW w:w="4351" w:type="dxa"/>
            <w:tcBorders/>
            <w:vAlign w:val="center"/>
          </w:tcPr>
          <w:p>
            <w:pPr>
              <w:pStyle w:val="TableContents"/>
              <w:bidi w:val="0"/>
              <w:spacing w:before="0" w:after="140"/>
              <w:jc w:val="left"/>
              <w:rPr/>
            </w:pPr>
            <w:r>
              <w:rPr/>
              <w:t>Keyfile authentication (</w:t>
            </w:r>
            <w:r>
              <w:rPr>
                <w:rStyle w:val="SourceText"/>
              </w:rPr>
              <w:t>--keyFile</w:t>
            </w:r>
            <w:r>
              <w:rPr/>
              <w:t>)</w:t>
            </w:r>
          </w:p>
        </w:tc>
        <w:tc>
          <w:tcPr>
            <w:tcW w:w="3530" w:type="dxa"/>
            <w:tcBorders/>
            <w:vAlign w:val="center"/>
          </w:tcPr>
          <w:p>
            <w:pPr>
              <w:pStyle w:val="TableContents"/>
              <w:bidi w:val="0"/>
              <w:spacing w:before="0" w:after="140"/>
              <w:jc w:val="left"/>
              <w:rPr/>
            </w:pPr>
            <w:r>
              <w:rPr/>
              <w:t>A rogue server joining the replica set</w:t>
            </w:r>
          </w:p>
        </w:tc>
      </w:tr>
      <w:tr>
        <w:trPr/>
        <w:tc>
          <w:tcPr>
            <w:tcW w:w="1635" w:type="dxa"/>
            <w:tcBorders/>
            <w:vAlign w:val="center"/>
          </w:tcPr>
          <w:p>
            <w:pPr>
              <w:pStyle w:val="TableContents"/>
              <w:bidi w:val="0"/>
              <w:spacing w:before="0" w:after="140"/>
              <w:jc w:val="left"/>
              <w:rPr/>
            </w:pPr>
            <w:r>
              <w:rPr/>
              <w:t>Database access</w:t>
            </w:r>
          </w:p>
        </w:tc>
        <w:tc>
          <w:tcPr>
            <w:tcW w:w="4351" w:type="dxa"/>
            <w:tcBorders/>
            <w:vAlign w:val="center"/>
          </w:tcPr>
          <w:p>
            <w:pPr>
              <w:pStyle w:val="TableContents"/>
              <w:bidi w:val="0"/>
              <w:spacing w:before="0" w:after="140"/>
              <w:jc w:val="left"/>
              <w:rPr/>
            </w:pPr>
            <w:r>
              <w:rPr/>
              <w:t xml:space="preserve">Authentication required; </w:t>
            </w:r>
            <w:r>
              <w:rPr>
                <w:rStyle w:val="StrongEmphasis"/>
              </w:rPr>
              <w:t>role-based access control</w:t>
            </w:r>
            <w:r>
              <w:rPr/>
              <w:t xml:space="preserve"> with least privilege (Table 5)</w:t>
            </w:r>
          </w:p>
        </w:tc>
        <w:tc>
          <w:tcPr>
            <w:tcW w:w="3530" w:type="dxa"/>
            <w:tcBorders/>
            <w:vAlign w:val="center"/>
          </w:tcPr>
          <w:p>
            <w:pPr>
              <w:pStyle w:val="TableContents"/>
              <w:bidi w:val="0"/>
              <w:spacing w:before="0" w:after="140"/>
              <w:jc w:val="left"/>
              <w:rPr/>
            </w:pPr>
            <w:r>
              <w:rPr/>
              <w:t>Stolen application credentials being used for more than their purpose</w:t>
            </w:r>
          </w:p>
        </w:tc>
      </w:tr>
      <w:tr>
        <w:trPr/>
        <w:tc>
          <w:tcPr>
            <w:tcW w:w="1635" w:type="dxa"/>
            <w:tcBorders/>
            <w:vAlign w:val="center"/>
          </w:tcPr>
          <w:p>
            <w:pPr>
              <w:pStyle w:val="TableContents"/>
              <w:bidi w:val="0"/>
              <w:spacing w:before="0" w:after="140"/>
              <w:jc w:val="left"/>
              <w:rPr/>
            </w:pPr>
            <w:r>
              <w:rPr/>
              <w:t>MQTT broker</w:t>
            </w:r>
          </w:p>
        </w:tc>
        <w:tc>
          <w:tcPr>
            <w:tcW w:w="4351" w:type="dxa"/>
            <w:tcBorders/>
            <w:vAlign w:val="center"/>
          </w:tcPr>
          <w:p>
            <w:pPr>
              <w:pStyle w:val="TableContents"/>
              <w:bidi w:val="0"/>
              <w:spacing w:before="0" w:after="140"/>
              <w:jc w:val="left"/>
              <w:rPr/>
            </w:pPr>
            <w:r>
              <w:rPr>
                <w:rStyle w:val="SourceText"/>
              </w:rPr>
              <w:t>allow_anonymous false</w:t>
            </w:r>
            <w:r>
              <w:rPr/>
              <w:t xml:space="preserve">; hashed password file; separate </w:t>
            </w:r>
            <w:r>
              <w:rPr>
                <w:rStyle w:val="SourceText"/>
              </w:rPr>
              <w:t>ingest</w:t>
            </w:r>
            <w:r>
              <w:rPr/>
              <w:t xml:space="preserve"> and </w:t>
            </w:r>
            <w:r>
              <w:rPr>
                <w:rStyle w:val="SourceText"/>
              </w:rPr>
              <w:t>gateway</w:t>
            </w:r>
            <w:r>
              <w:rPr/>
              <w:t xml:space="preserve"> accounts</w:t>
            </w:r>
          </w:p>
        </w:tc>
        <w:tc>
          <w:tcPr>
            <w:tcW w:w="3530" w:type="dxa"/>
            <w:tcBorders/>
            <w:vAlign w:val="center"/>
          </w:tcPr>
          <w:p>
            <w:pPr>
              <w:pStyle w:val="TableContents"/>
              <w:bidi w:val="0"/>
              <w:spacing w:before="0" w:after="140"/>
              <w:jc w:val="left"/>
              <w:rPr/>
            </w:pPr>
            <w:r>
              <w:rPr/>
              <w:t>Unauthenticated devices injecting fake sensor data</w:t>
            </w:r>
          </w:p>
        </w:tc>
      </w:tr>
      <w:tr>
        <w:trPr/>
        <w:tc>
          <w:tcPr>
            <w:tcW w:w="1635" w:type="dxa"/>
            <w:tcBorders/>
            <w:vAlign w:val="center"/>
          </w:tcPr>
          <w:p>
            <w:pPr>
              <w:pStyle w:val="TableContents"/>
              <w:bidi w:val="0"/>
              <w:spacing w:before="0" w:after="140"/>
              <w:jc w:val="left"/>
              <w:rPr/>
            </w:pPr>
            <w:r>
              <w:rPr/>
              <w:t>Message content</w:t>
            </w:r>
          </w:p>
        </w:tc>
        <w:tc>
          <w:tcPr>
            <w:tcW w:w="4351" w:type="dxa"/>
            <w:tcBorders/>
            <w:vAlign w:val="center"/>
          </w:tcPr>
          <w:p>
            <w:pPr>
              <w:pStyle w:val="TableContents"/>
              <w:bidi w:val="0"/>
              <w:spacing w:before="0" w:after="140"/>
              <w:jc w:val="left"/>
              <w:rPr/>
            </w:pPr>
            <w:r>
              <w:rPr/>
              <w:t>Every message checked against the device registry and per-type rules (4.6)</w:t>
            </w:r>
          </w:p>
        </w:tc>
        <w:tc>
          <w:tcPr>
            <w:tcW w:w="3530" w:type="dxa"/>
            <w:tcBorders/>
            <w:vAlign w:val="center"/>
          </w:tcPr>
          <w:p>
            <w:pPr>
              <w:pStyle w:val="TableContents"/>
              <w:bidi w:val="0"/>
              <w:spacing w:before="0" w:after="140"/>
              <w:jc w:val="left"/>
              <w:rPr/>
            </w:pPr>
            <w:r>
              <w:rPr/>
              <w:t>Malformed or spoofed data corrupting analytics</w:t>
            </w:r>
          </w:p>
        </w:tc>
      </w:tr>
      <w:tr>
        <w:trPr/>
        <w:tc>
          <w:tcPr>
            <w:tcW w:w="1635" w:type="dxa"/>
            <w:tcBorders/>
            <w:vAlign w:val="center"/>
          </w:tcPr>
          <w:p>
            <w:pPr>
              <w:pStyle w:val="TableContents"/>
              <w:bidi w:val="0"/>
              <w:spacing w:before="0" w:after="140"/>
              <w:jc w:val="left"/>
              <w:rPr/>
            </w:pPr>
            <w:r>
              <w:rPr/>
              <w:t>Database content</w:t>
            </w:r>
          </w:p>
        </w:tc>
        <w:tc>
          <w:tcPr>
            <w:tcW w:w="4351" w:type="dxa"/>
            <w:tcBorders/>
            <w:vAlign w:val="center"/>
          </w:tcPr>
          <w:p>
            <w:pPr>
              <w:pStyle w:val="TableContents"/>
              <w:bidi w:val="0"/>
              <w:spacing w:before="0" w:after="140"/>
              <w:jc w:val="left"/>
              <w:rPr/>
            </w:pPr>
            <w:r>
              <w:rPr>
                <w:rStyle w:val="SourceText"/>
              </w:rPr>
              <w:t>$jsonSchema</w:t>
            </w:r>
            <w:r>
              <w:rPr/>
              <w:t xml:space="preserve"> validators on </w:t>
            </w:r>
            <w:r>
              <w:rPr>
                <w:rStyle w:val="SourceText"/>
              </w:rPr>
              <w:t>homes</w:t>
            </w:r>
            <w:r>
              <w:rPr/>
              <w:t xml:space="preserve">, </w:t>
            </w:r>
            <w:r>
              <w:rPr>
                <w:rStyle w:val="SourceText"/>
              </w:rPr>
              <w:t>devices</w:t>
            </w:r>
            <w:r>
              <w:rPr/>
              <w:t xml:space="preserve"> and </w:t>
            </w:r>
            <w:r>
              <w:rPr>
                <w:rStyle w:val="SourceText"/>
              </w:rPr>
              <w:t>alerts</w:t>
            </w:r>
          </w:p>
        </w:tc>
        <w:tc>
          <w:tcPr>
            <w:tcW w:w="3530" w:type="dxa"/>
            <w:tcBorders/>
            <w:vAlign w:val="center"/>
          </w:tcPr>
          <w:p>
            <w:pPr>
              <w:pStyle w:val="TableContents"/>
              <w:bidi w:val="0"/>
              <w:spacing w:before="0" w:after="140"/>
              <w:jc w:val="left"/>
              <w:rPr/>
            </w:pPr>
            <w:r>
              <w:rPr/>
              <w:t>Invalid documents from any client</w:t>
            </w:r>
          </w:p>
        </w:tc>
      </w:tr>
      <w:tr>
        <w:trPr/>
        <w:tc>
          <w:tcPr>
            <w:tcW w:w="1635" w:type="dxa"/>
            <w:tcBorders/>
            <w:vAlign w:val="center"/>
          </w:tcPr>
          <w:p>
            <w:pPr>
              <w:pStyle w:val="TableContents"/>
              <w:bidi w:val="0"/>
              <w:spacing w:before="0" w:after="140"/>
              <w:jc w:val="left"/>
              <w:rPr/>
            </w:pPr>
            <w:r>
              <w:rPr/>
              <w:t>REST API</w:t>
            </w:r>
          </w:p>
        </w:tc>
        <w:tc>
          <w:tcPr>
            <w:tcW w:w="4351" w:type="dxa"/>
            <w:tcBorders/>
            <w:vAlign w:val="center"/>
          </w:tcPr>
          <w:p>
            <w:pPr>
              <w:pStyle w:val="TableContents"/>
              <w:bidi w:val="0"/>
              <w:spacing w:before="0" w:after="140"/>
              <w:jc w:val="left"/>
              <w:rPr/>
            </w:pPr>
            <w:r>
              <w:rPr>
                <w:rStyle w:val="SourceText"/>
              </w:rPr>
              <w:t>x-api-key</w:t>
            </w:r>
            <w:r>
              <w:rPr/>
              <w:t xml:space="preserve"> header compared in constant time; 100 KB body limit; clients can write only listed fields; internal errors hidden from clients</w:t>
            </w:r>
          </w:p>
        </w:tc>
        <w:tc>
          <w:tcPr>
            <w:tcW w:w="3530" w:type="dxa"/>
            <w:tcBorders/>
            <w:vAlign w:val="center"/>
          </w:tcPr>
          <w:p>
            <w:pPr>
              <w:pStyle w:val="TableContents"/>
              <w:bidi w:val="0"/>
              <w:spacing w:before="0" w:after="140"/>
              <w:jc w:val="left"/>
              <w:rPr/>
            </w:pPr>
            <w:r>
              <w:rPr/>
              <w:t>Unauthorised access, oversized payloads, mass-assignment, information leakage</w:t>
            </w:r>
          </w:p>
        </w:tc>
      </w:tr>
      <w:tr>
        <w:trPr/>
        <w:tc>
          <w:tcPr>
            <w:tcW w:w="1635" w:type="dxa"/>
            <w:tcBorders/>
            <w:vAlign w:val="center"/>
          </w:tcPr>
          <w:p>
            <w:pPr>
              <w:pStyle w:val="TableContents"/>
              <w:bidi w:val="0"/>
              <w:spacing w:before="0" w:after="140"/>
              <w:jc w:val="left"/>
              <w:rPr/>
            </w:pPr>
            <w:r>
              <w:rPr/>
              <w:t>UK GDPR</w:t>
            </w:r>
          </w:p>
        </w:tc>
        <w:tc>
          <w:tcPr>
            <w:tcW w:w="4351" w:type="dxa"/>
            <w:tcBorders/>
            <w:vAlign w:val="center"/>
          </w:tcPr>
          <w:p>
            <w:pPr>
              <w:pStyle w:val="TableContents"/>
              <w:bidi w:val="0"/>
              <w:spacing w:before="0" w:after="140"/>
              <w:jc w:val="left"/>
              <w:rPr/>
            </w:pPr>
            <w:r>
              <w:rPr/>
              <w:t xml:space="preserve">Personal data stays in the CRM (only </w:t>
            </w:r>
            <w:r>
              <w:rPr>
                <w:rStyle w:val="SourceText"/>
              </w:rPr>
              <w:t>customerRef</w:t>
            </w:r>
            <w:r>
              <w:rPr/>
              <w:t xml:space="preserve"> is stored); events expire after 2 years (TTL); one API call erases all of a home's data</w:t>
            </w:r>
          </w:p>
        </w:tc>
        <w:tc>
          <w:tcPr>
            <w:tcW w:w="3530" w:type="dxa"/>
            <w:tcBorders/>
            <w:vAlign w:val="center"/>
          </w:tcPr>
          <w:p>
            <w:pPr>
              <w:pStyle w:val="TableContents"/>
              <w:bidi w:val="0"/>
              <w:spacing w:before="0" w:after="140"/>
              <w:jc w:val="left"/>
              <w:rPr/>
            </w:pPr>
            <w:r>
              <w:rPr/>
              <w:t>Storage limitation and the right to erasure (ICO, 2023)</w:t>
            </w:r>
          </w:p>
        </w:tc>
      </w:tr>
      <w:tr>
        <w:trPr/>
        <w:tc>
          <w:tcPr>
            <w:tcW w:w="1635" w:type="dxa"/>
            <w:tcBorders/>
            <w:vAlign w:val="center"/>
          </w:tcPr>
          <w:p>
            <w:pPr>
              <w:pStyle w:val="TableContents"/>
              <w:bidi w:val="0"/>
              <w:spacing w:before="0" w:after="140"/>
              <w:jc w:val="left"/>
              <w:rPr/>
            </w:pPr>
            <w:r>
              <w:rPr/>
              <w:t>Secrets</w:t>
            </w:r>
          </w:p>
        </w:tc>
        <w:tc>
          <w:tcPr>
            <w:tcW w:w="4351" w:type="dxa"/>
            <w:tcBorders/>
            <w:vAlign w:val="center"/>
          </w:tcPr>
          <w:p>
            <w:pPr>
              <w:pStyle w:val="TableContents"/>
              <w:bidi w:val="0"/>
              <w:spacing w:before="0" w:after="140"/>
              <w:jc w:val="left"/>
              <w:rPr/>
            </w:pPr>
            <w:r>
              <w:rPr/>
              <w:t>Generated per installation; excluded from source control</w:t>
            </w:r>
          </w:p>
        </w:tc>
        <w:tc>
          <w:tcPr>
            <w:tcW w:w="3530" w:type="dxa"/>
            <w:tcBorders/>
            <w:vAlign w:val="center"/>
          </w:tcPr>
          <w:p>
            <w:pPr>
              <w:pStyle w:val="TableContents"/>
              <w:bidi w:val="0"/>
              <w:spacing w:before="0" w:after="140"/>
              <w:jc w:val="left"/>
              <w:rPr/>
            </w:pPr>
            <w:r>
              <w:rPr/>
              <w:t>Credentials leaked through the code repository</w:t>
            </w:r>
          </w:p>
        </w:tc>
      </w:tr>
    </w:tbl>
    <w:p>
      <w:pPr>
        <w:pStyle w:val="TextBody"/>
        <w:bidi w:val="0"/>
        <w:spacing w:before="0" w:after="140"/>
        <w:jc w:val="both"/>
        <w:rPr/>
      </w:pPr>
      <w:r>
        <w:rPr>
          <w:rStyle w:val="StrongEmphasis"/>
        </w:rPr>
        <w:t>Table 5: Database users and roles</w:t>
      </w:r>
    </w:p>
    <w:tbl>
      <w:tblPr>
        <w:tblW w:w="9516" w:type="dxa"/>
        <w:jc w:val="left"/>
        <w:tblInd w:w="0" w:type="dxa"/>
        <w:tblLayout w:type="fixed"/>
        <w:tblCellMar>
          <w:top w:w="28" w:type="dxa"/>
          <w:left w:w="28" w:type="dxa"/>
          <w:bottom w:w="28" w:type="dxa"/>
          <w:right w:w="28" w:type="dxa"/>
        </w:tblCellMar>
      </w:tblPr>
      <w:tblGrid>
        <w:gridCol w:w="1577"/>
        <w:gridCol w:w="3235"/>
        <w:gridCol w:w="4704"/>
      </w:tblGrid>
      <w:tr>
        <w:trPr>
          <w:tblHeader w:val="true"/>
        </w:trPr>
        <w:tc>
          <w:tcPr>
            <w:tcW w:w="1577" w:type="dxa"/>
            <w:tcBorders/>
            <w:vAlign w:val="center"/>
          </w:tcPr>
          <w:p>
            <w:pPr>
              <w:pStyle w:val="TableHeading"/>
              <w:suppressLineNumbers/>
              <w:shd w:fill="0D3B66" w:val="clear"/>
              <w:bidi w:val="0"/>
              <w:spacing w:before="0" w:after="140"/>
              <w:jc w:val="left"/>
              <w:rPr/>
            </w:pPr>
            <w:r>
              <w:rPr/>
              <w:t>User</w:t>
            </w:r>
          </w:p>
        </w:tc>
        <w:tc>
          <w:tcPr>
            <w:tcW w:w="3235" w:type="dxa"/>
            <w:tcBorders/>
            <w:vAlign w:val="center"/>
          </w:tcPr>
          <w:p>
            <w:pPr>
              <w:pStyle w:val="TableHeading"/>
              <w:suppressLineNumbers/>
              <w:shd w:fill="0D3B66" w:val="clear"/>
              <w:bidi w:val="0"/>
              <w:spacing w:before="0" w:after="140"/>
              <w:jc w:val="left"/>
              <w:rPr/>
            </w:pPr>
            <w:r>
              <w:rPr/>
              <w:t>Roles</w:t>
            </w:r>
          </w:p>
        </w:tc>
        <w:tc>
          <w:tcPr>
            <w:tcW w:w="4704" w:type="dxa"/>
            <w:tcBorders/>
            <w:vAlign w:val="center"/>
          </w:tcPr>
          <w:p>
            <w:pPr>
              <w:pStyle w:val="TableHeading"/>
              <w:suppressLineNumbers/>
              <w:shd w:fill="0D3B66" w:val="clear"/>
              <w:bidi w:val="0"/>
              <w:spacing w:before="0" w:after="140"/>
              <w:jc w:val="left"/>
              <w:rPr/>
            </w:pPr>
            <w:r>
              <w:rPr/>
              <w:t>Used by</w:t>
            </w:r>
          </w:p>
        </w:tc>
      </w:tr>
      <w:tr>
        <w:trPr/>
        <w:tc>
          <w:tcPr>
            <w:tcW w:w="1577" w:type="dxa"/>
            <w:tcBorders/>
            <w:vAlign w:val="center"/>
          </w:tcPr>
          <w:p>
            <w:pPr>
              <w:pStyle w:val="TableContents"/>
              <w:bidi w:val="0"/>
              <w:spacing w:before="0" w:after="140"/>
              <w:jc w:val="left"/>
              <w:rPr/>
            </w:pPr>
            <w:r>
              <w:rPr>
                <w:rStyle w:val="SourceText"/>
              </w:rPr>
              <w:t>admin</w:t>
            </w:r>
          </w:p>
        </w:tc>
        <w:tc>
          <w:tcPr>
            <w:tcW w:w="3235" w:type="dxa"/>
            <w:tcBorders/>
            <w:vAlign w:val="center"/>
          </w:tcPr>
          <w:p>
            <w:pPr>
              <w:pStyle w:val="TableContents"/>
              <w:bidi w:val="0"/>
              <w:spacing w:before="0" w:after="140"/>
              <w:jc w:val="left"/>
              <w:rPr/>
            </w:pPr>
            <w:r>
              <w:rPr>
                <w:rStyle w:val="SourceText"/>
              </w:rPr>
              <w:t>root</w:t>
            </w:r>
          </w:p>
        </w:tc>
        <w:tc>
          <w:tcPr>
            <w:tcW w:w="4704" w:type="dxa"/>
            <w:tcBorders/>
            <w:vAlign w:val="center"/>
          </w:tcPr>
          <w:p>
            <w:pPr>
              <w:pStyle w:val="TableContents"/>
              <w:bidi w:val="0"/>
              <w:spacing w:before="0" w:after="140"/>
              <w:jc w:val="left"/>
              <w:rPr/>
            </w:pPr>
            <w:r>
              <w:rPr/>
              <w:t>Setup and administration only</w:t>
            </w:r>
          </w:p>
        </w:tc>
      </w:tr>
      <w:tr>
        <w:trPr/>
        <w:tc>
          <w:tcPr>
            <w:tcW w:w="1577" w:type="dxa"/>
            <w:tcBorders/>
            <w:vAlign w:val="center"/>
          </w:tcPr>
          <w:p>
            <w:pPr>
              <w:pStyle w:val="TableContents"/>
              <w:bidi w:val="0"/>
              <w:spacing w:before="0" w:after="140"/>
              <w:jc w:val="left"/>
              <w:rPr/>
            </w:pPr>
            <w:r>
              <w:rPr>
                <w:rStyle w:val="SourceText"/>
              </w:rPr>
              <w:t>iothings_ingest</w:t>
            </w:r>
          </w:p>
        </w:tc>
        <w:tc>
          <w:tcPr>
            <w:tcW w:w="3235" w:type="dxa"/>
            <w:tcBorders/>
            <w:vAlign w:val="center"/>
          </w:tcPr>
          <w:p>
            <w:pPr>
              <w:pStyle w:val="TableContents"/>
              <w:bidi w:val="0"/>
              <w:spacing w:before="0" w:after="140"/>
              <w:jc w:val="left"/>
              <w:rPr/>
            </w:pPr>
            <w:r>
              <w:rPr>
                <w:rStyle w:val="SourceText"/>
              </w:rPr>
              <w:t>readWrite</w:t>
            </w:r>
            <w:r>
              <w:rPr/>
              <w:t xml:space="preserve"> on </w:t>
            </w:r>
            <w:r>
              <w:rPr>
                <w:rStyle w:val="SourceText"/>
              </w:rPr>
              <w:t>iothings</w:t>
            </w:r>
          </w:p>
        </w:tc>
        <w:tc>
          <w:tcPr>
            <w:tcW w:w="4704" w:type="dxa"/>
            <w:tcBorders/>
            <w:vAlign w:val="center"/>
          </w:tcPr>
          <w:p>
            <w:pPr>
              <w:pStyle w:val="TableContents"/>
              <w:bidi w:val="0"/>
              <w:spacing w:before="0" w:after="140"/>
              <w:jc w:val="left"/>
              <w:rPr/>
            </w:pPr>
            <w:r>
              <w:rPr/>
              <w:t>MQTT ingest service</w:t>
            </w:r>
          </w:p>
        </w:tc>
      </w:tr>
      <w:tr>
        <w:trPr/>
        <w:tc>
          <w:tcPr>
            <w:tcW w:w="1577" w:type="dxa"/>
            <w:tcBorders/>
            <w:vAlign w:val="center"/>
          </w:tcPr>
          <w:p>
            <w:pPr>
              <w:pStyle w:val="TableContents"/>
              <w:bidi w:val="0"/>
              <w:spacing w:before="0" w:after="140"/>
              <w:jc w:val="left"/>
              <w:rPr/>
            </w:pPr>
            <w:r>
              <w:rPr>
                <w:rStyle w:val="SourceText"/>
              </w:rPr>
              <w:t>iothings_api</w:t>
            </w:r>
          </w:p>
        </w:tc>
        <w:tc>
          <w:tcPr>
            <w:tcW w:w="3235" w:type="dxa"/>
            <w:tcBorders/>
            <w:vAlign w:val="center"/>
          </w:tcPr>
          <w:p>
            <w:pPr>
              <w:pStyle w:val="TableContents"/>
              <w:bidi w:val="0"/>
              <w:spacing w:before="0" w:after="140"/>
              <w:jc w:val="left"/>
              <w:rPr/>
            </w:pPr>
            <w:r>
              <w:rPr>
                <w:rStyle w:val="SourceText"/>
              </w:rPr>
              <w:t>readWrite</w:t>
            </w:r>
            <w:r>
              <w:rPr/>
              <w:t xml:space="preserve"> on </w:t>
            </w:r>
            <w:r>
              <w:rPr>
                <w:rStyle w:val="SourceText"/>
              </w:rPr>
              <w:t>iothings</w:t>
            </w:r>
            <w:r>
              <w:rPr/>
              <w:t xml:space="preserve">, </w:t>
            </w:r>
            <w:r>
              <w:rPr>
                <w:rStyle w:val="SourceText"/>
              </w:rPr>
              <w:t>clusterMonitor</w:t>
            </w:r>
          </w:p>
        </w:tc>
        <w:tc>
          <w:tcPr>
            <w:tcW w:w="4704" w:type="dxa"/>
            <w:tcBorders/>
            <w:vAlign w:val="center"/>
          </w:tcPr>
          <w:p>
            <w:pPr>
              <w:pStyle w:val="TableContents"/>
              <w:bidi w:val="0"/>
              <w:spacing w:before="0" w:after="140"/>
              <w:jc w:val="left"/>
              <w:rPr/>
            </w:pPr>
            <w:r>
              <w:rPr/>
              <w:t xml:space="preserve">REST API (the monitor role serves </w:t>
            </w:r>
            <w:r>
              <w:rPr>
                <w:rStyle w:val="SourceText"/>
              </w:rPr>
              <w:t>/cluster/status</w:t>
            </w:r>
            <w:r>
              <w:rPr/>
              <w:t>)</w:t>
            </w:r>
          </w:p>
        </w:tc>
      </w:tr>
      <w:tr>
        <w:trPr/>
        <w:tc>
          <w:tcPr>
            <w:tcW w:w="1577" w:type="dxa"/>
            <w:tcBorders/>
            <w:vAlign w:val="center"/>
          </w:tcPr>
          <w:p>
            <w:pPr>
              <w:pStyle w:val="TableContents"/>
              <w:bidi w:val="0"/>
              <w:spacing w:before="0" w:after="140"/>
              <w:jc w:val="left"/>
              <w:rPr/>
            </w:pPr>
            <w:r>
              <w:rPr>
                <w:rStyle w:val="SourceText"/>
              </w:rPr>
              <w:t>iothings_analyst</w:t>
            </w:r>
          </w:p>
        </w:tc>
        <w:tc>
          <w:tcPr>
            <w:tcW w:w="3235" w:type="dxa"/>
            <w:tcBorders/>
            <w:vAlign w:val="center"/>
          </w:tcPr>
          <w:p>
            <w:pPr>
              <w:pStyle w:val="TableContents"/>
              <w:bidi w:val="0"/>
              <w:spacing w:before="0" w:after="140"/>
              <w:jc w:val="left"/>
              <w:rPr/>
            </w:pPr>
            <w:r>
              <w:rPr>
                <w:rStyle w:val="SourceText"/>
              </w:rPr>
              <w:t>read</w:t>
            </w:r>
            <w:r>
              <w:rPr/>
              <w:t xml:space="preserve"> on </w:t>
            </w:r>
            <w:r>
              <w:rPr>
                <w:rStyle w:val="SourceText"/>
              </w:rPr>
              <w:t>iothings</w:t>
            </w:r>
          </w:p>
        </w:tc>
        <w:tc>
          <w:tcPr>
            <w:tcW w:w="4704" w:type="dxa"/>
            <w:tcBorders/>
            <w:vAlign w:val="center"/>
          </w:tcPr>
          <w:p>
            <w:pPr>
              <w:pStyle w:val="TableContents"/>
              <w:bidi w:val="0"/>
              <w:spacing w:before="0" w:after="140"/>
              <w:jc w:val="left"/>
              <w:rPr/>
            </w:pPr>
            <w:r>
              <w:rPr/>
              <w:t>Analysts and reporting tools</w:t>
            </w:r>
          </w:p>
        </w:tc>
      </w:tr>
    </w:tbl>
    <w:p>
      <w:pPr>
        <w:pStyle w:val="PreformattedText"/>
        <w:pBdr/>
        <w:shd w:fill="F1F3F5" w:val="clear"/>
        <w:bidi w:val="0"/>
        <w:spacing w:lineRule="auto" w:line="324" w:before="160" w:after="40"/>
        <w:ind w:left="160" w:right="160" w:hanging="0"/>
        <w:jc w:val="left"/>
        <w:rPr/>
      </w:pPr>
      <w:r>
        <w:rPr>
          <w:rStyle w:val="SourceText"/>
        </w:rPr>
        <w:t>connected as: [{"user":"iothings_analyst","db":"iothings"}]</w:t>
      </w:r>
    </w:p>
    <w:p>
      <w:pPr>
        <w:pStyle w:val="PreformattedText"/>
        <w:pBdr/>
        <w:shd w:fill="F1F3F5" w:val="clear"/>
        <w:bidi w:val="0"/>
        <w:spacing w:lineRule="auto" w:line="324" w:before="160" w:after="40"/>
        <w:ind w:left="160" w:right="160" w:hanging="0"/>
        <w:jc w:val="left"/>
        <w:rPr/>
      </w:pPr>
      <w:r>
        <w:rPr>
          <w:rStyle w:val="SourceText"/>
        </w:rPr>
        <w:t>read homes: 20 documents</w:t>
      </w:r>
    </w:p>
    <w:p>
      <w:pPr>
        <w:pStyle w:val="PreformattedText"/>
        <w:pBdr/>
        <w:shd w:fill="F1F3F5" w:val="clear"/>
        <w:bidi w:val="0"/>
        <w:spacing w:lineRule="auto" w:line="324" w:before="160" w:after="40"/>
        <w:ind w:left="160" w:right="160" w:hanging="0"/>
        <w:jc w:val="left"/>
        <w:rPr/>
      </w:pPr>
      <w:r>
        <w:rPr>
          <w:rStyle w:val="SourceText"/>
        </w:rPr>
        <w:t>delete refused: Unauthorized - not authorized on iothings to execute command { delete: "homes", ... }</w:t>
      </w:r>
    </w:p>
    <w:p>
      <w:pPr>
        <w:pStyle w:val="TextBodycaption"/>
        <w:bidi w:val="0"/>
        <w:spacing w:before="0" w:after="200"/>
        <w:jc w:val="left"/>
        <w:rPr/>
      </w:pPr>
      <w:r>
        <w:rPr/>
        <w:t>Figure 6: Role-based access control test (</w:t>
      </w:r>
      <w:r>
        <w:rPr>
          <w:rStyle w:val="SourceText"/>
        </w:rPr>
        <w:t>mongo/demo-rbac.js</w:t>
      </w:r>
      <w:r>
        <w:rPr/>
        <w:t>). The read-only analyst account can query data, but MongoDB refuses its attempt to delete every home.</w:t>
      </w:r>
    </w:p>
    <w:p>
      <w:pPr>
        <w:pStyle w:val="TextBody"/>
        <w:bidi w:val="0"/>
        <w:spacing w:before="0" w:after="140"/>
        <w:jc w:val="both"/>
        <w:rPr/>
      </w:pPr>
      <w:r>
        <w:rPr>
          <w:rStyle w:val="StrongEmphasis"/>
        </w:rPr>
        <w:t>Limitations.</w:t>
      </w:r>
      <w:r>
        <w:rPr/>
        <w:t xml:space="preserve"> Traffic is not yet encrypted with TLS, and data is not encrypted at rest. Both are essential before production, and both are supported by MongoDB, Mosquitto and Node.js without code changes (section 6.2).</w:t>
      </w:r>
    </w:p>
    <w:p>
      <w:pPr>
        <w:pStyle w:val="Heading3"/>
        <w:bidi w:val="0"/>
        <w:jc w:val="left"/>
        <w:rPr/>
      </w:pPr>
      <w:r>
        <w:rPr/>
        <w:t>4.5 Data model</w:t>
      </w:r>
    </w:p>
    <w:p>
      <w:pPr>
        <w:pStyle w:val="TextBody"/>
        <w:bidi w:val="0"/>
        <w:spacing w:before="0" w:after="140"/>
        <w:jc w:val="both"/>
        <w:rPr/>
      </w:pPr>
      <w:r>
        <w:rPr/>
        <w:t xml:space="preserve">The database </w:t>
      </w:r>
      <w:r>
        <w:rPr>
          <w:rStyle w:val="SourceText"/>
        </w:rPr>
        <w:t>iothings</w:t>
      </w:r>
      <w:r>
        <w:rPr/>
        <w:t xml:space="preserve"> contains four collections. The design follows the document-modelling principle of structuring data around how it will be queried (Sadalage and Fowler, 2012).</w:t>
      </w:r>
    </w:p>
    <w:p>
      <w:pPr>
        <w:pStyle w:val="TextBody"/>
        <w:bidi w:val="0"/>
        <w:spacing w:before="0" w:after="140"/>
        <w:jc w:val="both"/>
        <w:rPr/>
      </w:pPr>
      <w:r>
        <w:rPr>
          <w:rStyle w:val="StrongEmphasis"/>
        </w:rPr>
        <w:t>Table 6: Collections</w:t>
      </w:r>
    </w:p>
    <w:tbl>
      <w:tblPr>
        <w:tblW w:w="9516" w:type="dxa"/>
        <w:jc w:val="left"/>
        <w:tblInd w:w="0" w:type="dxa"/>
        <w:tblLayout w:type="fixed"/>
        <w:tblCellMar>
          <w:top w:w="28" w:type="dxa"/>
          <w:left w:w="28" w:type="dxa"/>
          <w:bottom w:w="28" w:type="dxa"/>
          <w:right w:w="28" w:type="dxa"/>
        </w:tblCellMar>
      </w:tblPr>
      <w:tblGrid>
        <w:gridCol w:w="1445"/>
        <w:gridCol w:w="2426"/>
        <w:gridCol w:w="3412"/>
        <w:gridCol w:w="2233"/>
      </w:tblGrid>
      <w:tr>
        <w:trPr>
          <w:tblHeader w:val="true"/>
        </w:trPr>
        <w:tc>
          <w:tcPr>
            <w:tcW w:w="1445" w:type="dxa"/>
            <w:tcBorders/>
            <w:vAlign w:val="center"/>
          </w:tcPr>
          <w:p>
            <w:pPr>
              <w:pStyle w:val="TableHeading"/>
              <w:suppressLineNumbers/>
              <w:shd w:fill="0D3B66" w:val="clear"/>
              <w:bidi w:val="0"/>
              <w:spacing w:before="0" w:after="140"/>
              <w:jc w:val="left"/>
              <w:rPr/>
            </w:pPr>
            <w:r>
              <w:rPr/>
              <w:t>Collection</w:t>
            </w:r>
          </w:p>
        </w:tc>
        <w:tc>
          <w:tcPr>
            <w:tcW w:w="2426" w:type="dxa"/>
            <w:tcBorders/>
            <w:vAlign w:val="center"/>
          </w:tcPr>
          <w:p>
            <w:pPr>
              <w:pStyle w:val="TableHeading"/>
              <w:suppressLineNumbers/>
              <w:shd w:fill="0D3B66" w:val="clear"/>
              <w:bidi w:val="0"/>
              <w:spacing w:before="0" w:after="140"/>
              <w:jc w:val="left"/>
              <w:rPr/>
            </w:pPr>
            <w:r>
              <w:rPr/>
              <w:t>Kind</w:t>
            </w:r>
          </w:p>
        </w:tc>
        <w:tc>
          <w:tcPr>
            <w:tcW w:w="3412" w:type="dxa"/>
            <w:tcBorders/>
            <w:vAlign w:val="center"/>
          </w:tcPr>
          <w:p>
            <w:pPr>
              <w:pStyle w:val="TableHeading"/>
              <w:suppressLineNumbers/>
              <w:shd w:fill="0D3B66" w:val="clear"/>
              <w:bidi w:val="0"/>
              <w:spacing w:before="0" w:after="140"/>
              <w:jc w:val="left"/>
              <w:rPr/>
            </w:pPr>
            <w:r>
              <w:rPr/>
              <w:t>Contents</w:t>
            </w:r>
          </w:p>
        </w:tc>
        <w:tc>
          <w:tcPr>
            <w:tcW w:w="2233" w:type="dxa"/>
            <w:tcBorders/>
            <w:vAlign w:val="center"/>
          </w:tcPr>
          <w:p>
            <w:pPr>
              <w:pStyle w:val="TableHeading"/>
              <w:suppressLineNumbers/>
              <w:shd w:fill="0D3B66" w:val="clear"/>
              <w:bidi w:val="0"/>
              <w:spacing w:before="0" w:after="140"/>
              <w:jc w:val="left"/>
              <w:rPr/>
            </w:pPr>
            <w:r>
              <w:rPr/>
              <w:t>Indexes</w:t>
            </w:r>
          </w:p>
        </w:tc>
      </w:tr>
      <w:tr>
        <w:trPr/>
        <w:tc>
          <w:tcPr>
            <w:tcW w:w="1445" w:type="dxa"/>
            <w:tcBorders/>
            <w:vAlign w:val="center"/>
          </w:tcPr>
          <w:p>
            <w:pPr>
              <w:pStyle w:val="TableContents"/>
              <w:bidi w:val="0"/>
              <w:spacing w:before="0" w:after="140"/>
              <w:jc w:val="left"/>
              <w:rPr/>
            </w:pPr>
            <w:r>
              <w:rPr>
                <w:rStyle w:val="SourceText"/>
              </w:rPr>
              <w:t>homes</w:t>
            </w:r>
          </w:p>
        </w:tc>
        <w:tc>
          <w:tcPr>
            <w:tcW w:w="2426" w:type="dxa"/>
            <w:tcBorders/>
            <w:vAlign w:val="center"/>
          </w:tcPr>
          <w:p>
            <w:pPr>
              <w:pStyle w:val="TableContents"/>
              <w:bidi w:val="0"/>
              <w:spacing w:before="0" w:after="140"/>
              <w:jc w:val="left"/>
              <w:rPr/>
            </w:pPr>
            <w:r>
              <w:rPr/>
              <w:t>Validated</w:t>
            </w:r>
          </w:p>
        </w:tc>
        <w:tc>
          <w:tcPr>
            <w:tcW w:w="3412" w:type="dxa"/>
            <w:tcBorders/>
            <w:vAlign w:val="center"/>
          </w:tcPr>
          <w:p>
            <w:pPr>
              <w:pStyle w:val="TableContents"/>
              <w:bidi w:val="0"/>
              <w:spacing w:before="0" w:after="140"/>
              <w:jc w:val="left"/>
              <w:rPr/>
            </w:pPr>
            <w:r>
              <w:rPr/>
              <w:t xml:space="preserve">One document per property: address, rooms, owner preferences (target temperature, night hours, notification contacts) and </w:t>
            </w:r>
            <w:r>
              <w:rPr>
                <w:rStyle w:val="SourceText"/>
              </w:rPr>
              <w:t>customerRef</w:t>
            </w:r>
            <w:r>
              <w:rPr/>
              <w:t xml:space="preserve"> linking to the CRM</w:t>
            </w:r>
          </w:p>
        </w:tc>
        <w:tc>
          <w:tcPr>
            <w:tcW w:w="2233" w:type="dxa"/>
            <w:tcBorders/>
            <w:vAlign w:val="center"/>
          </w:tcPr>
          <w:p>
            <w:pPr>
              <w:pStyle w:val="TableContents"/>
              <w:bidi w:val="0"/>
              <w:spacing w:before="0" w:after="140"/>
              <w:jc w:val="left"/>
              <w:rPr/>
            </w:pPr>
            <w:r>
              <w:rPr>
                <w:rStyle w:val="SourceText"/>
              </w:rPr>
              <w:t>homeId</w:t>
            </w:r>
            <w:r>
              <w:rPr/>
              <w:t xml:space="preserve"> (unique), </w:t>
            </w:r>
            <w:r>
              <w:rPr>
                <w:rStyle w:val="SourceText"/>
              </w:rPr>
              <w:t>customerRef</w:t>
            </w:r>
            <w:r>
              <w:rPr/>
              <w:t xml:space="preserve">, </w:t>
            </w:r>
            <w:r>
              <w:rPr>
                <w:rStyle w:val="SourceText"/>
              </w:rPr>
              <w:t>address.postcode</w:t>
            </w:r>
          </w:p>
        </w:tc>
      </w:tr>
      <w:tr>
        <w:trPr/>
        <w:tc>
          <w:tcPr>
            <w:tcW w:w="1445" w:type="dxa"/>
            <w:tcBorders/>
            <w:vAlign w:val="center"/>
          </w:tcPr>
          <w:p>
            <w:pPr>
              <w:pStyle w:val="TableContents"/>
              <w:bidi w:val="0"/>
              <w:spacing w:before="0" w:after="140"/>
              <w:jc w:val="left"/>
              <w:rPr/>
            </w:pPr>
            <w:r>
              <w:rPr>
                <w:rStyle w:val="SourceText"/>
              </w:rPr>
              <w:t>devices</w:t>
            </w:r>
          </w:p>
        </w:tc>
        <w:tc>
          <w:tcPr>
            <w:tcW w:w="2426" w:type="dxa"/>
            <w:tcBorders/>
            <w:vAlign w:val="center"/>
          </w:tcPr>
          <w:p>
            <w:pPr>
              <w:pStyle w:val="TableContents"/>
              <w:bidi w:val="0"/>
              <w:spacing w:before="0" w:after="140"/>
              <w:jc w:val="left"/>
              <w:rPr/>
            </w:pPr>
            <w:r>
              <w:rPr/>
              <w:t>Validated</w:t>
            </w:r>
          </w:p>
        </w:tc>
        <w:tc>
          <w:tcPr>
            <w:tcW w:w="3412" w:type="dxa"/>
            <w:tcBorders/>
            <w:vAlign w:val="center"/>
          </w:tcPr>
          <w:p>
            <w:pPr>
              <w:pStyle w:val="TableContents"/>
              <w:bidi w:val="0"/>
              <w:spacing w:before="0" w:after="140"/>
              <w:jc w:val="left"/>
              <w:rPr/>
            </w:pPr>
            <w:r>
              <w:rPr/>
              <w:t>One document per installed device: type (one of 11), room, manufacturer, model, firmware, status, plus a copy of its latest state</w:t>
            </w:r>
          </w:p>
        </w:tc>
        <w:tc>
          <w:tcPr>
            <w:tcW w:w="2233" w:type="dxa"/>
            <w:tcBorders/>
            <w:vAlign w:val="center"/>
          </w:tcPr>
          <w:p>
            <w:pPr>
              <w:pStyle w:val="TableContents"/>
              <w:bidi w:val="0"/>
              <w:spacing w:before="0" w:after="140"/>
              <w:jc w:val="left"/>
              <w:rPr/>
            </w:pPr>
            <w:r>
              <w:rPr>
                <w:rStyle w:val="SourceText"/>
              </w:rPr>
              <w:t>deviceId</w:t>
            </w:r>
            <w:r>
              <w:rPr/>
              <w:t xml:space="preserve"> (unique), </w:t>
            </w:r>
            <w:r>
              <w:rPr>
                <w:rStyle w:val="SourceText"/>
              </w:rPr>
              <w:t>{homeId, type}</w:t>
            </w:r>
          </w:p>
        </w:tc>
      </w:tr>
      <w:tr>
        <w:trPr/>
        <w:tc>
          <w:tcPr>
            <w:tcW w:w="1445" w:type="dxa"/>
            <w:tcBorders/>
            <w:vAlign w:val="center"/>
          </w:tcPr>
          <w:p>
            <w:pPr>
              <w:pStyle w:val="TableContents"/>
              <w:bidi w:val="0"/>
              <w:spacing w:before="0" w:after="140"/>
              <w:jc w:val="left"/>
              <w:rPr/>
            </w:pPr>
            <w:r>
              <w:rPr>
                <w:rStyle w:val="SourceText"/>
              </w:rPr>
              <w:t>sensor_events</w:t>
            </w:r>
          </w:p>
        </w:tc>
        <w:tc>
          <w:tcPr>
            <w:tcW w:w="2426" w:type="dxa"/>
            <w:tcBorders/>
            <w:vAlign w:val="center"/>
          </w:tcPr>
          <w:p>
            <w:pPr>
              <w:pStyle w:val="TableContents"/>
              <w:bidi w:val="0"/>
              <w:spacing w:before="0" w:after="140"/>
              <w:jc w:val="left"/>
              <w:rPr/>
            </w:pPr>
            <w:r>
              <w:rPr>
                <w:rStyle w:val="StrongEmphasis"/>
              </w:rPr>
              <w:t>Time-series</w:t>
            </w:r>
            <w:r>
              <w:rPr/>
              <w:t xml:space="preserve"> (</w:t>
            </w:r>
            <w:r>
              <w:rPr>
                <w:rStyle w:val="SourceText"/>
              </w:rPr>
              <w:t>timeField: ts</w:t>
            </w:r>
            <w:r>
              <w:rPr/>
              <w:t xml:space="preserve">, </w:t>
            </w:r>
            <w:r>
              <w:rPr>
                <w:rStyle w:val="SourceText"/>
              </w:rPr>
              <w:t>metaField: meta</w:t>
            </w:r>
            <w:r>
              <w:rPr/>
              <w:t xml:space="preserve">, granularity </w:t>
            </w:r>
            <w:r>
              <w:rPr>
                <w:rStyle w:val="SourceText"/>
              </w:rPr>
              <w:t>minutes</w:t>
            </w:r>
            <w:r>
              <w:rPr/>
              <w:t>, 730-day TTL)</w:t>
            </w:r>
          </w:p>
        </w:tc>
        <w:tc>
          <w:tcPr>
            <w:tcW w:w="3412" w:type="dxa"/>
            <w:tcBorders/>
            <w:vAlign w:val="center"/>
          </w:tcPr>
          <w:p>
            <w:pPr>
              <w:pStyle w:val="TableContents"/>
              <w:bidi w:val="0"/>
              <w:spacing w:before="0" w:after="140"/>
              <w:jc w:val="left"/>
              <w:rPr/>
            </w:pPr>
            <w:r>
              <w:rPr/>
              <w:t>One entry per activation</w:t>
            </w:r>
          </w:p>
        </w:tc>
        <w:tc>
          <w:tcPr>
            <w:tcW w:w="2233" w:type="dxa"/>
            <w:tcBorders/>
            <w:vAlign w:val="center"/>
          </w:tcPr>
          <w:p>
            <w:pPr>
              <w:pStyle w:val="TableContents"/>
              <w:bidi w:val="0"/>
              <w:spacing w:before="0" w:after="140"/>
              <w:jc w:val="left"/>
              <w:rPr/>
            </w:pPr>
            <w:r>
              <w:rPr>
                <w:rStyle w:val="SourceText"/>
              </w:rPr>
              <w:t>{meta.homeId, ts}</w:t>
            </w:r>
            <w:r>
              <w:rPr/>
              <w:t xml:space="preserve">, </w:t>
            </w:r>
            <w:r>
              <w:rPr>
                <w:rStyle w:val="SourceText"/>
              </w:rPr>
              <w:t>{meta.deviceId, ts}</w:t>
            </w:r>
            <w:r>
              <w:rPr/>
              <w:t xml:space="preserve">, </w:t>
            </w:r>
            <w:r>
              <w:rPr>
                <w:rStyle w:val="SourceText"/>
              </w:rPr>
              <w:t>{meta.type, ts}</w:t>
            </w:r>
          </w:p>
        </w:tc>
      </w:tr>
      <w:tr>
        <w:trPr/>
        <w:tc>
          <w:tcPr>
            <w:tcW w:w="1445" w:type="dxa"/>
            <w:tcBorders/>
            <w:vAlign w:val="center"/>
          </w:tcPr>
          <w:p>
            <w:pPr>
              <w:pStyle w:val="TableContents"/>
              <w:bidi w:val="0"/>
              <w:spacing w:before="0" w:after="140"/>
              <w:jc w:val="left"/>
              <w:rPr/>
            </w:pPr>
            <w:r>
              <w:rPr>
                <w:rStyle w:val="SourceText"/>
              </w:rPr>
              <w:t>alerts</w:t>
            </w:r>
          </w:p>
        </w:tc>
        <w:tc>
          <w:tcPr>
            <w:tcW w:w="2426" w:type="dxa"/>
            <w:tcBorders/>
            <w:vAlign w:val="center"/>
          </w:tcPr>
          <w:p>
            <w:pPr>
              <w:pStyle w:val="TableContents"/>
              <w:bidi w:val="0"/>
              <w:spacing w:before="0" w:after="140"/>
              <w:jc w:val="left"/>
              <w:rPr/>
            </w:pPr>
            <w:r>
              <w:rPr/>
              <w:t>Validated</w:t>
            </w:r>
          </w:p>
        </w:tc>
        <w:tc>
          <w:tcPr>
            <w:tcW w:w="3412" w:type="dxa"/>
            <w:tcBorders/>
            <w:vAlign w:val="center"/>
          </w:tcPr>
          <w:p>
            <w:pPr>
              <w:pStyle w:val="TableContents"/>
              <w:bidi w:val="0"/>
              <w:spacing w:before="0" w:after="140"/>
              <w:jc w:val="left"/>
              <w:rPr/>
            </w:pPr>
            <w:r>
              <w:rPr/>
              <w:t>Safety alerts: kind, severity, message, time, acknowledgement</w:t>
            </w:r>
          </w:p>
        </w:tc>
        <w:tc>
          <w:tcPr>
            <w:tcW w:w="2233" w:type="dxa"/>
            <w:tcBorders/>
            <w:vAlign w:val="center"/>
          </w:tcPr>
          <w:p>
            <w:pPr>
              <w:pStyle w:val="TableContents"/>
              <w:bidi w:val="0"/>
              <w:spacing w:before="0" w:after="140"/>
              <w:jc w:val="left"/>
              <w:rPr/>
            </w:pPr>
            <w:r>
              <w:rPr>
                <w:rStyle w:val="SourceText"/>
              </w:rPr>
              <w:t>{homeId, acknowledged, ts}</w:t>
            </w:r>
            <w:r>
              <w:rPr/>
              <w:t xml:space="preserve">, </w:t>
            </w:r>
            <w:r>
              <w:rPr>
                <w:rStyle w:val="SourceText"/>
              </w:rPr>
              <w:t>{severity, ts}</w:t>
            </w:r>
          </w:p>
        </w:tc>
      </w:tr>
    </w:tbl>
    <w:p>
      <w:pPr>
        <w:pStyle w:val="PreformattedText"/>
        <w:pBdr/>
        <w:shd w:fill="F1F3F5" w:val="clear"/>
        <w:bidi w:val="0"/>
        <w:spacing w:lineRule="auto" w:line="324" w:before="160" w:after="40"/>
        <w:ind w:left="160" w:right="160" w:hanging="0"/>
        <w:jc w:val="left"/>
        <w:rPr/>
      </w:pPr>
      <w:r>
        <w:rPr>
          <w:rStyle w:val="SourceText"/>
        </w:rPr>
        <w:t>homes          type=collection validator=yes</w:t>
      </w:r>
    </w:p>
    <w:p>
      <w:pPr>
        <w:pStyle w:val="PreformattedText"/>
        <w:pBdr/>
        <w:shd w:fill="F1F3F5" w:val="clear"/>
        <w:bidi w:val="0"/>
        <w:spacing w:lineRule="auto" w:line="324" w:before="160" w:after="40"/>
        <w:ind w:left="160" w:right="160" w:hanging="0"/>
        <w:jc w:val="left"/>
        <w:rPr/>
      </w:pPr>
      <w:r>
        <w:rPr>
          <w:rStyle w:val="SourceText"/>
        </w:rPr>
        <w:t>devices        type=collection validator=yes</w:t>
      </w:r>
    </w:p>
    <w:p>
      <w:pPr>
        <w:pStyle w:val="PreformattedText"/>
        <w:pBdr/>
        <w:shd w:fill="F1F3F5" w:val="clear"/>
        <w:bidi w:val="0"/>
        <w:spacing w:lineRule="auto" w:line="324" w:before="160" w:after="40"/>
        <w:ind w:left="160" w:right="160" w:hanging="0"/>
        <w:jc w:val="left"/>
        <w:rPr/>
      </w:pPr>
      <w:r>
        <w:rPr>
          <w:rStyle w:val="SourceText"/>
        </w:rPr>
        <w:t>alerts         type=collection validator=yes</w:t>
      </w:r>
    </w:p>
    <w:p>
      <w:pPr>
        <w:pStyle w:val="PreformattedText"/>
        <w:pBdr/>
        <w:shd w:fill="F1F3F5" w:val="clear"/>
        <w:bidi w:val="0"/>
        <w:spacing w:lineRule="auto" w:line="324" w:before="160" w:after="40"/>
        <w:ind w:left="160" w:right="160" w:hanging="0"/>
        <w:jc w:val="left"/>
        <w:rPr/>
      </w:pPr>
      <w:r>
        <w:rPr>
          <w:rStyle w:val="SourceText"/>
        </w:rPr>
        <w:t>sensor_events  type=timeseries {"timeField":"ts","metaField":"meta","granularity":"minutes",</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"bucketMaxSpanSeconds":86400} expireAfterSeconds=63072000</w:t>
      </w:r>
    </w:p>
    <w:p>
      <w:pPr>
        <w:pStyle w:val="PreformattedText"/>
        <w:pBdr/>
        <w:shd w:fill="F1F3F5" w:val="clear"/>
        <w:bidi w:val="0"/>
        <w:spacing w:lineRule="auto" w:line="324" w:before="160" w:after="40"/>
        <w:ind w:left="160" w:right="160" w:hanging="0"/>
        <w:jc w:val="left"/>
        <w:rPr/>
      </w:pPr>
      <w:r>
        <w:rPr>
          <w:rStyle w:val="SourceText"/>
        </w:rPr>
        <w:t>--- sensor_events indexes</w:t>
      </w:r>
    </w:p>
    <w:p>
      <w:pPr>
        <w:pStyle w:val="PreformattedText"/>
        <w:pBdr/>
        <w:shd w:fill="F1F3F5" w:val="clear"/>
        <w:bidi w:val="0"/>
        <w:spacing w:lineRule="auto" w:line="324" w:before="160" w:after="40"/>
        <w:ind w:left="160" w:right="160" w:hanging="0"/>
        <w:jc w:val="left"/>
        <w:rPr/>
      </w:pPr>
      <w:r>
        <w:rPr>
          <w:rStyle w:val="SourceText"/>
        </w:rPr>
        <w:t>{"meta":1,"ts":1}  {"meta.homeId":1,"ts":-1}  {"meta.deviceId":1,"ts":-1}  {"meta.type":1,"ts":-1}</w:t>
      </w:r>
    </w:p>
    <w:p>
      <w:pPr>
        <w:pStyle w:val="TextBodycaption"/>
        <w:bidi w:val="0"/>
        <w:spacing w:before="0" w:after="200"/>
        <w:jc w:val="left"/>
        <w:rPr/>
      </w:pPr>
      <w:r>
        <w:rPr/>
        <w:t xml:space="preserve">Figure 3: Collections and time-series options reported by </w:t>
      </w:r>
      <w:r>
        <w:rPr>
          <w:rStyle w:val="SourceText"/>
        </w:rPr>
        <w:t>db.getCollectionInfos()</w:t>
      </w:r>
      <w:r>
        <w:rPr/>
        <w:t xml:space="preserve"> and </w:t>
      </w:r>
      <w:r>
        <w:rPr>
          <w:rStyle w:val="SourceText"/>
        </w:rPr>
        <w:t>getIndexes()</w:t>
      </w:r>
      <w:r>
        <w:rPr/>
        <w:t>. The expiry of 63,072,000 seconds is 730 days.</w:t>
      </w:r>
    </w:p>
    <w:p>
      <w:pPr>
        <w:pStyle w:val="PreformattedText"/>
        <w:pBdr/>
        <w:shd w:fill="F1F3F5" w:val="clear"/>
        <w:bidi w:val="0"/>
        <w:spacing w:lineRule="auto" w:line="324" w:before="160" w:after="40"/>
        <w:ind w:left="160" w:right="160" w:hanging="0"/>
        <w:jc w:val="left"/>
        <w:rPr/>
      </w:pPr>
      <w:r>
        <w:rPr>
          <w:rStyle w:val="SourceText"/>
        </w:rPr>
        <w:t>// homes</w:t>
      </w:r>
    </w:p>
    <w:p>
      <w:pPr>
        <w:pStyle w:val="PreformattedText"/>
        <w:pBdr/>
        <w:shd w:fill="F1F3F5" w:val="clear"/>
        <w:bidi w:val="0"/>
        <w:spacing w:lineRule="auto" w:line="324" w:before="160" w:after="40"/>
        <w:ind w:left="160" w:right="160" w:hanging="0"/>
        <w:jc w:val="left"/>
        <w:rPr/>
      </w:pPr>
      <w:r>
        <w:rPr>
          <w:rStyle w:val="SourceText"/>
        </w:rPr>
        <w:t>{ homeId: 'H005', customerRef: 'CRM-10005', name: 'Sheffield home 5',</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address: { line1: '16 Victoria Road', city: 'Sheffield', postcode: 'S28 7HR' },</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rooms: ['hallway', 'living_room', 'kitchen', 'bedroom', 'bathroom'],</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preferences: { targetTemperature: 20.5, nightStart: '22:30', nightEnd: '06:30',</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notifyContacts: ['owner5@example.com'] },</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profile: 'commuter', createdAt: ISODate('2026-08-24T00:00:00Z') }</w:t>
      </w:r>
    </w:p>
    <w:p>
      <w:pPr>
        <w:pStyle w:val="PreformattedText"/>
        <w:pBdr/>
        <w:shd w:fill="F1F3F5" w:val="clear"/>
        <w:bidi w:val="0"/>
        <w:spacing w:lineRule="auto" w:line="324" w:before="160" w:after="40"/>
        <w:ind w:left="160" w:right="160" w:hanging="0"/>
        <w:jc w:val="left"/>
        <w:rPr/>
      </w:pPr>
      <w:r>
        <w:rPr>
          <w:rStyle w:val="SourceText"/>
        </w:rPr>
        <w:t>// devices</w:t>
      </w:r>
    </w:p>
    <w:p>
      <w:pPr>
        <w:pStyle w:val="PreformattedText"/>
        <w:pBdr/>
        <w:shd w:fill="F1F3F5" w:val="clear"/>
        <w:bidi w:val="0"/>
        <w:spacing w:lineRule="auto" w:line="324" w:before="160" w:after="40"/>
        <w:ind w:left="160" w:right="160" w:hanging="0"/>
        <w:jc w:val="left"/>
        <w:rPr/>
      </w:pPr>
      <w:r>
        <w:rPr>
          <w:rStyle w:val="SourceText"/>
        </w:rPr>
        <w:t>{ deviceId: 'H005-hallway-door-lock', homeId: 'H005', type: 'door_lock', room: 'hallway',</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manufacturer: 'Nuki', model: 'DOO-706', firmware: '3.5.3', status: 'active',</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installedAt: ISODate('2026-08-24T00:00:00Z'),</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lastSeen: ISODate('2026-09-29T22:22:19Z'), lastState: { state: 'locked' } }</w:t>
      </w:r>
    </w:p>
    <w:p>
      <w:pPr>
        <w:pStyle w:val="PreformattedText"/>
        <w:pBdr/>
        <w:shd w:fill="F1F3F5" w:val="clear"/>
        <w:bidi w:val="0"/>
        <w:spacing w:lineRule="auto" w:line="324" w:before="160" w:after="40"/>
        <w:ind w:left="160" w:right="160" w:hanging="0"/>
        <w:jc w:val="left"/>
        <w:rPr/>
      </w:pPr>
      <w:r>
        <w:rPr>
          <w:rStyle w:val="SourceText"/>
        </w:rPr>
        <w:t>// sensor_events</w:t>
      </w:r>
    </w:p>
    <w:p>
      <w:pPr>
        <w:pStyle w:val="PreformattedText"/>
        <w:pBdr/>
        <w:shd w:fill="F1F3F5" w:val="clear"/>
        <w:bidi w:val="0"/>
        <w:spacing w:lineRule="auto" w:line="324" w:before="160" w:after="40"/>
        <w:ind w:left="160" w:right="160" w:hanging="0"/>
        <w:jc w:val="left"/>
        <w:rPr/>
      </w:pPr>
      <w:r>
        <w:rPr>
          <w:rStyle w:val="SourceText"/>
        </w:rPr>
        <w:t>{ ts: ISODate('2026-09-29T22:22:19.279Z'),</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meta: { homeId: 'H005', deviceId: 'H005-hallway-door-lock', room: 'hallway', type: 'door_lock' },</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state: 'locked' }</w:t>
      </w:r>
    </w:p>
    <w:p>
      <w:pPr>
        <w:pStyle w:val="PreformattedText"/>
        <w:pBdr/>
        <w:shd w:fill="F1F3F5" w:val="clear"/>
        <w:bidi w:val="0"/>
        <w:spacing w:lineRule="auto" w:line="324" w:before="160" w:after="40"/>
        <w:ind w:left="160" w:right="160" w:hanging="0"/>
        <w:jc w:val="left"/>
        <w:rPr/>
      </w:pPr>
      <w:r>
        <w:rPr>
          <w:rStyle w:val="SourceText"/>
        </w:rPr>
        <w:t>// alerts</w:t>
      </w:r>
    </w:p>
    <w:p>
      <w:pPr>
        <w:pStyle w:val="PreformattedText"/>
        <w:pBdr/>
        <w:shd w:fill="F1F3F5" w:val="clear"/>
        <w:bidi w:val="0"/>
        <w:spacing w:lineRule="auto" w:line="324" w:before="160" w:after="40"/>
        <w:ind w:left="160" w:right="160" w:hanging="0"/>
        <w:jc w:val="left"/>
        <w:rPr/>
      </w:pPr>
      <w:r>
        <w:rPr>
          <w:rStyle w:val="SourceText"/>
        </w:rPr>
        <w:t>{ homeId: 'H001', deviceId: 'H001-kitchen-smoke-alarm', ts: ISODate('2026-09-16T17:31:56Z'),</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kind: 'smoke', severity: 'critical', message: 'Smoke detected in kitchen', acknowledged: false }</w:t>
      </w:r>
    </w:p>
    <w:p>
      <w:pPr>
        <w:pStyle w:val="TextBodycaption"/>
        <w:bidi w:val="0"/>
        <w:spacing w:before="0" w:after="200"/>
        <w:jc w:val="left"/>
        <w:rPr/>
      </w:pPr>
      <w:r>
        <w:rPr/>
        <w:t>Figure 4: An example document from each collection, as stored.</w:t>
      </w:r>
    </w:p>
    <w:p>
      <w:pPr>
        <w:pStyle w:val="TextBody"/>
        <w:bidi w:val="0"/>
        <w:spacing w:before="0" w:after="140"/>
        <w:jc w:val="both"/>
        <w:rPr/>
      </w:pPr>
      <w:r>
        <w:rPr>
          <w:rStyle w:val="StrongEmphasis"/>
        </w:rPr>
        <w:t>Design decisions:</w:t>
      </w:r>
    </w:p>
    <w:p>
      <w:pPr>
        <w:pStyle w:val="TextBody"/>
        <w:numPr>
          <w:ilvl w:val="0"/>
          <w:numId w:val="14"/>
        </w:numPr>
        <w:tabs>
          <w:tab w:val="clear" w:pos="1134"/>
          <w:tab w:val="left" w:pos="709" w:leader="none"/>
        </w:tabs>
        <w:bidi w:val="0"/>
        <w:spacing w:before="0" w:after="0"/>
        <w:ind w:left="709" w:hanging="283"/>
        <w:rPr/>
      </w:pPr>
      <w:r>
        <w:rPr>
          <w:rStyle w:val="StrongEmphasis"/>
        </w:rPr>
        <w:t>A time-series collection for events.</w:t>
      </w:r>
      <w:r>
        <w:rPr/>
        <w:t xml:space="preserve"> Time-series collections (MongoDB 5.0 and later) store measurements from the same </w:t>
      </w:r>
      <w:r>
        <w:rPr>
          <w:rStyle w:val="SourceText"/>
        </w:rPr>
        <w:t>meta</w:t>
      </w:r>
      <w:r>
        <w:rPr/>
        <w:t xml:space="preserve"> value (here, one device) in compressed buckets covering a time window. This cuts storage and speeds up time-range queries, which are the dominant access pattern. The granularity was chosen by experiment (section 4.10). </w:t>
      </w:r>
    </w:p>
    <w:p>
      <w:pPr>
        <w:pStyle w:val="TextBody"/>
        <w:numPr>
          <w:ilvl w:val="0"/>
          <w:numId w:val="14"/>
        </w:numPr>
        <w:tabs>
          <w:tab w:val="clear" w:pos="1134"/>
          <w:tab w:val="left" w:pos="709" w:leader="none"/>
        </w:tabs>
        <w:bidi w:val="0"/>
        <w:spacing w:before="0" w:after="0"/>
        <w:ind w:left="709" w:hanging="283"/>
        <w:rPr/>
      </w:pPr>
      <w:r>
        <w:rPr>
          <w:rStyle w:val="StrongEmphasis"/>
        </w:rPr>
        <w:t>Devices are referenced, not embedded in homes.</w:t>
      </w:r>
      <w:r>
        <w:rPr/>
        <w:t xml:space="preserve"> A home has many devices, device state changes constantly, and devices are queried on their own. Embedding them would make every state update rewrite the whole home document. </w:t>
      </w:r>
      <w:r>
        <w:rPr>
          <w:rStyle w:val="SourceText"/>
        </w:rPr>
        <w:t>GET /homes/{id}</w:t>
      </w:r>
      <w:r>
        <w:rPr/>
        <w:t xml:space="preserve"> joins the two with </w:t>
      </w:r>
      <w:r>
        <w:rPr>
          <w:rStyle w:val="SourceText"/>
        </w:rPr>
        <w:t>$lookup</w:t>
      </w:r>
      <w:r>
        <w:rPr/>
        <w:t xml:space="preserve"> when both are needed. </w:t>
      </w:r>
    </w:p>
    <w:p>
      <w:pPr>
        <w:pStyle w:val="TextBody"/>
        <w:numPr>
          <w:ilvl w:val="0"/>
          <w:numId w:val="14"/>
        </w:numPr>
        <w:tabs>
          <w:tab w:val="clear" w:pos="1134"/>
          <w:tab w:val="left" w:pos="709" w:leader="none"/>
        </w:tabs>
        <w:bidi w:val="0"/>
        <w:spacing w:before="0" w:after="0"/>
        <w:ind w:left="709" w:hanging="283"/>
        <w:rPr/>
      </w:pPr>
      <w:r>
        <w:rPr>
          <w:rStyle w:val="StrongEmphasis"/>
        </w:rPr>
        <w:t xml:space="preserve">Deliberate duplication of </w:t>
      </w:r>
      <w:r>
        <w:rPr>
          <w:rStyle w:val="SourceText"/>
        </w:rPr>
        <w:t>lastState</w:t>
      </w:r>
      <w:r>
        <w:rPr>
          <w:rStyle w:val="StrongEmphasis"/>
        </w:rPr>
        <w:t>.</w:t>
      </w:r>
      <w:r>
        <w:rPr/>
        <w:t xml:space="preserve"> Each device document carries a copy of its most recent reading. A dashboard can therefore show the current state of every device in a home with one indexed query instead of scanning events. This trades a small write cost for a large read saving, a typical document-store choice. </w:t>
      </w:r>
    </w:p>
    <w:p>
      <w:pPr>
        <w:pStyle w:val="TextBody"/>
        <w:numPr>
          <w:ilvl w:val="0"/>
          <w:numId w:val="14"/>
        </w:numPr>
        <w:tabs>
          <w:tab w:val="clear" w:pos="1134"/>
          <w:tab w:val="left" w:pos="709" w:leader="none"/>
        </w:tabs>
        <w:bidi w:val="0"/>
        <w:spacing w:before="0" w:after="0"/>
        <w:ind w:left="709" w:hanging="283"/>
        <w:rPr/>
      </w:pPr>
      <w:r>
        <w:rPr>
          <w:rStyle w:val="StrongEmphasis"/>
        </w:rPr>
        <w:t xml:space="preserve">Denormalised </w:t>
      </w:r>
      <w:r>
        <w:rPr>
          <w:rStyle w:val="SourceText"/>
        </w:rPr>
        <w:t>meta</w:t>
      </w:r>
      <w:r>
        <w:rPr>
          <w:rStyle w:val="StrongEmphasis"/>
        </w:rPr>
        <w:t xml:space="preserve"> on each event.</w:t>
      </w:r>
      <w:r>
        <w:rPr/>
        <w:t xml:space="preserve"> Each event repeats its home, room and type alongside the device ID. Queries such as "all motion in home H005" then need no join, and all four fields help the time-series engine group and compress the data. </w:t>
      </w:r>
    </w:p>
    <w:p>
      <w:pPr>
        <w:pStyle w:val="TextBody"/>
        <w:numPr>
          <w:ilvl w:val="0"/>
          <w:numId w:val="14"/>
        </w:numPr>
        <w:tabs>
          <w:tab w:val="clear" w:pos="1134"/>
          <w:tab w:val="left" w:pos="709" w:leader="none"/>
        </w:tabs>
        <w:bidi w:val="0"/>
        <w:spacing w:before="0" w:after="0"/>
        <w:ind w:left="709" w:hanging="283"/>
        <w:rPr/>
      </w:pPr>
      <w:r>
        <w:rPr>
          <w:rStyle w:val="StrongEmphasis"/>
        </w:rPr>
        <w:t>A link to the CRM rather than a copy of it.</w:t>
      </w:r>
      <w:r>
        <w:rPr/>
        <w:t xml:space="preserve"> Only </w:t>
      </w:r>
      <w:r>
        <w:rPr>
          <w:rStyle w:val="SourceText"/>
        </w:rPr>
        <w:t>customerRef</w:t>
      </w:r>
      <w:r>
        <w:rPr/>
        <w:t xml:space="preserve"> is stored. Names, emails and payment details stay in the relational CRM, which keeps personal data to a minimum in the new store (UK GDPR data minimisation) and avoids two copies drifting apart. </w:t>
      </w:r>
    </w:p>
    <w:p>
      <w:pPr>
        <w:pStyle w:val="TextBody"/>
        <w:numPr>
          <w:ilvl w:val="0"/>
          <w:numId w:val="14"/>
        </w:numPr>
        <w:tabs>
          <w:tab w:val="clear" w:pos="1134"/>
          <w:tab w:val="left" w:pos="709" w:leader="none"/>
        </w:tabs>
        <w:bidi w:val="0"/>
        <w:ind w:left="709" w:hanging="283"/>
        <w:rPr/>
      </w:pPr>
      <w:r>
        <w:rPr>
          <w:rStyle w:val="StrongEmphasis"/>
        </w:rPr>
        <w:t>Validation where the structure is known.</w:t>
      </w:r>
      <w:r>
        <w:rPr/>
        <w:t xml:space="preserve"> </w:t>
      </w:r>
      <w:r>
        <w:rPr>
          <w:rStyle w:val="SourceText"/>
        </w:rPr>
        <w:t>homes</w:t>
      </w:r>
      <w:r>
        <w:rPr/>
        <w:t xml:space="preserve">, </w:t>
      </w:r>
      <w:r>
        <w:rPr>
          <w:rStyle w:val="SourceText"/>
        </w:rPr>
        <w:t>devices</w:t>
      </w:r>
      <w:r>
        <w:rPr/>
        <w:t xml:space="preserve"> and </w:t>
      </w:r>
      <w:r>
        <w:rPr>
          <w:rStyle w:val="SourceText"/>
        </w:rPr>
        <w:t>alerts</w:t>
      </w:r>
      <w:r>
        <w:rPr/>
        <w:t xml:space="preserve"> have </w:t>
      </w:r>
      <w:r>
        <w:rPr>
          <w:rStyle w:val="SourceText"/>
        </w:rPr>
        <w:t>$jsonSchema</w:t>
      </w:r>
      <w:r>
        <w:rPr/>
        <w:t xml:space="preserve"> validators (required fields, enumerated device types, value ranges, ID patterns). Payload rules for events are applied in the ingest service, because the rules depend on the device type. </w:t>
      </w:r>
    </w:p>
    <w:p>
      <w:pPr>
        <w:pStyle w:val="Heading3"/>
        <w:bidi w:val="0"/>
        <w:jc w:val="left"/>
        <w:rPr/>
      </w:pPr>
      <w:r>
        <w:rPr/>
        <w:t>4.6 MQTT ingest service</w:t>
      </w:r>
    </w:p>
    <w:p>
      <w:pPr>
        <w:pStyle w:val="TextBody"/>
        <w:bidi w:val="0"/>
        <w:spacing w:before="0" w:after="140"/>
        <w:jc w:val="both"/>
        <w:rPr/>
      </w:pPr>
      <w:r>
        <w:rPr/>
        <w:t>The ingest service (</w:t>
      </w:r>
      <w:r>
        <w:rPr>
          <w:rStyle w:val="SourceText"/>
        </w:rPr>
        <w:t>src/ingest.js</w:t>
      </w:r>
      <w:r>
        <w:rPr/>
        <w:t xml:space="preserve">) connects to the broker with its own credentials. It subscribes to </w:t>
      </w:r>
      <w:r>
        <w:rPr>
          <w:rStyle w:val="SourceText"/>
        </w:rPr>
        <w:t>iothings/+/+/state</w:t>
      </w:r>
      <w:r>
        <w:rPr/>
        <w:t xml:space="preserve"> at </w:t>
      </w:r>
      <w:r>
        <w:rPr>
          <w:rStyle w:val="StrongEmphasis"/>
        </w:rPr>
        <w:t>QoS 1</w:t>
      </w:r>
      <w:r>
        <w:rPr/>
        <w:t xml:space="preserve"> (at-least-once delivery) with a </w:t>
      </w:r>
      <w:r>
        <w:rPr>
          <w:rStyle w:val="StrongEmphasis"/>
        </w:rPr>
        <w:t>persistent session</w:t>
      </w:r>
      <w:r>
        <w:rPr/>
        <w:t xml:space="preserve">, so the broker queues messages while the service restarts. Devices publish JSON to </w:t>
      </w:r>
      <w:r>
        <w:rPr>
          <w:rStyle w:val="SourceText"/>
        </w:rPr>
        <w:t>iothings/&lt;homeId&gt;/&lt;deviceId&gt;/state</w:t>
      </w:r>
      <w:r>
        <w:rPr/>
        <w:t xml:space="preserve">, for example </w:t>
      </w:r>
      <w:r>
        <w:rPr>
          <w:rStyle w:val="SourceText"/>
        </w:rPr>
        <w:t>{"state":"on","value":80}</w:t>
      </w:r>
      <w:r>
        <w:rPr/>
        <w:t xml:space="preserve"> for a light at 80% brightness.</w:t>
      </w:r>
    </w:p>
    <w:p>
      <w:pPr>
        <w:pStyle w:val="TextBody"/>
        <w:bidi w:val="0"/>
        <w:spacing w:before="0" w:after="140"/>
        <w:jc w:val="both"/>
        <w:rPr/>
      </w:pPr>
      <w:r>
        <w:rPr/>
        <w:t>For each message the service:</w:t>
      </w:r>
    </w:p>
    <w:p>
      <w:pPr>
        <w:pStyle w:val="TextBody"/>
        <w:numPr>
          <w:ilvl w:val="0"/>
          <w:numId w:val="15"/>
        </w:numPr>
        <w:tabs>
          <w:tab w:val="clear" w:pos="1134"/>
          <w:tab w:val="left" w:pos="709" w:leader="none"/>
        </w:tabs>
        <w:bidi w:val="0"/>
        <w:spacing w:before="0" w:after="0"/>
        <w:ind w:left="709" w:hanging="283"/>
        <w:rPr/>
      </w:pPr>
      <w:r>
        <w:rPr>
          <w:rStyle w:val="StrongEmphasis"/>
        </w:rPr>
        <w:t>Parses the topic.</w:t>
      </w:r>
      <w:r>
        <w:rPr/>
        <w:t xml:space="preserve"> It rejects topics that do not match the pattern. </w:t>
      </w:r>
    </w:p>
    <w:p>
      <w:pPr>
        <w:pStyle w:val="TextBody"/>
        <w:numPr>
          <w:ilvl w:val="0"/>
          <w:numId w:val="15"/>
        </w:numPr>
        <w:tabs>
          <w:tab w:val="clear" w:pos="1134"/>
          <w:tab w:val="left" w:pos="709" w:leader="none"/>
        </w:tabs>
        <w:bidi w:val="0"/>
        <w:spacing w:before="0" w:after="0"/>
        <w:ind w:left="709" w:hanging="283"/>
        <w:rPr/>
      </w:pPr>
      <w:r>
        <w:rPr>
          <w:rStyle w:val="StrongEmphasis"/>
        </w:rPr>
        <w:t>Looks up the device</w:t>
      </w:r>
      <w:r>
        <w:rPr/>
        <w:t xml:space="preserve"> in </w:t>
      </w:r>
      <w:r>
        <w:rPr>
          <w:rStyle w:val="SourceText"/>
        </w:rPr>
        <w:t>devices</w:t>
      </w:r>
      <w:r>
        <w:rPr/>
        <w:t xml:space="preserve">, with a 60-second in-memory cache. It rejects unknown devices and devices that belong to a different home. This stops a compromised gateway from writing into another customer's data. </w:t>
      </w:r>
    </w:p>
    <w:p>
      <w:pPr>
        <w:pStyle w:val="TextBody"/>
        <w:numPr>
          <w:ilvl w:val="0"/>
          <w:numId w:val="15"/>
        </w:numPr>
        <w:tabs>
          <w:tab w:val="clear" w:pos="1134"/>
          <w:tab w:val="left" w:pos="709" w:leader="none"/>
        </w:tabs>
        <w:bidi w:val="0"/>
        <w:spacing w:before="0" w:after="0"/>
        <w:ind w:left="709" w:hanging="283"/>
        <w:rPr/>
      </w:pPr>
      <w:r>
        <w:rPr>
          <w:rStyle w:val="StrongEmphasis"/>
        </w:rPr>
        <w:t>Validates the payload</w:t>
      </w:r>
      <w:r>
        <w:rPr/>
        <w:t xml:space="preserve"> against the rules for the device type. For example, a door lock may only be </w:t>
      </w:r>
      <w:r>
        <w:rPr>
          <w:rStyle w:val="SourceText"/>
        </w:rPr>
        <w:t>locked</w:t>
      </w:r>
      <w:r>
        <w:rPr/>
        <w:t xml:space="preserve"> or </w:t>
      </w:r>
      <w:r>
        <w:rPr>
          <w:rStyle w:val="SourceText"/>
        </w:rPr>
        <w:t>unlocked</w:t>
      </w:r>
      <w:r>
        <w:rPr/>
        <w:t xml:space="preserve">, a temperature must lie between −20 and 60 °C, and a battery level between 0 and 100. </w:t>
      </w:r>
    </w:p>
    <w:p>
      <w:pPr>
        <w:pStyle w:val="TextBody"/>
        <w:numPr>
          <w:ilvl w:val="0"/>
          <w:numId w:val="15"/>
        </w:numPr>
        <w:tabs>
          <w:tab w:val="clear" w:pos="1134"/>
          <w:tab w:val="left" w:pos="709" w:leader="none"/>
        </w:tabs>
        <w:bidi w:val="0"/>
        <w:spacing w:before="0" w:after="0"/>
        <w:ind w:left="709" w:hanging="283"/>
        <w:rPr/>
      </w:pPr>
      <w:r>
        <w:rPr>
          <w:rStyle w:val="StrongEmphasis"/>
        </w:rPr>
        <w:t>Builds the event document</w:t>
      </w:r>
      <w:r>
        <w:rPr/>
        <w:t xml:space="preserve">, adding the device's home, room and type as </w:t>
      </w:r>
      <w:r>
        <w:rPr>
          <w:rStyle w:val="SourceText"/>
        </w:rPr>
        <w:t>meta</w:t>
      </w:r>
      <w:r>
        <w:rPr/>
        <w:t xml:space="preserve">. </w:t>
      </w:r>
    </w:p>
    <w:p>
      <w:pPr>
        <w:pStyle w:val="TextBody"/>
        <w:numPr>
          <w:ilvl w:val="0"/>
          <w:numId w:val="15"/>
        </w:numPr>
        <w:tabs>
          <w:tab w:val="clear" w:pos="1134"/>
          <w:tab w:val="left" w:pos="709" w:leader="none"/>
        </w:tabs>
        <w:bidi w:val="0"/>
        <w:ind w:left="709" w:hanging="283"/>
        <w:rPr/>
      </w:pPr>
      <w:r>
        <w:rPr>
          <w:rStyle w:val="StrongEmphasis"/>
        </w:rPr>
        <w:t>Evaluates the safety rules:</w:t>
      </w:r>
      <w:r>
        <w:rPr/>
        <w:t xml:space="preserve"> - smoke detected produces a </w:t>
      </w:r>
      <w:r>
        <w:rPr>
          <w:rStyle w:val="StrongEmphasis"/>
        </w:rPr>
        <w:t>critical</w:t>
      </w:r>
      <w:r>
        <w:rPr/>
        <w:t xml:space="preserve"> alert - a door unlocked or opened during the owner's night hours produces a </w:t>
      </w:r>
      <w:r>
        <w:rPr>
          <w:rStyle w:val="StrongEmphasis"/>
        </w:rPr>
        <w:t>warning</w:t>
      </w:r>
      <w:r>
        <w:rPr/>
        <w:t xml:space="preserve">; night hours are evaluated in UK local time, so the rule stays correct across the change to British Summer Time - a temperature of 35 °C or more, or 5 °C or less, produces a </w:t>
      </w:r>
      <w:r>
        <w:rPr>
          <w:rStyle w:val="StrongEmphasis"/>
        </w:rPr>
        <w:t>warning</w:t>
      </w:r>
      <w:r>
        <w:rPr/>
        <w:t xml:space="preserve"> </w:t>
      </w:r>
    </w:p>
    <w:p>
      <w:pPr>
        <w:pStyle w:val="TextBody"/>
        <w:bidi w:val="0"/>
        <w:rPr/>
      </w:pPr>
      <w:r>
        <w:rPr/>
        <w:t xml:space="preserve">Each alert is stored at once and published to </w:t>
      </w:r>
      <w:r>
        <w:rPr>
          <w:rStyle w:val="SourceText"/>
        </w:rPr>
        <w:t>iothings/&lt;homeId&gt;/notifications</w:t>
      </w:r>
      <w:r>
        <w:rPr/>
        <w:t xml:space="preserve">, so apps and gateways can notify the owner. 6. </w:t>
      </w:r>
      <w:r>
        <w:rPr>
          <w:rStyle w:val="StrongEmphasis"/>
        </w:rPr>
        <w:t>Buffers the event</w:t>
      </w:r>
      <w:r>
        <w:rPr/>
        <w:t xml:space="preserve"> and writes the buffer with one </w:t>
      </w:r>
      <w:r>
        <w:rPr>
          <w:rStyle w:val="SourceText"/>
        </w:rPr>
        <w:t>insertMany</w:t>
      </w:r>
      <w:r>
        <w:rPr/>
        <w:t xml:space="preserve"> when it holds 500 events or every second, whichever comes first. It then updates each affected device's </w:t>
      </w:r>
      <w:r>
        <w:rPr>
          <w:rStyle w:val="SourceText"/>
        </w:rPr>
        <w:t>lastState</w:t>
      </w:r>
      <w:r>
        <w:rPr/>
        <w:t>.</w:t>
      </w:r>
    </w:p>
    <w:p>
      <w:pPr>
        <w:pStyle w:val="TextBody"/>
        <w:bidi w:val="0"/>
        <w:spacing w:before="0" w:after="140"/>
        <w:jc w:val="both"/>
        <w:rPr/>
      </w:pPr>
      <w:r>
        <w:rPr/>
        <w:t>Batching turns thousands of small writes, each waiting for acknowledgement from two replicas, into a few large ones. This is the main reason for the throughput measured in section 4.10.</w:t>
      </w:r>
    </w:p>
    <w:p>
      <w:pPr>
        <w:pStyle w:val="PreformattedText"/>
        <w:pBdr/>
        <w:shd w:fill="F1F3F5" w:val="clear"/>
        <w:bidi w:val="0"/>
        <w:spacing w:lineRule="auto" w:line="324" w:before="160" w:after="40"/>
        <w:ind w:left="160" w:right="160" w:hanging="0"/>
        <w:jc w:val="left"/>
        <w:rPr/>
      </w:pPr>
      <w:r>
        <w:rPr>
          <w:rStyle w:val="SourceText"/>
        </w:rPr>
        <w:t>$ simulator.js --smoke H007</w:t>
      </w:r>
    </w:p>
    <w:p>
      <w:pPr>
        <w:pStyle w:val="PreformattedText"/>
        <w:pBdr/>
        <w:shd w:fill="F1F3F5" w:val="clear"/>
        <w:bidi w:val="0"/>
        <w:spacing w:lineRule="auto" w:line="324" w:before="160" w:after="40"/>
        <w:ind w:left="160" w:right="160" w:hanging="0"/>
        <w:jc w:val="left"/>
        <w:rPr/>
      </w:pPr>
      <w:r>
        <w:rPr>
          <w:rStyle w:val="SourceText"/>
        </w:rPr>
        <w:t>published smoke event for H007-hallway-smoke-alarm</w:t>
      </w:r>
    </w:p>
    <w:p>
      <w:pPr>
        <w:pStyle w:val="PreformattedText"/>
        <w:pBdr/>
        <w:shd w:fill="F1F3F5" w:val="clear"/>
        <w:bidi w:val="0"/>
        <w:spacing w:lineRule="auto" w:line="324" w:before="160" w:after="40"/>
        <w:ind w:left="160" w:right="160" w:hanging="0"/>
        <w:jc w:val="left"/>
        <w:rPr/>
      </w:pPr>
      <w:r>
        <w:rPr>
          <w:rStyle w:val="SourceText"/>
        </w:rPr>
        <w:t>notification received on iothings/H007/notifications {"homeId":"H007",</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"deviceId":"H007-hallway-smoke-alarm","kind":"smoke","severity":"critical",</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"message":"Smoke detected in hallway", ...}</w:t>
      </w:r>
    </w:p>
    <w:p>
      <w:pPr>
        <w:pStyle w:val="PreformattedText"/>
        <w:pBdr/>
        <w:shd w:fill="F1F3F5" w:val="clear"/>
        <w:bidi w:val="0"/>
        <w:spacing w:lineRule="auto" w:line="324" w:before="160" w:after="40"/>
        <w:ind w:left="160" w:right="160" w:hanging="0"/>
        <w:jc w:val="left"/>
        <w:rPr/>
      </w:pPr>
      <w:r>
        <w:rPr/>
      </w:r>
    </w:p>
    <w:p>
      <w:pPr>
        <w:pStyle w:val="PreformattedText"/>
        <w:pBdr/>
        <w:shd w:fill="F1F3F5" w:val="clear"/>
        <w:bidi w:val="0"/>
        <w:spacing w:lineRule="auto" w:line="324" w:before="160" w:after="40"/>
        <w:ind w:left="160" w:right="160" w:hanging="0"/>
        <w:jc w:val="left"/>
        <w:rPr/>
      </w:pPr>
      <w:r>
        <w:rPr>
          <w:rStyle w:val="SourceText"/>
        </w:rPr>
        <w:t>$ simulator.js --invalid          (ingest service log)</w:t>
      </w:r>
    </w:p>
    <w:p>
      <w:pPr>
        <w:pStyle w:val="PreformattedText"/>
        <w:pBdr/>
        <w:shd w:fill="F1F3F5" w:val="clear"/>
        <w:bidi w:val="0"/>
        <w:spacing w:lineRule="auto" w:line="324" w:before="160" w:after="40"/>
        <w:ind w:left="160" w:right="160" w:hanging="0"/>
        <w:jc w:val="left"/>
        <w:rPr/>
      </w:pPr>
      <w:r>
        <w:rPr>
          <w:rStyle w:val="SourceText"/>
        </w:rPr>
        <w:t>ALERT critical Smoke detected in hallway H007</w:t>
      </w:r>
    </w:p>
    <w:p>
      <w:pPr>
        <w:pStyle w:val="PreformattedText"/>
        <w:pBdr/>
        <w:shd w:fill="F1F3F5" w:val="clear"/>
        <w:bidi w:val="0"/>
        <w:spacing w:lineRule="auto" w:line="324" w:before="160" w:after="40"/>
        <w:ind w:left="160" w:right="160" w:hanging="0"/>
        <w:jc w:val="left"/>
        <w:rPr/>
      </w:pPr>
      <w:r>
        <w:rPr>
          <w:rStyle w:val="SourceText"/>
        </w:rPr>
        <w:t>rejected iothings/H001/H001-living-room-temperature/state value 999 outside -20..60</w:t>
      </w:r>
    </w:p>
    <w:p>
      <w:pPr>
        <w:pStyle w:val="PreformattedText"/>
        <w:pBdr/>
        <w:shd w:fill="F1F3F5" w:val="clear"/>
        <w:bidi w:val="0"/>
        <w:spacing w:lineRule="auto" w:line="324" w:before="160" w:after="40"/>
        <w:ind w:left="160" w:right="160" w:hanging="0"/>
        <w:jc w:val="left"/>
        <w:rPr/>
      </w:pPr>
      <w:r>
        <w:rPr>
          <w:rStyle w:val="SourceText"/>
        </w:rPr>
        <w:t>rejected iothings/H001/H001-living-room-temperature/state invalid state "banana" for temperature</w:t>
      </w:r>
    </w:p>
    <w:p>
      <w:pPr>
        <w:pStyle w:val="PreformattedText"/>
        <w:pBdr/>
        <w:shd w:fill="F1F3F5" w:val="clear"/>
        <w:bidi w:val="0"/>
        <w:spacing w:lineRule="auto" w:line="324" w:before="160" w:after="40"/>
        <w:ind w:left="160" w:right="160" w:hanging="0"/>
        <w:jc w:val="left"/>
        <w:rPr/>
      </w:pPr>
      <w:r>
        <w:rPr>
          <w:rStyle w:val="SourceText"/>
        </w:rPr>
        <w:t>rejected non-JSON message on iothings/H001/H001-living-room-temperature/state</w:t>
      </w:r>
    </w:p>
    <w:p>
      <w:pPr>
        <w:pStyle w:val="PreformattedText"/>
        <w:pBdr/>
        <w:shd w:fill="F1F3F5" w:val="clear"/>
        <w:bidi w:val="0"/>
        <w:spacing w:lineRule="auto" w:line="324" w:before="160" w:after="40"/>
        <w:ind w:left="160" w:right="160" w:hanging="0"/>
        <w:jc w:val="left"/>
        <w:rPr/>
      </w:pPr>
      <w:r>
        <w:rPr>
          <w:rStyle w:val="SourceText"/>
        </w:rPr>
        <w:t>rejected message from unregistered device iothings/H001/UNKNOWN-DEVICE/state</w:t>
      </w:r>
    </w:p>
    <w:p>
      <w:pPr>
        <w:pStyle w:val="TextBodycaption"/>
        <w:bidi w:val="0"/>
        <w:spacing w:before="0" w:after="200"/>
        <w:jc w:val="left"/>
        <w:rPr/>
      </w:pPr>
      <w:r>
        <w:rPr/>
        <w:t>Figure 7: Top: a smoke event travels from the device through the broker, ingest service and alert rules, and back to the home as a notification. Bottom: four deliberately invalid messages are all rejected and logged.</w:t>
      </w:r>
    </w:p>
    <w:p>
      <w:pPr>
        <w:pStyle w:val="Heading3"/>
        <w:bidi w:val="0"/>
        <w:jc w:val="left"/>
        <w:rPr/>
      </w:pPr>
      <w:r>
        <w:rPr/>
        <w:t>4.7 Test dataset</w:t>
      </w:r>
    </w:p>
    <w:p>
      <w:pPr>
        <w:pStyle w:val="TextBody"/>
        <w:bidi w:val="0"/>
        <w:spacing w:before="0" w:after="140"/>
        <w:jc w:val="both"/>
        <w:rPr/>
      </w:pPr>
      <w:r>
        <w:rPr/>
        <w:t xml:space="preserve">IoThings cannot share customer data because of UK GDPR, so a dataset was generated from a </w:t>
      </w:r>
      <w:r>
        <w:rPr>
          <w:rStyle w:val="StrongEmphasis"/>
        </w:rPr>
        <w:t>behavioural model</w:t>
      </w:r>
      <w:r>
        <w:rPr/>
        <w:t xml:space="preserve"> (</w:t>
      </w:r>
      <w:r>
        <w:rPr>
          <w:rStyle w:val="SourceText"/>
        </w:rPr>
        <w:t>src/behaviour.js</w:t>
      </w:r>
      <w:r>
        <w:rPr/>
        <w:t>) instead of random values. The model simulates each home's daily routine in UK local time. Commuters, remote workers and shift workers wake, leave and return at different times, and weekends differ from weekdays. The model also covers:</w:t>
      </w:r>
    </w:p>
    <w:p>
      <w:pPr>
        <w:pStyle w:val="TextBody"/>
        <w:numPr>
          <w:ilvl w:val="0"/>
          <w:numId w:val="16"/>
        </w:numPr>
        <w:tabs>
          <w:tab w:val="clear" w:pos="1134"/>
          <w:tab w:val="left" w:pos="709" w:leader="none"/>
        </w:tabs>
        <w:bidi w:val="0"/>
        <w:spacing w:before="0" w:after="0"/>
        <w:ind w:left="709" w:hanging="283"/>
        <w:rPr/>
      </w:pPr>
      <w:r>
        <w:rPr/>
        <w:t xml:space="preserve">motion and lights following occupants from room to room </w:t>
      </w:r>
    </w:p>
    <w:p>
      <w:pPr>
        <w:pStyle w:val="TextBody"/>
        <w:numPr>
          <w:ilvl w:val="0"/>
          <w:numId w:val="16"/>
        </w:numPr>
        <w:tabs>
          <w:tab w:val="clear" w:pos="1134"/>
          <w:tab w:val="left" w:pos="709" w:leader="none"/>
        </w:tabs>
        <w:bidi w:val="0"/>
        <w:spacing w:before="0" w:after="0"/>
        <w:ind w:left="709" w:hanging="283"/>
        <w:rPr/>
      </w:pPr>
      <w:r>
        <w:rPr/>
        <w:t xml:space="preserve">a kettle and a TV on smart plugs </w:t>
      </w:r>
    </w:p>
    <w:p>
      <w:pPr>
        <w:pStyle w:val="TextBody"/>
        <w:numPr>
          <w:ilvl w:val="0"/>
          <w:numId w:val="16"/>
        </w:numPr>
        <w:tabs>
          <w:tab w:val="clear" w:pos="1134"/>
          <w:tab w:val="left" w:pos="709" w:leader="none"/>
        </w:tabs>
        <w:bidi w:val="0"/>
        <w:spacing w:before="0" w:after="0"/>
        <w:ind w:left="709" w:hanging="283"/>
        <w:rPr/>
      </w:pPr>
      <w:r>
        <w:rPr/>
        <w:t xml:space="preserve">blinds that open in the morning and close in the evening </w:t>
      </w:r>
    </w:p>
    <w:p>
      <w:pPr>
        <w:pStyle w:val="TextBody"/>
        <w:numPr>
          <w:ilvl w:val="0"/>
          <w:numId w:val="16"/>
        </w:numPr>
        <w:tabs>
          <w:tab w:val="clear" w:pos="1134"/>
          <w:tab w:val="left" w:pos="709" w:leader="none"/>
        </w:tabs>
        <w:bidi w:val="0"/>
        <w:spacing w:before="0" w:after="0"/>
        <w:ind w:left="709" w:hanging="283"/>
        <w:rPr/>
      </w:pPr>
      <w:r>
        <w:rPr/>
        <w:t xml:space="preserve">heating cycles, with room temperature responding to the thermostat </w:t>
      </w:r>
    </w:p>
    <w:p>
      <w:pPr>
        <w:pStyle w:val="TextBody"/>
        <w:numPr>
          <w:ilvl w:val="0"/>
          <w:numId w:val="16"/>
        </w:numPr>
        <w:tabs>
          <w:tab w:val="clear" w:pos="1134"/>
          <w:tab w:val="left" w:pos="709" w:leader="none"/>
        </w:tabs>
        <w:bidi w:val="0"/>
        <w:spacing w:before="0" w:after="0"/>
        <w:ind w:left="709" w:hanging="283"/>
        <w:rPr/>
      </w:pPr>
      <w:r>
        <w:rPr/>
        <w:t xml:space="preserve">humidity peaks after showers </w:t>
      </w:r>
    </w:p>
    <w:p>
      <w:pPr>
        <w:pStyle w:val="TextBody"/>
        <w:numPr>
          <w:ilvl w:val="0"/>
          <w:numId w:val="16"/>
        </w:numPr>
        <w:tabs>
          <w:tab w:val="clear" w:pos="1134"/>
          <w:tab w:val="left" w:pos="709" w:leader="none"/>
        </w:tabs>
        <w:bidi w:val="0"/>
        <w:ind w:left="709" w:hanging="283"/>
        <w:rPr/>
      </w:pPr>
      <w:r>
        <w:rPr/>
        <w:t xml:space="preserve">monthly smoke-alarm tests, occasional burnt dinners (smoke) and occasional late-night door use </w:t>
      </w:r>
    </w:p>
    <w:p>
      <w:pPr>
        <w:pStyle w:val="TextBody"/>
        <w:bidi w:val="0"/>
        <w:rPr/>
      </w:pPr>
      <w:r>
        <w:rPr/>
        <w:t xml:space="preserve">A seeded random-number generator makes the dataset </w:t>
      </w:r>
      <w:r>
        <w:rPr>
          <w:rStyle w:val="StrongEmphasis"/>
        </w:rPr>
        <w:t>exactly reproducible</w:t>
      </w:r>
      <w:r>
        <w:rPr/>
        <w:t>. Every generated message passes through the same validation and alert rules as live traffic.</w:t>
      </w:r>
    </w:p>
    <w:tbl>
      <w:tblPr>
        <w:tblW w:w="9516" w:type="dxa"/>
        <w:jc w:val="left"/>
        <w:tblInd w:w="0" w:type="dxa"/>
        <w:tblLayout w:type="fixed"/>
        <w:tblCellMar>
          <w:top w:w="28" w:type="dxa"/>
          <w:left w:w="28" w:type="dxa"/>
          <w:bottom w:w="28" w:type="dxa"/>
          <w:right w:w="28" w:type="dxa"/>
        </w:tblCellMar>
      </w:tblPr>
      <w:tblGrid>
        <w:gridCol w:w="1526"/>
        <w:gridCol w:w="7990"/>
      </w:tblGrid>
      <w:tr>
        <w:trPr>
          <w:tblHeader w:val="true"/>
        </w:trPr>
        <w:tc>
          <w:tcPr>
            <w:tcW w:w="1526" w:type="dxa"/>
            <w:tcBorders/>
            <w:vAlign w:val="center"/>
          </w:tcPr>
          <w:p>
            <w:pPr>
              <w:pStyle w:val="TableHeading"/>
              <w:suppressLineNumbers/>
              <w:shd w:fill="0D3B66" w:val="clear"/>
              <w:bidi w:val="0"/>
              <w:spacing w:before="0" w:after="140"/>
              <w:jc w:val="left"/>
              <w:rPr/>
            </w:pPr>
            <w:r>
              <w:rPr/>
              <w:t>Item</w:t>
            </w:r>
          </w:p>
        </w:tc>
        <w:tc>
          <w:tcPr>
            <w:tcW w:w="7990" w:type="dxa"/>
            <w:tcBorders/>
            <w:vAlign w:val="center"/>
          </w:tcPr>
          <w:p>
            <w:pPr>
              <w:pStyle w:val="TableHeading"/>
              <w:suppressLineNumbers/>
              <w:shd w:fill="0D3B66" w:val="clear"/>
              <w:bidi w:val="0"/>
              <w:spacing w:before="0" w:after="140"/>
              <w:jc w:val="left"/>
              <w:rPr/>
            </w:pPr>
            <w:r>
              <w:rPr/>
              <w:t>Value</w:t>
            </w:r>
          </w:p>
        </w:tc>
      </w:tr>
      <w:tr>
        <w:trPr/>
        <w:tc>
          <w:tcPr>
            <w:tcW w:w="1526" w:type="dxa"/>
            <w:tcBorders/>
            <w:vAlign w:val="center"/>
          </w:tcPr>
          <w:p>
            <w:pPr>
              <w:pStyle w:val="TableContents"/>
              <w:bidi w:val="0"/>
              <w:spacing w:before="0" w:after="140"/>
              <w:jc w:val="left"/>
              <w:rPr/>
            </w:pPr>
            <w:r>
              <w:rPr/>
              <w:t>Homes</w:t>
            </w:r>
          </w:p>
        </w:tc>
        <w:tc>
          <w:tcPr>
            <w:tcW w:w="7990" w:type="dxa"/>
            <w:tcBorders/>
            <w:vAlign w:val="center"/>
          </w:tcPr>
          <w:p>
            <w:pPr>
              <w:pStyle w:val="TableContents"/>
              <w:bidi w:val="0"/>
              <w:spacing w:before="0" w:after="140"/>
              <w:jc w:val="left"/>
              <w:rPr/>
            </w:pPr>
            <w:r>
              <w:rPr/>
              <w:t>20, in 8 UK cities; 9 commuter, 7 remote-worker and 4 shift-worker profiles</w:t>
            </w:r>
          </w:p>
        </w:tc>
      </w:tr>
      <w:tr>
        <w:trPr/>
        <w:tc>
          <w:tcPr>
            <w:tcW w:w="1526" w:type="dxa"/>
            <w:tcBorders/>
            <w:vAlign w:val="center"/>
          </w:tcPr>
          <w:p>
            <w:pPr>
              <w:pStyle w:val="TableContents"/>
              <w:bidi w:val="0"/>
              <w:spacing w:before="0" w:after="140"/>
              <w:jc w:val="left"/>
              <w:rPr/>
            </w:pPr>
            <w:r>
              <w:rPr/>
              <w:t>Devices</w:t>
            </w:r>
          </w:p>
        </w:tc>
        <w:tc>
          <w:tcPr>
            <w:tcW w:w="7990" w:type="dxa"/>
            <w:tcBorders/>
            <w:vAlign w:val="center"/>
          </w:tcPr>
          <w:p>
            <w:pPr>
              <w:pStyle w:val="TableContents"/>
              <w:bidi w:val="0"/>
              <w:spacing w:before="0" w:after="140"/>
              <w:jc w:val="left"/>
              <w:rPr/>
            </w:pPr>
            <w:r>
              <w:rPr/>
              <w:t>24 per home across 5 rooms; 480 in total; 11 types</w:t>
            </w:r>
          </w:p>
        </w:tc>
      </w:tr>
      <w:tr>
        <w:trPr/>
        <w:tc>
          <w:tcPr>
            <w:tcW w:w="1526" w:type="dxa"/>
            <w:tcBorders/>
            <w:vAlign w:val="center"/>
          </w:tcPr>
          <w:p>
            <w:pPr>
              <w:pStyle w:val="TableContents"/>
              <w:bidi w:val="0"/>
              <w:spacing w:before="0" w:after="140"/>
              <w:jc w:val="left"/>
              <w:rPr/>
            </w:pPr>
            <w:r>
              <w:rPr/>
              <w:t>Period</w:t>
            </w:r>
          </w:p>
        </w:tc>
        <w:tc>
          <w:tcPr>
            <w:tcW w:w="7990" w:type="dxa"/>
            <w:tcBorders/>
            <w:vAlign w:val="center"/>
          </w:tcPr>
          <w:p>
            <w:pPr>
              <w:pStyle w:val="TableContents"/>
              <w:bidi w:val="0"/>
              <w:spacing w:before="0" w:after="140"/>
              <w:jc w:val="left"/>
              <w:rPr/>
            </w:pPr>
            <w:r>
              <w:rPr/>
              <w:t>30 days (31 August to 29 September 2026)</w:t>
            </w:r>
          </w:p>
        </w:tc>
      </w:tr>
      <w:tr>
        <w:trPr/>
        <w:tc>
          <w:tcPr>
            <w:tcW w:w="1526" w:type="dxa"/>
            <w:tcBorders/>
            <w:vAlign w:val="center"/>
          </w:tcPr>
          <w:p>
            <w:pPr>
              <w:pStyle w:val="TableContents"/>
              <w:bidi w:val="0"/>
              <w:spacing w:before="0" w:after="140"/>
              <w:jc w:val="left"/>
              <w:rPr/>
            </w:pPr>
            <w:r>
              <w:rPr/>
              <w:t>Events</w:t>
            </w:r>
          </w:p>
        </w:tc>
        <w:tc>
          <w:tcPr>
            <w:tcW w:w="7990" w:type="dxa"/>
            <w:tcBorders/>
            <w:vAlign w:val="center"/>
          </w:tcPr>
          <w:p>
            <w:pPr>
              <w:pStyle w:val="TableContents"/>
              <w:bidi w:val="0"/>
              <w:spacing w:before="0" w:after="140"/>
              <w:jc w:val="left"/>
              <w:rPr/>
            </w:pPr>
            <w:r>
              <w:rPr/>
              <w:t>289,602 (0 rejected)</w:t>
            </w:r>
          </w:p>
        </w:tc>
      </w:tr>
      <w:tr>
        <w:trPr/>
        <w:tc>
          <w:tcPr>
            <w:tcW w:w="1526" w:type="dxa"/>
            <w:tcBorders/>
            <w:vAlign w:val="center"/>
          </w:tcPr>
          <w:p>
            <w:pPr>
              <w:pStyle w:val="TableContents"/>
              <w:bidi w:val="0"/>
              <w:spacing w:before="0" w:after="140"/>
              <w:jc w:val="left"/>
              <w:rPr/>
            </w:pPr>
            <w:r>
              <w:rPr/>
              <w:t>Alerts raised</w:t>
            </w:r>
          </w:p>
        </w:tc>
        <w:tc>
          <w:tcPr>
            <w:tcW w:w="7990" w:type="dxa"/>
            <w:tcBorders/>
            <w:vAlign w:val="center"/>
          </w:tcPr>
          <w:p>
            <w:pPr>
              <w:pStyle w:val="TableContents"/>
              <w:bidi w:val="0"/>
              <w:spacing w:before="0" w:after="140"/>
              <w:jc w:val="left"/>
              <w:rPr/>
            </w:pPr>
            <w:r>
              <w:rPr/>
              <w:t>64 (22 smoke, 21 night-time door opened, 21 night-time door unlocked)</w:t>
            </w:r>
          </w:p>
        </w:tc>
      </w:tr>
    </w:tbl>
    <w:p>
      <w:pPr>
        <w:pStyle w:val="TextBody"/>
        <w:bidi w:val="0"/>
        <w:spacing w:before="0" w:after="140"/>
        <w:jc w:val="both"/>
        <w:rPr/>
      </w:pPr>
      <w:r>
        <w:rPr/>
        <w:t xml:space="preserve">Because the ground truth is known, the dataset can also </w:t>
      </w:r>
      <w:r>
        <w:rPr>
          <w:rStyle w:val="StrongEmphasis"/>
        </w:rPr>
        <w:t>validate the analytics</w:t>
      </w:r>
      <w:r>
        <w:rPr/>
        <w:t>. Section 5.3 shows that the API recovers the behaviour that the model was given. Appendix A gives the full breakdown.</w:t>
      </w:r>
    </w:p>
    <w:p>
      <w:pPr>
        <w:pStyle w:val="Heading3"/>
        <w:bidi w:val="0"/>
        <w:jc w:val="left"/>
        <w:rPr/>
      </w:pPr>
      <w:r>
        <w:rPr/>
        <w:t>4.8 Data management: CRUD and queries</w:t>
      </w:r>
    </w:p>
    <w:p>
      <w:pPr>
        <w:pStyle w:val="TextBody"/>
        <w:bidi w:val="0"/>
        <w:spacing w:before="0" w:after="140"/>
        <w:jc w:val="both"/>
        <w:rPr/>
      </w:pPr>
      <w:r>
        <w:rPr>
          <w:rStyle w:val="SourceText"/>
        </w:rPr>
        <w:t>mongo/demo-queries.js</w:t>
      </w:r>
      <w:r>
        <w:rPr/>
        <w:t xml:space="preserve"> demonstrates the full data lifecycle as the </w:t>
      </w:r>
      <w:r>
        <w:rPr>
          <w:rStyle w:val="SourceText"/>
        </w:rPr>
        <w:t>iothings_api</w:t>
      </w:r>
      <w:r>
        <w:rPr/>
        <w:t xml:space="preserve"> user.</w:t>
      </w:r>
    </w:p>
    <w:p>
      <w:pPr>
        <w:pStyle w:val="PreformattedText"/>
        <w:pBdr/>
        <w:shd w:fill="F1F3F5" w:val="clear"/>
        <w:bidi w:val="0"/>
        <w:spacing w:lineRule="auto" w:line="324" w:before="160" w:after="40"/>
        <w:ind w:left="160" w:right="160" w:hanging="0"/>
        <w:jc w:val="left"/>
        <w:rPr/>
      </w:pPr>
      <w:r>
        <w:rPr>
          <w:rStyle w:val="SourceText"/>
        </w:rPr>
        <w:t>==== CREATE - register a new home and a device ====</w:t>
      </w:r>
    </w:p>
    <w:p>
      <w:pPr>
        <w:pStyle w:val="PreformattedText"/>
        <w:pBdr/>
        <w:shd w:fill="F1F3F5" w:val="clear"/>
        <w:bidi w:val="0"/>
        <w:spacing w:lineRule="auto" w:line="324" w:before="160" w:after="40"/>
        <w:ind w:left="160" w:right="160" w:hanging="0"/>
        <w:jc w:val="left"/>
        <w:rPr/>
      </w:pPr>
      <w:r>
        <w:rPr>
          <w:rStyle w:val="SourceText"/>
        </w:rPr>
        <w:t>{ homeId: 'H900', customerRef: 'CRM-19900', name: 'Demo home', ... }</w:t>
      </w:r>
    </w:p>
    <w:p>
      <w:pPr>
        <w:pStyle w:val="PreformattedText"/>
        <w:pBdr/>
        <w:shd w:fill="F1F3F5" w:val="clear"/>
        <w:bidi w:val="0"/>
        <w:spacing w:lineRule="auto" w:line="324" w:before="160" w:after="40"/>
        <w:ind w:left="160" w:right="160" w:hanging="0"/>
        <w:jc w:val="left"/>
        <w:rPr/>
      </w:pPr>
      <w:r>
        <w:rPr>
          <w:rStyle w:val="SourceText"/>
        </w:rPr>
        <w:t>==== CREATE - schema validation rejects a bad document ====</w:t>
      </w:r>
    </w:p>
    <w:p>
      <w:pPr>
        <w:pStyle w:val="PreformattedText"/>
        <w:pBdr/>
        <w:shd w:fill="F1F3F5" w:val="clear"/>
        <w:bidi w:val="0"/>
        <w:spacing w:lineRule="auto" w:line="324" w:before="160" w:after="40"/>
        <w:ind w:left="160" w:right="160" w:hanging="0"/>
        <w:jc w:val="left"/>
        <w:rPr/>
      </w:pPr>
      <w:r>
        <w:rPr>
          <w:rStyle w:val="SourceText"/>
        </w:rPr>
        <w:t>rejected: Document failed validation            &lt;- device type 'toaster' not allowed</w:t>
      </w:r>
    </w:p>
    <w:p>
      <w:pPr>
        <w:pStyle w:val="PreformattedText"/>
        <w:pBdr/>
        <w:shd w:fill="F1F3F5" w:val="clear"/>
        <w:bidi w:val="0"/>
        <w:spacing w:lineRule="auto" w:line="324" w:before="160" w:after="40"/>
        <w:ind w:left="160" w:right="160" w:hanging="0"/>
        <w:jc w:val="left"/>
        <w:rPr/>
      </w:pPr>
      <w:r>
        <w:rPr>
          <w:rStyle w:val="SourceText"/>
        </w:rPr>
        <w:t>==== READ - latest 5 events for the H001 front door lock ====</w:t>
      </w:r>
    </w:p>
    <w:p>
      <w:pPr>
        <w:pStyle w:val="PreformattedText"/>
        <w:pBdr/>
        <w:shd w:fill="F1F3F5" w:val="clear"/>
        <w:bidi w:val="0"/>
        <w:spacing w:lineRule="auto" w:line="324" w:before="160" w:after="40"/>
        <w:ind w:left="160" w:right="160" w:hanging="0"/>
        <w:jc w:val="left"/>
        <w:rPr/>
      </w:pPr>
      <w:r>
        <w:rPr>
          <w:rStyle w:val="SourceText"/>
        </w:rPr>
        <w:t>{ ts: ISODate('2026-09-29T22:19:37.198Z'), state: 'locked' }</w:t>
      </w:r>
    </w:p>
    <w:p>
      <w:pPr>
        <w:pStyle w:val="PreformattedText"/>
        <w:pBdr/>
        <w:shd w:fill="F1F3F5" w:val="clear"/>
        <w:bidi w:val="0"/>
        <w:spacing w:lineRule="auto" w:line="324" w:before="160" w:after="40"/>
        <w:ind w:left="160" w:right="160" w:hanging="0"/>
        <w:jc w:val="left"/>
        <w:rPr/>
      </w:pPr>
      <w:r>
        <w:rPr>
          <w:rStyle w:val="SourceText"/>
        </w:rPr>
        <w:t>{ ts: ISODate('2026-09-28T21:45:26.387Z'), state: 'locked' }  ... (5 documents)</w:t>
      </w:r>
    </w:p>
    <w:p>
      <w:pPr>
        <w:pStyle w:val="PreformattedText"/>
        <w:pBdr/>
        <w:shd w:fill="F1F3F5" w:val="clear"/>
        <w:bidi w:val="0"/>
        <w:spacing w:lineRule="auto" w:line="324" w:before="160" w:after="40"/>
        <w:ind w:left="160" w:right="160" w:hanging="0"/>
        <w:jc w:val="left"/>
        <w:rPr/>
      </w:pPr>
      <w:r>
        <w:rPr>
          <w:rStyle w:val="SourceText"/>
        </w:rPr>
        <w:t>==== UPDATE - change preferences and mark a device faulty ====</w:t>
      </w:r>
    </w:p>
    <w:p>
      <w:pPr>
        <w:pStyle w:val="PreformattedText"/>
        <w:pBdr/>
        <w:shd w:fill="F1F3F5" w:val="clear"/>
        <w:bidi w:val="0"/>
        <w:spacing w:lineRule="auto" w:line="324" w:before="160" w:after="40"/>
        <w:ind w:left="160" w:right="160" w:hanging="0"/>
        <w:jc w:val="left"/>
        <w:rPr/>
      </w:pPr>
      <w:r>
        <w:rPr>
          <w:rStyle w:val="SourceText"/>
        </w:rPr>
        <w:t>{ acknowledged: true, matchedCount: 1, modifiedCount: 1 }   (x2)</w:t>
      </w:r>
    </w:p>
    <w:p>
      <w:pPr>
        <w:pStyle w:val="PreformattedText"/>
        <w:pBdr/>
        <w:shd w:fill="F1F3F5" w:val="clear"/>
        <w:bidi w:val="0"/>
        <w:spacing w:lineRule="auto" w:line="324" w:before="160" w:after="40"/>
        <w:ind w:left="160" w:right="160" w:hanging="0"/>
        <w:jc w:val="left"/>
        <w:rPr/>
      </w:pPr>
      <w:r>
        <w:rPr>
          <w:rStyle w:val="SourceText"/>
        </w:rPr>
        <w:t>==== AGGREGATE - average living-room temperature by hour of day (UK time) ====</w:t>
      </w:r>
    </w:p>
    <w:p>
      <w:pPr>
        <w:pStyle w:val="PreformattedText"/>
        <w:pBdr/>
        <w:shd w:fill="F1F3F5" w:val="clear"/>
        <w:bidi w:val="0"/>
        <w:spacing w:lineRule="auto" w:line="324" w:before="160" w:after="40"/>
        <w:ind w:left="160" w:right="160" w:hanging="0"/>
        <w:jc w:val="left"/>
        <w:rPr/>
      </w:pPr>
      <w:r>
        <w:rPr>
          <w:rStyle w:val="SourceText"/>
        </w:rPr>
        <w:t>06:00  15.8°C  #####</w:t>
      </w:r>
    </w:p>
    <w:p>
      <w:pPr>
        <w:pStyle w:val="PreformattedText"/>
        <w:pBdr/>
        <w:shd w:fill="F1F3F5" w:val="clear"/>
        <w:bidi w:val="0"/>
        <w:spacing w:lineRule="auto" w:line="324" w:before="160" w:after="40"/>
        <w:ind w:left="160" w:right="160" w:hanging="0"/>
        <w:jc w:val="left"/>
        <w:rPr/>
      </w:pPr>
      <w:r>
        <w:rPr>
          <w:rStyle w:val="SourceText"/>
        </w:rPr>
        <w:t>07:00  16.7°C  ########          &lt;- heating starts before wake-up</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w:t>
      </w:r>
    </w:p>
    <w:p>
      <w:pPr>
        <w:pStyle w:val="PreformattedText"/>
        <w:pBdr/>
        <w:shd w:fill="F1F3F5" w:val="clear"/>
        <w:bidi w:val="0"/>
        <w:spacing w:lineRule="auto" w:line="324" w:before="160" w:after="40"/>
        <w:ind w:left="160" w:right="160" w:hanging="0"/>
        <w:jc w:val="left"/>
        <w:rPr/>
      </w:pPr>
      <w:r>
        <w:rPr>
          <w:rStyle w:val="SourceText"/>
        </w:rPr>
        <w:t>21:00  20.1°C  ##################</w:t>
      </w:r>
    </w:p>
    <w:p>
      <w:pPr>
        <w:pStyle w:val="PreformattedText"/>
        <w:pBdr/>
        <w:shd w:fill="F1F3F5" w:val="clear"/>
        <w:bidi w:val="0"/>
        <w:spacing w:lineRule="auto" w:line="324" w:before="160" w:after="40"/>
        <w:ind w:left="160" w:right="160" w:hanging="0"/>
        <w:jc w:val="left"/>
        <w:rPr/>
      </w:pPr>
      <w:r>
        <w:rPr>
          <w:rStyle w:val="SourceText"/>
        </w:rPr>
        <w:t>==== INDEX USAGE - explain() for a per-device time-range query ====</w:t>
      </w:r>
    </w:p>
    <w:p>
      <w:pPr>
        <w:pStyle w:val="PreformattedText"/>
        <w:pBdr/>
        <w:shd w:fill="F1F3F5" w:val="clear"/>
        <w:bidi w:val="0"/>
        <w:spacing w:lineRule="auto" w:line="324" w:before="160" w:after="40"/>
        <w:ind w:left="160" w:right="160" w:hanging="0"/>
        <w:jc w:val="left"/>
        <w:rPr/>
      </w:pPr>
      <w:r>
        <w:rPr>
          <w:rStyle w:val="SourceText"/>
        </w:rPr>
        <w:t>indexes used: "indexName":"meta.deviceId_1_ts_-1"</w:t>
      </w:r>
    </w:p>
    <w:p>
      <w:pPr>
        <w:pStyle w:val="PreformattedText"/>
        <w:pBdr/>
        <w:shd w:fill="F1F3F5" w:val="clear"/>
        <w:bidi w:val="0"/>
        <w:spacing w:lineRule="auto" w:line="324" w:before="160" w:after="40"/>
        <w:ind w:left="160" w:right="160" w:hanging="0"/>
        <w:jc w:val="left"/>
        <w:rPr/>
      </w:pPr>
      <w:r>
        <w:rPr>
          <w:rStyle w:val="SourceText"/>
        </w:rPr>
        <w:t>==== DELETE - remove the demo home (GDPR erasure across collections) ====</w:t>
      </w:r>
    </w:p>
    <w:p>
      <w:pPr>
        <w:pStyle w:val="PreformattedText"/>
        <w:pBdr/>
        <w:shd w:fill="F1F3F5" w:val="clear"/>
        <w:bidi w:val="0"/>
        <w:spacing w:lineRule="auto" w:line="324" w:before="160" w:after="40"/>
        <w:ind w:left="160" w:right="160" w:hanging="0"/>
        <w:jc w:val="left"/>
        <w:rPr/>
      </w:pPr>
      <w:r>
        <w:rPr>
          <w:rStyle w:val="SourceText"/>
        </w:rPr>
        <w:t>{ homes: 1, devices: 1, events: 1 }</w:t>
      </w:r>
    </w:p>
    <w:p>
      <w:pPr>
        <w:pStyle w:val="TextBodycaption"/>
        <w:bidi w:val="0"/>
        <w:spacing w:before="0" w:after="200"/>
        <w:jc w:val="left"/>
        <w:rPr/>
      </w:pPr>
      <w:r>
        <w:rPr/>
        <w:t xml:space="preserve">Figure 8: A condensed CRUD, aggregation and index-usage demonstration. Schema validation blocks an invalid device, and </w:t>
      </w:r>
      <w:r>
        <w:rPr>
          <w:rStyle w:val="SourceText"/>
        </w:rPr>
        <w:t>explain()</w:t>
      </w:r>
      <w:r>
        <w:rPr/>
        <w:t xml:space="preserve"> confirms the per-device query uses the compound index rather than a collection scan.</w:t>
      </w:r>
    </w:p>
    <w:p>
      <w:pPr>
        <w:pStyle w:val="Heading3"/>
        <w:bidi w:val="0"/>
        <w:jc w:val="left"/>
        <w:rPr/>
      </w:pPr>
      <w:r>
        <w:rPr/>
        <w:t>4.9 Distributed data management: failover test</w:t>
      </w:r>
    </w:p>
    <w:p>
      <w:pPr>
        <w:pStyle w:val="TextBody"/>
        <w:bidi w:val="0"/>
        <w:spacing w:before="0" w:after="140"/>
        <w:jc w:val="both"/>
        <w:rPr/>
      </w:pPr>
      <w:r>
        <w:rPr/>
        <w:t xml:space="preserve">The most important property of the three-member design is that it keeps working when a server fails. </w:t>
      </w:r>
      <w:r>
        <w:rPr>
          <w:rStyle w:val="SourceText"/>
        </w:rPr>
        <w:t>scripts/failover-demo.sh</w:t>
      </w:r>
      <w:r>
        <w:rPr/>
        <w:t xml:space="preserve"> tests this in five steps:</w:t>
      </w:r>
    </w:p>
    <w:p>
      <w:pPr>
        <w:pStyle w:val="TextBody"/>
        <w:numPr>
          <w:ilvl w:val="0"/>
          <w:numId w:val="17"/>
        </w:numPr>
        <w:tabs>
          <w:tab w:val="clear" w:pos="1134"/>
          <w:tab w:val="left" w:pos="709" w:leader="none"/>
        </w:tabs>
        <w:bidi w:val="0"/>
        <w:spacing w:before="0" w:after="0"/>
        <w:ind w:left="709" w:hanging="283"/>
        <w:rPr/>
      </w:pPr>
      <w:r>
        <w:rPr/>
        <w:t>It kills the primary's container abruptly (</w:t>
      </w:r>
      <w:r>
        <w:rPr>
          <w:rStyle w:val="SourceText"/>
        </w:rPr>
        <w:t>docker kill</w:t>
      </w:r>
      <w:r>
        <w:rPr/>
        <w:t xml:space="preserve">, simulating a crash rather than a clean shutdown). </w:t>
      </w:r>
    </w:p>
    <w:p>
      <w:pPr>
        <w:pStyle w:val="TextBody"/>
        <w:numPr>
          <w:ilvl w:val="0"/>
          <w:numId w:val="17"/>
        </w:numPr>
        <w:tabs>
          <w:tab w:val="clear" w:pos="1134"/>
          <w:tab w:val="left" w:pos="709" w:leader="none"/>
        </w:tabs>
        <w:bidi w:val="0"/>
        <w:spacing w:before="0" w:after="0"/>
        <w:ind w:left="709" w:hanging="283"/>
        <w:rPr/>
      </w:pPr>
      <w:r>
        <w:rPr/>
        <w:t xml:space="preserve">It measures how long the survivors take to elect a new primary. </w:t>
      </w:r>
    </w:p>
    <w:p>
      <w:pPr>
        <w:pStyle w:val="TextBody"/>
        <w:numPr>
          <w:ilvl w:val="0"/>
          <w:numId w:val="17"/>
        </w:numPr>
        <w:tabs>
          <w:tab w:val="clear" w:pos="1134"/>
          <w:tab w:val="left" w:pos="709" w:leader="none"/>
        </w:tabs>
        <w:bidi w:val="0"/>
        <w:spacing w:before="0" w:after="0"/>
        <w:ind w:left="709" w:hanging="283"/>
        <w:rPr/>
      </w:pPr>
      <w:r>
        <w:rPr/>
        <w:t xml:space="preserve">It writes an event through the API while one member is down. </w:t>
      </w:r>
    </w:p>
    <w:p>
      <w:pPr>
        <w:pStyle w:val="TextBody"/>
        <w:numPr>
          <w:ilvl w:val="0"/>
          <w:numId w:val="17"/>
        </w:numPr>
        <w:tabs>
          <w:tab w:val="clear" w:pos="1134"/>
          <w:tab w:val="left" w:pos="709" w:leader="none"/>
        </w:tabs>
        <w:bidi w:val="0"/>
        <w:spacing w:before="0" w:after="0"/>
        <w:ind w:left="709" w:hanging="283"/>
        <w:rPr/>
      </w:pPr>
      <w:r>
        <w:rPr/>
        <w:t xml:space="preserve">It restarts the failed member. </w:t>
      </w:r>
    </w:p>
    <w:p>
      <w:pPr>
        <w:pStyle w:val="TextBody"/>
        <w:numPr>
          <w:ilvl w:val="0"/>
          <w:numId w:val="17"/>
        </w:numPr>
        <w:tabs>
          <w:tab w:val="clear" w:pos="1134"/>
          <w:tab w:val="left" w:pos="709" w:leader="none"/>
        </w:tabs>
        <w:bidi w:val="0"/>
        <w:ind w:left="709" w:hanging="283"/>
        <w:rPr/>
      </w:pPr>
      <w:r>
        <w:rPr/>
        <w:t xml:space="preserve">It observes that member rejoining and taking back the primary role. </w:t>
      </w:r>
    </w:p>
    <w:p>
      <w:pPr>
        <w:pStyle w:val="PreformattedText"/>
        <w:bidi w:val="0"/>
        <w:jc w:val="left"/>
        <w:rPr/>
      </w:pPr>
      <w:r>
        <w:rPr>
          <w:rStyle w:val="SourceText"/>
        </w:rPr>
        <w:t>1. Current replica set</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mongo1:27017   PRIMARY                  health=1</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mongo2:27018   SECONDARY                health=1</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mongo3:27019   SECONDARY                health=1</w:t>
      </w:r>
    </w:p>
    <w:p>
      <w:pPr>
        <w:pStyle w:val="PreformattedText"/>
        <w:pBdr/>
        <w:shd w:fill="F1F3F5" w:val="clear"/>
        <w:bidi w:val="0"/>
        <w:spacing w:lineRule="auto" w:line="324" w:before="160" w:after="40"/>
        <w:ind w:left="160" w:right="160" w:hanging="0"/>
        <w:jc w:val="left"/>
        <w:rPr/>
      </w:pPr>
      <w:r>
        <w:rPr>
          <w:rStyle w:val="SourceText"/>
        </w:rPr>
        <w:t>2. Simulating a crash of the primary: docker kill mongo1</w:t>
      </w:r>
    </w:p>
    <w:p>
      <w:pPr>
        <w:pStyle w:val="PreformattedText"/>
        <w:pBdr/>
        <w:shd w:fill="F1F3F5" w:val="clear"/>
        <w:bidi w:val="0"/>
        <w:spacing w:lineRule="auto" w:line="324" w:before="160" w:after="40"/>
        <w:ind w:left="160" w:right="160" w:hanging="0"/>
        <w:jc w:val="left"/>
        <w:rPr/>
      </w:pPr>
      <w:r>
        <w:rPr>
          <w:rStyle w:val="SourceText"/>
        </w:rPr>
        <w:t>3. Waiting for the remaining members to elect a new primary</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new primary mongo3:27019 elected after 16s</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mongo1:27017   (not reachable/healthy)  health=0</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mongo3:27019   PRIMARY                  health=1</w:t>
      </w:r>
    </w:p>
    <w:p>
      <w:pPr>
        <w:pStyle w:val="PreformattedText"/>
        <w:pBdr/>
        <w:shd w:fill="F1F3F5" w:val="clear"/>
        <w:bidi w:val="0"/>
        <w:spacing w:lineRule="auto" w:line="324" w:before="160" w:after="40"/>
        <w:ind w:left="160" w:right="160" w:hanging="0"/>
        <w:jc w:val="left"/>
        <w:rPr/>
      </w:pPr>
      <w:r>
        <w:rPr>
          <w:rStyle w:val="SourceText"/>
        </w:rPr>
        <w:t>4. Writes still succeed with one node down (w: majority = 2 of 3)</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POST /events -&gt; HTTP 201</w:t>
      </w:r>
    </w:p>
    <w:p>
      <w:pPr>
        <w:pStyle w:val="PreformattedText"/>
        <w:pBdr/>
        <w:shd w:fill="F1F3F5" w:val="clear"/>
        <w:bidi w:val="0"/>
        <w:spacing w:lineRule="auto" w:line="324" w:before="160" w:after="40"/>
        <w:ind w:left="160" w:right="160" w:hanging="0"/>
        <w:jc w:val="left"/>
        <w:rPr/>
      </w:pPr>
      <w:r>
        <w:rPr>
          <w:rStyle w:val="SourceText"/>
        </w:rPr>
        <w:t>5. Restarting mongo1 - it rejoins as SECONDARY and catches up from the oplog</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mongo1:27017   SECONDARY                health=1</w:t>
      </w:r>
    </w:p>
    <w:p>
      <w:pPr>
        <w:pStyle w:val="PreformattedText"/>
        <w:pBdr/>
        <w:shd w:fill="F1F3F5" w:val="clear"/>
        <w:bidi w:val="0"/>
        <w:spacing w:lineRule="auto" w:line="324" w:before="160" w:after="40"/>
        <w:ind w:left="160" w:right="160" w:hanging="0"/>
        <w:jc w:val="left"/>
        <w:rPr/>
      </w:pPr>
      <w:r>
        <w:rPr>
          <w:rStyle w:val="SourceText"/>
        </w:rPr>
        <w:t>6. mongo1 has priority 2, so once it has caught up it is re-elected primary</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mongo1:27017   PRIMARY                  health=1</w:t>
      </w:r>
    </w:p>
    <w:p>
      <w:pPr>
        <w:pStyle w:val="TextBodycaption"/>
        <w:bidi w:val="0"/>
        <w:spacing w:before="0" w:after="200"/>
        <w:jc w:val="left"/>
        <w:rPr/>
      </w:pPr>
      <w:r>
        <w:rPr/>
        <w:t>Figure 9: Failover test output (one of five runs).</w:t>
      </w:r>
    </w:p>
    <w:p>
      <w:pPr>
        <w:pStyle w:val="TextBody"/>
        <w:bidi w:val="0"/>
        <w:spacing w:before="0" w:after="140"/>
        <w:jc w:val="both"/>
        <w:rPr/>
      </w:pPr>
      <w:r>
        <w:rPr>
          <w:rStyle w:val="StrongEmphasis"/>
        </w:rPr>
        <w:t>Table 7: Failover results over five runs</w:t>
      </w:r>
    </w:p>
    <w:tbl>
      <w:tblPr>
        <w:tblW w:w="9352" w:type="dxa"/>
        <w:jc w:val="left"/>
        <w:tblInd w:w="0" w:type="dxa"/>
        <w:tblLayout w:type="fixed"/>
        <w:tblCellMar>
          <w:top w:w="28" w:type="dxa"/>
          <w:left w:w="28" w:type="dxa"/>
          <w:bottom w:w="28" w:type="dxa"/>
          <w:right w:w="28" w:type="dxa"/>
        </w:tblCellMar>
      </w:tblPr>
      <w:tblGrid>
        <w:gridCol w:w="4681"/>
        <w:gridCol w:w="556"/>
        <w:gridCol w:w="556"/>
        <w:gridCol w:w="556"/>
        <w:gridCol w:w="556"/>
        <w:gridCol w:w="556"/>
        <w:gridCol w:w="1891"/>
      </w:tblGrid>
      <w:tr>
        <w:trPr>
          <w:tblHeader w:val="true"/>
        </w:trPr>
        <w:tc>
          <w:tcPr>
            <w:tcW w:w="4681" w:type="dxa"/>
            <w:tcBorders/>
            <w:vAlign w:val="center"/>
          </w:tcPr>
          <w:p>
            <w:pPr>
              <w:pStyle w:val="TableHeading"/>
              <w:suppressLineNumbers/>
              <w:shd w:fill="0D3B66" w:val="clear"/>
              <w:bidi w:val="0"/>
              <w:spacing w:before="0" w:after="140"/>
              <w:jc w:val="left"/>
              <w:rPr/>
            </w:pPr>
            <w:r>
              <w:rPr/>
              <w:t>Run</w:t>
            </w:r>
          </w:p>
        </w:tc>
        <w:tc>
          <w:tcPr>
            <w:tcW w:w="556" w:type="dxa"/>
            <w:tcBorders/>
            <w:vAlign w:val="center"/>
          </w:tcPr>
          <w:p>
            <w:pPr>
              <w:pStyle w:val="TableHeading"/>
              <w:suppressLineNumbers/>
              <w:shd w:fill="0D3B66" w:val="clear"/>
              <w:bidi w:val="0"/>
              <w:spacing w:before="0" w:after="140"/>
              <w:jc w:val="left"/>
              <w:rPr/>
            </w:pPr>
            <w:r>
              <w:rPr/>
              <w:t>1</w:t>
            </w:r>
          </w:p>
        </w:tc>
        <w:tc>
          <w:tcPr>
            <w:tcW w:w="556" w:type="dxa"/>
            <w:tcBorders/>
            <w:vAlign w:val="center"/>
          </w:tcPr>
          <w:p>
            <w:pPr>
              <w:pStyle w:val="TableHeading"/>
              <w:suppressLineNumbers/>
              <w:shd w:fill="0D3B66" w:val="clear"/>
              <w:bidi w:val="0"/>
              <w:spacing w:before="0" w:after="140"/>
              <w:jc w:val="left"/>
              <w:rPr/>
            </w:pPr>
            <w:r>
              <w:rPr/>
              <w:t>2</w:t>
            </w:r>
          </w:p>
        </w:tc>
        <w:tc>
          <w:tcPr>
            <w:tcW w:w="556" w:type="dxa"/>
            <w:tcBorders/>
            <w:vAlign w:val="center"/>
          </w:tcPr>
          <w:p>
            <w:pPr>
              <w:pStyle w:val="TableHeading"/>
              <w:suppressLineNumbers/>
              <w:shd w:fill="0D3B66" w:val="clear"/>
              <w:bidi w:val="0"/>
              <w:spacing w:before="0" w:after="140"/>
              <w:jc w:val="left"/>
              <w:rPr/>
            </w:pPr>
            <w:r>
              <w:rPr/>
              <w:t>3</w:t>
            </w:r>
          </w:p>
        </w:tc>
        <w:tc>
          <w:tcPr>
            <w:tcW w:w="556" w:type="dxa"/>
            <w:tcBorders/>
            <w:vAlign w:val="center"/>
          </w:tcPr>
          <w:p>
            <w:pPr>
              <w:pStyle w:val="TableHeading"/>
              <w:suppressLineNumbers/>
              <w:shd w:fill="0D3B66" w:val="clear"/>
              <w:bidi w:val="0"/>
              <w:spacing w:before="0" w:after="140"/>
              <w:jc w:val="left"/>
              <w:rPr/>
            </w:pPr>
            <w:r>
              <w:rPr/>
              <w:t>4</w:t>
            </w:r>
          </w:p>
        </w:tc>
        <w:tc>
          <w:tcPr>
            <w:tcW w:w="556" w:type="dxa"/>
            <w:tcBorders/>
            <w:vAlign w:val="center"/>
          </w:tcPr>
          <w:p>
            <w:pPr>
              <w:pStyle w:val="TableHeading"/>
              <w:suppressLineNumbers/>
              <w:shd w:fill="0D3B66" w:val="clear"/>
              <w:bidi w:val="0"/>
              <w:spacing w:before="0" w:after="140"/>
              <w:jc w:val="left"/>
              <w:rPr/>
            </w:pPr>
            <w:r>
              <w:rPr/>
              <w:t>5</w:t>
            </w:r>
          </w:p>
        </w:tc>
        <w:tc>
          <w:tcPr>
            <w:tcW w:w="1891" w:type="dxa"/>
            <w:tcBorders/>
            <w:vAlign w:val="center"/>
          </w:tcPr>
          <w:p>
            <w:pPr>
              <w:pStyle w:val="TableHeading"/>
              <w:suppressLineNumbers/>
              <w:shd w:fill="0D3B66" w:val="clear"/>
              <w:bidi w:val="0"/>
              <w:spacing w:before="0" w:after="140"/>
              <w:jc w:val="left"/>
              <w:rPr/>
            </w:pPr>
            <w:r>
              <w:rPr/>
              <w:t>Mean</w:t>
            </w:r>
          </w:p>
        </w:tc>
      </w:tr>
      <w:tr>
        <w:trPr/>
        <w:tc>
          <w:tcPr>
            <w:tcW w:w="4681" w:type="dxa"/>
            <w:tcBorders/>
            <w:vAlign w:val="center"/>
          </w:tcPr>
          <w:p>
            <w:pPr>
              <w:pStyle w:val="TableContents"/>
              <w:bidi w:val="0"/>
              <w:spacing w:before="0" w:after="140"/>
              <w:jc w:val="left"/>
              <w:rPr/>
            </w:pPr>
            <w:r>
              <w:rPr/>
              <w:t>Time to new primary (s)</w:t>
            </w:r>
          </w:p>
        </w:tc>
        <w:tc>
          <w:tcPr>
            <w:tcW w:w="556" w:type="dxa"/>
            <w:tcBorders/>
            <w:vAlign w:val="center"/>
          </w:tcPr>
          <w:p>
            <w:pPr>
              <w:pStyle w:val="TableContents"/>
              <w:bidi w:val="0"/>
              <w:spacing w:before="0" w:after="140"/>
              <w:jc w:val="left"/>
              <w:rPr/>
            </w:pPr>
            <w:r>
              <w:rPr/>
              <w:t>10</w:t>
            </w:r>
          </w:p>
        </w:tc>
        <w:tc>
          <w:tcPr>
            <w:tcW w:w="556" w:type="dxa"/>
            <w:tcBorders/>
            <w:vAlign w:val="center"/>
          </w:tcPr>
          <w:p>
            <w:pPr>
              <w:pStyle w:val="TableContents"/>
              <w:bidi w:val="0"/>
              <w:spacing w:before="0" w:after="140"/>
              <w:jc w:val="left"/>
              <w:rPr/>
            </w:pPr>
            <w:r>
              <w:rPr/>
              <w:t>16</w:t>
            </w:r>
          </w:p>
        </w:tc>
        <w:tc>
          <w:tcPr>
            <w:tcW w:w="556" w:type="dxa"/>
            <w:tcBorders/>
            <w:vAlign w:val="center"/>
          </w:tcPr>
          <w:p>
            <w:pPr>
              <w:pStyle w:val="TableContents"/>
              <w:bidi w:val="0"/>
              <w:spacing w:before="0" w:after="140"/>
              <w:jc w:val="left"/>
              <w:rPr/>
            </w:pPr>
            <w:r>
              <w:rPr/>
              <w:t>15</w:t>
            </w:r>
          </w:p>
        </w:tc>
        <w:tc>
          <w:tcPr>
            <w:tcW w:w="556" w:type="dxa"/>
            <w:tcBorders/>
            <w:vAlign w:val="center"/>
          </w:tcPr>
          <w:p>
            <w:pPr>
              <w:pStyle w:val="TableContents"/>
              <w:bidi w:val="0"/>
              <w:spacing w:before="0" w:after="140"/>
              <w:jc w:val="left"/>
              <w:rPr/>
            </w:pPr>
            <w:r>
              <w:rPr/>
              <w:t>10</w:t>
            </w:r>
          </w:p>
        </w:tc>
        <w:tc>
          <w:tcPr>
            <w:tcW w:w="556" w:type="dxa"/>
            <w:tcBorders/>
            <w:vAlign w:val="center"/>
          </w:tcPr>
          <w:p>
            <w:pPr>
              <w:pStyle w:val="TableContents"/>
              <w:bidi w:val="0"/>
              <w:spacing w:before="0" w:after="140"/>
              <w:jc w:val="left"/>
              <w:rPr/>
            </w:pPr>
            <w:r>
              <w:rPr/>
              <w:t>16</w:t>
            </w:r>
          </w:p>
        </w:tc>
        <w:tc>
          <w:tcPr>
            <w:tcW w:w="1891" w:type="dxa"/>
            <w:tcBorders/>
            <w:vAlign w:val="center"/>
          </w:tcPr>
          <w:p>
            <w:pPr>
              <w:pStyle w:val="TableContents"/>
              <w:bidi w:val="0"/>
              <w:spacing w:before="0" w:after="140"/>
              <w:jc w:val="left"/>
              <w:rPr/>
            </w:pPr>
            <w:r>
              <w:rPr>
                <w:rStyle w:val="StrongEmphasis"/>
              </w:rPr>
              <w:t>13.4</w:t>
            </w:r>
          </w:p>
        </w:tc>
      </w:tr>
      <w:tr>
        <w:trPr/>
        <w:tc>
          <w:tcPr>
            <w:tcW w:w="4681" w:type="dxa"/>
            <w:tcBorders/>
            <w:vAlign w:val="center"/>
          </w:tcPr>
          <w:p>
            <w:pPr>
              <w:pStyle w:val="TableContents"/>
              <w:bidi w:val="0"/>
              <w:spacing w:before="0" w:after="140"/>
              <w:jc w:val="left"/>
              <w:rPr/>
            </w:pPr>
            <w:r>
              <w:rPr/>
              <w:t>Write with one member down</w:t>
            </w:r>
          </w:p>
        </w:tc>
        <w:tc>
          <w:tcPr>
            <w:tcW w:w="556" w:type="dxa"/>
            <w:tcBorders/>
            <w:vAlign w:val="center"/>
          </w:tcPr>
          <w:p>
            <w:pPr>
              <w:pStyle w:val="TableContents"/>
              <w:bidi w:val="0"/>
              <w:spacing w:before="0" w:after="140"/>
              <w:jc w:val="left"/>
              <w:rPr/>
            </w:pPr>
            <w:r>
              <w:rPr/>
              <w:t>201</w:t>
            </w:r>
          </w:p>
        </w:tc>
        <w:tc>
          <w:tcPr>
            <w:tcW w:w="556" w:type="dxa"/>
            <w:tcBorders/>
            <w:vAlign w:val="center"/>
          </w:tcPr>
          <w:p>
            <w:pPr>
              <w:pStyle w:val="TableContents"/>
              <w:bidi w:val="0"/>
              <w:spacing w:before="0" w:after="140"/>
              <w:jc w:val="left"/>
              <w:rPr/>
            </w:pPr>
            <w:r>
              <w:rPr/>
              <w:t>201</w:t>
            </w:r>
          </w:p>
        </w:tc>
        <w:tc>
          <w:tcPr>
            <w:tcW w:w="556" w:type="dxa"/>
            <w:tcBorders/>
            <w:vAlign w:val="center"/>
          </w:tcPr>
          <w:p>
            <w:pPr>
              <w:pStyle w:val="TableContents"/>
              <w:bidi w:val="0"/>
              <w:spacing w:before="0" w:after="140"/>
              <w:jc w:val="left"/>
              <w:rPr/>
            </w:pPr>
            <w:r>
              <w:rPr/>
              <w:t>201</w:t>
            </w:r>
          </w:p>
        </w:tc>
        <w:tc>
          <w:tcPr>
            <w:tcW w:w="556" w:type="dxa"/>
            <w:tcBorders/>
            <w:vAlign w:val="center"/>
          </w:tcPr>
          <w:p>
            <w:pPr>
              <w:pStyle w:val="TableContents"/>
              <w:bidi w:val="0"/>
              <w:spacing w:before="0" w:after="140"/>
              <w:jc w:val="left"/>
              <w:rPr/>
            </w:pPr>
            <w:r>
              <w:rPr/>
              <w:t>201</w:t>
            </w:r>
          </w:p>
        </w:tc>
        <w:tc>
          <w:tcPr>
            <w:tcW w:w="556" w:type="dxa"/>
            <w:tcBorders/>
            <w:vAlign w:val="center"/>
          </w:tcPr>
          <w:p>
            <w:pPr>
              <w:pStyle w:val="TableContents"/>
              <w:bidi w:val="0"/>
              <w:spacing w:before="0" w:after="140"/>
              <w:jc w:val="left"/>
              <w:rPr/>
            </w:pPr>
            <w:r>
              <w:rPr/>
              <w:t>201</w:t>
            </w:r>
          </w:p>
        </w:tc>
        <w:tc>
          <w:tcPr>
            <w:tcW w:w="1891" w:type="dxa"/>
            <w:tcBorders/>
            <w:vAlign w:val="center"/>
          </w:tcPr>
          <w:p>
            <w:pPr>
              <w:pStyle w:val="TableContents"/>
              <w:bidi w:val="0"/>
              <w:spacing w:before="0" w:after="140"/>
              <w:jc w:val="left"/>
              <w:rPr/>
            </w:pPr>
            <w:r>
              <w:rPr/>
              <w:t>5/5 succeeded</w:t>
            </w:r>
          </w:p>
        </w:tc>
      </w:tr>
      <w:tr>
        <w:trPr/>
        <w:tc>
          <w:tcPr>
            <w:tcW w:w="4681" w:type="dxa"/>
            <w:tcBorders/>
            <w:vAlign w:val="center"/>
          </w:tcPr>
          <w:p>
            <w:pPr>
              <w:pStyle w:val="TableContents"/>
              <w:bidi w:val="0"/>
              <w:spacing w:before="0" w:after="140"/>
              <w:jc w:val="left"/>
              <w:rPr/>
            </w:pPr>
            <w:r>
              <w:rPr/>
              <w:t>Failed member rejoined and resynced</w:t>
            </w:r>
          </w:p>
        </w:tc>
        <w:tc>
          <w:tcPr>
            <w:tcW w:w="556" w:type="dxa"/>
            <w:tcBorders/>
            <w:vAlign w:val="center"/>
          </w:tcPr>
          <w:p>
            <w:pPr>
              <w:pStyle w:val="TableContents"/>
              <w:bidi w:val="0"/>
              <w:spacing w:before="0" w:after="140"/>
              <w:jc w:val="left"/>
              <w:rPr/>
            </w:pPr>
            <w:r>
              <w:rPr/>
              <w:t>✓</w:t>
            </w:r>
          </w:p>
        </w:tc>
        <w:tc>
          <w:tcPr>
            <w:tcW w:w="556" w:type="dxa"/>
            <w:tcBorders/>
            <w:vAlign w:val="center"/>
          </w:tcPr>
          <w:p>
            <w:pPr>
              <w:pStyle w:val="TableContents"/>
              <w:bidi w:val="0"/>
              <w:spacing w:before="0" w:after="140"/>
              <w:jc w:val="left"/>
              <w:rPr/>
            </w:pPr>
            <w:r>
              <w:rPr/>
              <w:t>✓</w:t>
            </w:r>
          </w:p>
        </w:tc>
        <w:tc>
          <w:tcPr>
            <w:tcW w:w="556" w:type="dxa"/>
            <w:tcBorders/>
            <w:vAlign w:val="center"/>
          </w:tcPr>
          <w:p>
            <w:pPr>
              <w:pStyle w:val="TableContents"/>
              <w:bidi w:val="0"/>
              <w:spacing w:before="0" w:after="140"/>
              <w:jc w:val="left"/>
              <w:rPr/>
            </w:pPr>
            <w:r>
              <w:rPr/>
              <w:t>✓</w:t>
            </w:r>
          </w:p>
        </w:tc>
        <w:tc>
          <w:tcPr>
            <w:tcW w:w="556" w:type="dxa"/>
            <w:tcBorders/>
            <w:vAlign w:val="center"/>
          </w:tcPr>
          <w:p>
            <w:pPr>
              <w:pStyle w:val="TableContents"/>
              <w:bidi w:val="0"/>
              <w:spacing w:before="0" w:after="140"/>
              <w:jc w:val="left"/>
              <w:rPr/>
            </w:pPr>
            <w:r>
              <w:rPr/>
              <w:t>✓</w:t>
            </w:r>
          </w:p>
        </w:tc>
        <w:tc>
          <w:tcPr>
            <w:tcW w:w="556" w:type="dxa"/>
            <w:tcBorders/>
            <w:vAlign w:val="center"/>
          </w:tcPr>
          <w:p>
            <w:pPr>
              <w:pStyle w:val="TableContents"/>
              <w:bidi w:val="0"/>
              <w:spacing w:before="0" w:after="140"/>
              <w:jc w:val="left"/>
              <w:rPr/>
            </w:pPr>
            <w:r>
              <w:rPr/>
              <w:t>✓</w:t>
            </w:r>
          </w:p>
        </w:tc>
        <w:tc>
          <w:tcPr>
            <w:tcW w:w="1891" w:type="dxa"/>
            <w:tcBorders/>
            <w:vAlign w:val="center"/>
          </w:tcPr>
          <w:p>
            <w:pPr>
              <w:pStyle w:val="TableContents"/>
              <w:bidi w:val="0"/>
              <w:spacing w:before="0" w:after="140"/>
              <w:jc w:val="left"/>
              <w:rPr/>
            </w:pPr>
            <w:r>
              <w:rPr/>
              <w:t>5/5</w:t>
            </w:r>
          </w:p>
        </w:tc>
      </w:tr>
    </w:tbl>
    <w:p>
      <w:pPr>
        <w:pStyle w:val="TextBody"/>
        <w:bidi w:val="0"/>
        <w:spacing w:before="0" w:after="140"/>
        <w:jc w:val="both"/>
        <w:rPr/>
      </w:pPr>
      <w:r>
        <w:rPr>
          <w:rStyle w:val="StrongEmphasis"/>
        </w:rPr>
        <w:t>Analysis:</w:t>
      </w:r>
    </w:p>
    <w:p>
      <w:pPr>
        <w:pStyle w:val="TextBody"/>
        <w:numPr>
          <w:ilvl w:val="0"/>
          <w:numId w:val="18"/>
        </w:numPr>
        <w:tabs>
          <w:tab w:val="clear" w:pos="1134"/>
          <w:tab w:val="left" w:pos="709" w:leader="none"/>
        </w:tabs>
        <w:bidi w:val="0"/>
        <w:spacing w:before="0" w:after="0"/>
        <w:ind w:left="709" w:hanging="283"/>
        <w:rPr/>
      </w:pPr>
      <w:r>
        <w:rPr>
          <w:rStyle w:val="StrongEmphasis"/>
        </w:rPr>
        <w:t>Where the time goes.</w:t>
      </w:r>
      <w:r>
        <w:rPr/>
        <w:t xml:space="preserve"> The failover time is dominated by MongoDB's default election timeout of 10 seconds: the survivors must first decide the primary is really gone. The time also includes the script's one-second polling interval. </w:t>
      </w:r>
    </w:p>
    <w:p>
      <w:pPr>
        <w:pStyle w:val="TextBody"/>
        <w:numPr>
          <w:ilvl w:val="0"/>
          <w:numId w:val="18"/>
        </w:numPr>
        <w:tabs>
          <w:tab w:val="clear" w:pos="1134"/>
          <w:tab w:val="left" w:pos="709" w:leader="none"/>
        </w:tabs>
        <w:bidi w:val="0"/>
        <w:spacing w:before="0" w:after="0"/>
        <w:ind w:left="709" w:hanging="283"/>
        <w:rPr/>
      </w:pPr>
      <w:r>
        <w:rPr>
          <w:rStyle w:val="StrongEmphasis"/>
        </w:rPr>
        <w:t>Tuning.</w:t>
      </w:r>
      <w:r>
        <w:rPr/>
        <w:t xml:space="preserve"> Lowering </w:t>
      </w:r>
      <w:r>
        <w:rPr>
          <w:rStyle w:val="SourceText"/>
        </w:rPr>
        <w:t>settings.electionTimeoutMillis</w:t>
      </w:r>
      <w:r>
        <w:rPr/>
        <w:t xml:space="preserve"> would shorten failover, at the risk of unnecessary elections on a congested network. That is a CAP/PACELC trade-off in practice. </w:t>
      </w:r>
    </w:p>
    <w:p>
      <w:pPr>
        <w:pStyle w:val="TextBody"/>
        <w:numPr>
          <w:ilvl w:val="0"/>
          <w:numId w:val="18"/>
        </w:numPr>
        <w:tabs>
          <w:tab w:val="clear" w:pos="1134"/>
          <w:tab w:val="left" w:pos="709" w:leader="none"/>
        </w:tabs>
        <w:bidi w:val="0"/>
        <w:spacing w:before="0" w:after="0"/>
        <w:ind w:left="709" w:hanging="283"/>
        <w:rPr/>
      </w:pPr>
      <w:r>
        <w:rPr>
          <w:rStyle w:val="StrongEmphasis"/>
        </w:rPr>
        <w:t>No data loss.</w:t>
      </w:r>
      <w:r>
        <w:rPr/>
        <w:t xml:space="preserve"> During the gap, the ingest service holds events in its buffer and retries, and QoS 1 with a persistent session means the broker keeps undelivered messages. Every write acknowledged with </w:t>
      </w:r>
      <w:r>
        <w:rPr>
          <w:rStyle w:val="SourceText"/>
        </w:rPr>
        <w:t>w: majority</w:t>
      </w:r>
      <w:r>
        <w:rPr/>
        <w:t xml:space="preserve"> was already on the surviving majority, so no acknowledged data could be lost. </w:t>
      </w:r>
    </w:p>
    <w:p>
      <w:pPr>
        <w:pStyle w:val="TextBody"/>
        <w:numPr>
          <w:ilvl w:val="0"/>
          <w:numId w:val="18"/>
        </w:numPr>
        <w:tabs>
          <w:tab w:val="clear" w:pos="1134"/>
          <w:tab w:val="left" w:pos="709" w:leader="none"/>
        </w:tabs>
        <w:bidi w:val="0"/>
        <w:ind w:left="709" w:hanging="283"/>
        <w:rPr/>
      </w:pPr>
      <w:r>
        <w:rPr>
          <w:rStyle w:val="StrongEmphasis"/>
        </w:rPr>
        <w:t>Recovery.</w:t>
      </w:r>
      <w:r>
        <w:rPr/>
        <w:t xml:space="preserve"> When the failed member returned, it caught up from the new primary's oplog without manual intervention. </w:t>
      </w:r>
    </w:p>
    <w:p>
      <w:pPr>
        <w:pStyle w:val="Heading3"/>
        <w:bidi w:val="0"/>
        <w:jc w:val="left"/>
        <w:rPr/>
      </w:pPr>
      <w:r>
        <w:rPr/>
        <w:t>4.10 Performance evaluation and tuning</w:t>
      </w:r>
    </w:p>
    <w:p>
      <w:pPr>
        <w:pStyle w:val="TextBody"/>
        <w:bidi w:val="0"/>
        <w:spacing w:before="0" w:after="140"/>
        <w:jc w:val="both"/>
        <w:rPr/>
      </w:pPr>
      <w:r>
        <w:rPr/>
        <w:t>Two experiments were run to check that the design performs well and to find weaknesses before IoThings relies on it.</w:t>
      </w:r>
    </w:p>
    <w:p>
      <w:pPr>
        <w:pStyle w:val="Heading4"/>
        <w:bidi w:val="0"/>
        <w:jc w:val="left"/>
        <w:rPr/>
      </w:pPr>
      <w:r>
        <w:rPr/>
        <w:t>4.10.1 Time-series granularity</w:t>
      </w:r>
    </w:p>
    <w:p>
      <w:pPr>
        <w:pStyle w:val="TextBody"/>
        <w:bidi w:val="0"/>
        <w:spacing w:before="0" w:after="140"/>
        <w:jc w:val="both"/>
        <w:rPr/>
      </w:pPr>
      <w:r>
        <w:rPr/>
        <w:t xml:space="preserve">The first version of the schema used granularity </w:t>
      </w:r>
      <w:r>
        <w:rPr>
          <w:rStyle w:val="SourceText"/>
        </w:rPr>
        <w:t>seconds</w:t>
      </w:r>
      <w:r>
        <w:rPr/>
        <w:t xml:space="preserve">. With this setting, MongoDB closes a bucket after at most one hour. Most IoThings devices report only a few times an hour: temperature every 15 minutes, a door lock a few times a day. Measured storage statistics showed </w:t>
      </w:r>
      <w:r>
        <w:rPr>
          <w:rStyle w:val="StrongEmphasis"/>
        </w:rPr>
        <w:t>92,168 buckets holding on average about three events each</w:t>
      </w:r>
      <w:r>
        <w:rPr/>
        <w:t xml:space="preserve">. That is far too few for effective compression, and every bucket needs its own index entries. To quantify the effect, the same 289,602 events were copied into three time-series variants and a plain collection, each with identical indexes. The script is </w:t>
      </w:r>
      <w:r>
        <w:rPr>
          <w:rStyle w:val="SourceText"/>
        </w:rPr>
        <w:t>mongo/benchmark-granularity.js</w:t>
      </w:r>
      <w:r>
        <w:rPr/>
        <w:t>.</w:t>
      </w:r>
    </w:p>
    <w:p>
      <w:pPr>
        <w:pStyle w:val="TextBody"/>
        <w:bidi w:val="0"/>
        <w:spacing w:before="0" w:after="140"/>
        <w:jc w:val="both"/>
        <w:rPr/>
      </w:pPr>
      <w:r>
        <w:rPr>
          <w:rStyle w:val="StrongEmphasis"/>
        </w:rPr>
        <w:t>Table 8: Storage and query cost for the same 289,602 events</w:t>
      </w:r>
    </w:p>
    <w:tbl>
      <w:tblPr>
        <w:tblW w:w="9516" w:type="dxa"/>
        <w:jc w:val="left"/>
        <w:tblInd w:w="0" w:type="dxa"/>
        <w:tblLayout w:type="fixed"/>
        <w:tblCellMar>
          <w:top w:w="28" w:type="dxa"/>
          <w:left w:w="28" w:type="dxa"/>
          <w:bottom w:w="28" w:type="dxa"/>
          <w:right w:w="28" w:type="dxa"/>
        </w:tblCellMar>
      </w:tblPr>
      <w:tblGrid>
        <w:gridCol w:w="1770"/>
        <w:gridCol w:w="1186"/>
        <w:gridCol w:w="896"/>
        <w:gridCol w:w="1203"/>
        <w:gridCol w:w="1333"/>
        <w:gridCol w:w="1228"/>
        <w:gridCol w:w="1900"/>
      </w:tblGrid>
      <w:tr>
        <w:trPr>
          <w:tblHeader w:val="true"/>
        </w:trPr>
        <w:tc>
          <w:tcPr>
            <w:tcW w:w="1770" w:type="dxa"/>
            <w:tcBorders/>
            <w:vAlign w:val="center"/>
          </w:tcPr>
          <w:p>
            <w:pPr>
              <w:pStyle w:val="TableHeading"/>
              <w:suppressLineNumbers/>
              <w:shd w:fill="0D3B66" w:val="clear"/>
              <w:bidi w:val="0"/>
              <w:spacing w:before="0" w:after="140"/>
              <w:jc w:val="left"/>
              <w:rPr/>
            </w:pPr>
            <w:r>
              <w:rPr/>
              <w:t>Design</w:t>
            </w:r>
          </w:p>
        </w:tc>
        <w:tc>
          <w:tcPr>
            <w:tcW w:w="1186" w:type="dxa"/>
            <w:tcBorders/>
            <w:vAlign w:val="center"/>
          </w:tcPr>
          <w:p>
            <w:pPr>
              <w:pStyle w:val="TableHeading"/>
              <w:suppressLineNumbers/>
              <w:shd w:fill="0D3B66" w:val="clear"/>
              <w:bidi w:val="0"/>
              <w:spacing w:before="0" w:after="140"/>
              <w:jc w:val="left"/>
              <w:rPr/>
            </w:pPr>
            <w:r>
              <w:rPr/>
              <w:t>Buckets</w:t>
            </w:r>
          </w:p>
        </w:tc>
        <w:tc>
          <w:tcPr>
            <w:tcW w:w="896" w:type="dxa"/>
            <w:tcBorders/>
            <w:vAlign w:val="center"/>
          </w:tcPr>
          <w:p>
            <w:pPr>
              <w:pStyle w:val="TableHeading"/>
              <w:suppressLineNumbers/>
              <w:shd w:fill="0D3B66" w:val="clear"/>
              <w:bidi w:val="0"/>
              <w:spacing w:before="0" w:after="140"/>
              <w:jc w:val="left"/>
              <w:rPr/>
            </w:pPr>
            <w:r>
              <w:rPr/>
              <w:t>Data (KB)</w:t>
            </w:r>
          </w:p>
        </w:tc>
        <w:tc>
          <w:tcPr>
            <w:tcW w:w="1203" w:type="dxa"/>
            <w:tcBorders/>
            <w:vAlign w:val="center"/>
          </w:tcPr>
          <w:p>
            <w:pPr>
              <w:pStyle w:val="TableHeading"/>
              <w:suppressLineNumbers/>
              <w:shd w:fill="0D3B66" w:val="clear"/>
              <w:bidi w:val="0"/>
              <w:spacing w:before="0" w:after="140"/>
              <w:jc w:val="left"/>
              <w:rPr/>
            </w:pPr>
            <w:r>
              <w:rPr/>
              <w:t>Indexes (KB)</w:t>
            </w:r>
          </w:p>
        </w:tc>
        <w:tc>
          <w:tcPr>
            <w:tcW w:w="1333" w:type="dxa"/>
            <w:tcBorders/>
            <w:vAlign w:val="center"/>
          </w:tcPr>
          <w:p>
            <w:pPr>
              <w:pStyle w:val="TableHeading"/>
              <w:suppressLineNumbers/>
              <w:shd w:fill="0D3B66" w:val="clear"/>
              <w:bidi w:val="0"/>
              <w:spacing w:before="0" w:after="140"/>
              <w:jc w:val="left"/>
              <w:rPr/>
            </w:pPr>
            <w:r>
              <w:rPr/>
              <w:t>Device/day query: units read, ms</w:t>
            </w:r>
          </w:p>
        </w:tc>
        <w:tc>
          <w:tcPr>
            <w:tcW w:w="1228" w:type="dxa"/>
            <w:tcBorders/>
            <w:vAlign w:val="center"/>
          </w:tcPr>
          <w:p>
            <w:pPr>
              <w:pStyle w:val="TableHeading"/>
              <w:suppressLineNumbers/>
              <w:shd w:fill="0D3B66" w:val="clear"/>
              <w:bidi w:val="0"/>
              <w:spacing w:before="0" w:after="140"/>
              <w:jc w:val="left"/>
              <w:rPr/>
            </w:pPr>
            <w:r>
              <w:rPr/>
              <w:t>Home/day query: units read, ms</w:t>
            </w:r>
          </w:p>
        </w:tc>
        <w:tc>
          <w:tcPr>
            <w:tcW w:w="1900" w:type="dxa"/>
            <w:tcBorders/>
            <w:vAlign w:val="center"/>
          </w:tcPr>
          <w:p>
            <w:pPr>
              <w:pStyle w:val="TableHeading"/>
              <w:suppressLineNumbers/>
              <w:shd w:fill="0D3B66" w:val="clear"/>
              <w:bidi w:val="0"/>
              <w:spacing w:before="0" w:after="140"/>
              <w:jc w:val="left"/>
              <w:rPr/>
            </w:pPr>
            <w:r>
              <w:rPr/>
              <w:t>7-day aggregation (ms)</w:t>
            </w:r>
          </w:p>
        </w:tc>
      </w:tr>
      <w:tr>
        <w:trPr/>
        <w:tc>
          <w:tcPr>
            <w:tcW w:w="1770" w:type="dxa"/>
            <w:tcBorders/>
            <w:vAlign w:val="center"/>
          </w:tcPr>
          <w:p>
            <w:pPr>
              <w:pStyle w:val="TableContents"/>
              <w:bidi w:val="0"/>
              <w:spacing w:before="0" w:after="140"/>
              <w:jc w:val="left"/>
              <w:rPr/>
            </w:pPr>
            <w:r>
              <w:rPr/>
              <w:t>Plain collection</w:t>
            </w:r>
          </w:p>
        </w:tc>
        <w:tc>
          <w:tcPr>
            <w:tcW w:w="1186" w:type="dxa"/>
            <w:tcBorders/>
            <w:vAlign w:val="center"/>
          </w:tcPr>
          <w:p>
            <w:pPr>
              <w:pStyle w:val="TableContents"/>
              <w:bidi w:val="0"/>
              <w:spacing w:before="0" w:after="140"/>
              <w:jc w:val="left"/>
              <w:rPr/>
            </w:pPr>
            <w:r>
              <w:rPr/>
              <w:t>–</w:t>
            </w:r>
          </w:p>
        </w:tc>
        <w:tc>
          <w:tcPr>
            <w:tcW w:w="896" w:type="dxa"/>
            <w:tcBorders/>
            <w:vAlign w:val="center"/>
          </w:tcPr>
          <w:p>
            <w:pPr>
              <w:pStyle w:val="TableContents"/>
              <w:bidi w:val="0"/>
              <w:spacing w:before="0" w:after="140"/>
              <w:jc w:val="left"/>
              <w:rPr/>
            </w:pPr>
            <w:r>
              <w:rPr/>
              <w:t>9,468</w:t>
            </w:r>
          </w:p>
        </w:tc>
        <w:tc>
          <w:tcPr>
            <w:tcW w:w="1203" w:type="dxa"/>
            <w:tcBorders/>
            <w:vAlign w:val="center"/>
          </w:tcPr>
          <w:p>
            <w:pPr>
              <w:pStyle w:val="TableContents"/>
              <w:bidi w:val="0"/>
              <w:spacing w:before="0" w:after="140"/>
              <w:jc w:val="left"/>
              <w:rPr/>
            </w:pPr>
            <w:r>
              <w:rPr/>
              <w:t>17,384</w:t>
            </w:r>
          </w:p>
        </w:tc>
        <w:tc>
          <w:tcPr>
            <w:tcW w:w="1333" w:type="dxa"/>
            <w:tcBorders/>
            <w:vAlign w:val="center"/>
          </w:tcPr>
          <w:p>
            <w:pPr>
              <w:pStyle w:val="TableContents"/>
              <w:bidi w:val="0"/>
              <w:spacing w:before="0" w:after="140"/>
              <w:jc w:val="left"/>
              <w:rPr/>
            </w:pPr>
            <w:r>
              <w:rPr/>
              <w:t>96, 1.1</w:t>
            </w:r>
          </w:p>
        </w:tc>
        <w:tc>
          <w:tcPr>
            <w:tcW w:w="1228" w:type="dxa"/>
            <w:tcBorders/>
            <w:vAlign w:val="center"/>
          </w:tcPr>
          <w:p>
            <w:pPr>
              <w:pStyle w:val="TableContents"/>
              <w:bidi w:val="0"/>
              <w:spacing w:before="0" w:after="140"/>
              <w:jc w:val="left"/>
              <w:rPr/>
            </w:pPr>
            <w:r>
              <w:rPr/>
              <w:t>474, 1.6</w:t>
            </w:r>
          </w:p>
        </w:tc>
        <w:tc>
          <w:tcPr>
            <w:tcW w:w="1900" w:type="dxa"/>
            <w:tcBorders/>
            <w:vAlign w:val="center"/>
          </w:tcPr>
          <w:p>
            <w:pPr>
              <w:pStyle w:val="TableContents"/>
              <w:bidi w:val="0"/>
              <w:spacing w:before="0" w:after="140"/>
              <w:jc w:val="left"/>
              <w:rPr/>
            </w:pPr>
            <w:r>
              <w:rPr/>
              <w:t>2.6</w:t>
            </w:r>
          </w:p>
        </w:tc>
      </w:tr>
      <w:tr>
        <w:trPr/>
        <w:tc>
          <w:tcPr>
            <w:tcW w:w="1770" w:type="dxa"/>
            <w:tcBorders/>
            <w:vAlign w:val="center"/>
          </w:tcPr>
          <w:p>
            <w:pPr>
              <w:pStyle w:val="TableContents"/>
              <w:bidi w:val="0"/>
              <w:spacing w:before="0" w:after="140"/>
              <w:jc w:val="left"/>
              <w:rPr/>
            </w:pPr>
            <w:r>
              <w:rPr/>
              <w:t xml:space="preserve">Time-series </w:t>
            </w:r>
            <w:r>
              <w:rPr>
                <w:rStyle w:val="SourceText"/>
              </w:rPr>
              <w:t>seconds</w:t>
            </w:r>
          </w:p>
        </w:tc>
        <w:tc>
          <w:tcPr>
            <w:tcW w:w="1186" w:type="dxa"/>
            <w:tcBorders/>
            <w:vAlign w:val="center"/>
          </w:tcPr>
          <w:p>
            <w:pPr>
              <w:pStyle w:val="TableContents"/>
              <w:bidi w:val="0"/>
              <w:spacing w:before="0" w:after="140"/>
              <w:jc w:val="left"/>
              <w:rPr/>
            </w:pPr>
            <w:r>
              <w:rPr/>
              <w:t>92,168</w:t>
            </w:r>
          </w:p>
        </w:tc>
        <w:tc>
          <w:tcPr>
            <w:tcW w:w="896" w:type="dxa"/>
            <w:tcBorders/>
            <w:vAlign w:val="center"/>
          </w:tcPr>
          <w:p>
            <w:pPr>
              <w:pStyle w:val="TableContents"/>
              <w:bidi w:val="0"/>
              <w:spacing w:before="0" w:after="140"/>
              <w:jc w:val="left"/>
              <w:rPr/>
            </w:pPr>
            <w:r>
              <w:rPr/>
              <w:t>5,576</w:t>
            </w:r>
          </w:p>
        </w:tc>
        <w:tc>
          <w:tcPr>
            <w:tcW w:w="1203" w:type="dxa"/>
            <w:tcBorders/>
            <w:vAlign w:val="center"/>
          </w:tcPr>
          <w:p>
            <w:pPr>
              <w:pStyle w:val="TableContents"/>
              <w:bidi w:val="0"/>
              <w:spacing w:before="0" w:after="140"/>
              <w:jc w:val="left"/>
              <w:rPr/>
            </w:pPr>
            <w:r>
              <w:rPr/>
              <w:t>14,052</w:t>
            </w:r>
          </w:p>
        </w:tc>
        <w:tc>
          <w:tcPr>
            <w:tcW w:w="1333" w:type="dxa"/>
            <w:tcBorders/>
            <w:vAlign w:val="center"/>
          </w:tcPr>
          <w:p>
            <w:pPr>
              <w:pStyle w:val="TableContents"/>
              <w:bidi w:val="0"/>
              <w:spacing w:before="0" w:after="140"/>
              <w:jc w:val="left"/>
              <w:rPr/>
            </w:pPr>
            <w:r>
              <w:rPr/>
              <w:t>24, 1.1</w:t>
            </w:r>
          </w:p>
        </w:tc>
        <w:tc>
          <w:tcPr>
            <w:tcW w:w="1228" w:type="dxa"/>
            <w:tcBorders/>
            <w:vAlign w:val="center"/>
          </w:tcPr>
          <w:p>
            <w:pPr>
              <w:pStyle w:val="TableContents"/>
              <w:bidi w:val="0"/>
              <w:spacing w:before="0" w:after="140"/>
              <w:jc w:val="left"/>
              <w:rPr/>
            </w:pPr>
            <w:r>
              <w:rPr/>
              <w:t>157, 2.1</w:t>
            </w:r>
          </w:p>
        </w:tc>
        <w:tc>
          <w:tcPr>
            <w:tcW w:w="1900" w:type="dxa"/>
            <w:tcBorders/>
            <w:vAlign w:val="center"/>
          </w:tcPr>
          <w:p>
            <w:pPr>
              <w:pStyle w:val="TableContents"/>
              <w:bidi w:val="0"/>
              <w:spacing w:before="0" w:after="140"/>
              <w:jc w:val="left"/>
              <w:rPr/>
            </w:pPr>
            <w:r>
              <w:rPr/>
              <w:t>1.8</w:t>
            </w:r>
          </w:p>
        </w:tc>
      </w:tr>
      <w:tr>
        <w:trPr/>
        <w:tc>
          <w:tcPr>
            <w:tcW w:w="1770" w:type="dxa"/>
            <w:tcBorders/>
            <w:vAlign w:val="center"/>
          </w:tcPr>
          <w:p>
            <w:pPr>
              <w:pStyle w:val="TableContents"/>
              <w:bidi w:val="0"/>
              <w:spacing w:before="0" w:after="140"/>
              <w:jc w:val="left"/>
              <w:rPr/>
            </w:pPr>
            <w:r>
              <w:rPr>
                <w:rStyle w:val="StrongEmphasis"/>
              </w:rPr>
              <w:t xml:space="preserve">Time-series </w:t>
            </w:r>
            <w:r>
              <w:rPr>
                <w:rStyle w:val="SourceText"/>
              </w:rPr>
              <w:t>minutes</w:t>
            </w:r>
          </w:p>
        </w:tc>
        <w:tc>
          <w:tcPr>
            <w:tcW w:w="1186" w:type="dxa"/>
            <w:tcBorders/>
            <w:vAlign w:val="center"/>
          </w:tcPr>
          <w:p>
            <w:pPr>
              <w:pStyle w:val="TableContents"/>
              <w:bidi w:val="0"/>
              <w:spacing w:before="0" w:after="140"/>
              <w:jc w:val="left"/>
              <w:rPr/>
            </w:pPr>
            <w:r>
              <w:rPr>
                <w:rStyle w:val="StrongEmphasis"/>
              </w:rPr>
              <w:t>11,480</w:t>
            </w:r>
          </w:p>
        </w:tc>
        <w:tc>
          <w:tcPr>
            <w:tcW w:w="896" w:type="dxa"/>
            <w:tcBorders/>
            <w:vAlign w:val="center"/>
          </w:tcPr>
          <w:p>
            <w:pPr>
              <w:pStyle w:val="TableContents"/>
              <w:bidi w:val="0"/>
              <w:spacing w:before="0" w:after="140"/>
              <w:jc w:val="left"/>
              <w:rPr/>
            </w:pPr>
            <w:r>
              <w:rPr>
                <w:rStyle w:val="StrongEmphasis"/>
              </w:rPr>
              <w:t>1,860</w:t>
            </w:r>
          </w:p>
        </w:tc>
        <w:tc>
          <w:tcPr>
            <w:tcW w:w="1203" w:type="dxa"/>
            <w:tcBorders/>
            <w:vAlign w:val="center"/>
          </w:tcPr>
          <w:p>
            <w:pPr>
              <w:pStyle w:val="TableContents"/>
              <w:bidi w:val="0"/>
              <w:spacing w:before="0" w:after="140"/>
              <w:jc w:val="left"/>
              <w:rPr/>
            </w:pPr>
            <w:r>
              <w:rPr>
                <w:rStyle w:val="StrongEmphasis"/>
              </w:rPr>
              <w:t>1,852</w:t>
            </w:r>
          </w:p>
        </w:tc>
        <w:tc>
          <w:tcPr>
            <w:tcW w:w="1333" w:type="dxa"/>
            <w:tcBorders/>
            <w:vAlign w:val="center"/>
          </w:tcPr>
          <w:p>
            <w:pPr>
              <w:pStyle w:val="TableContents"/>
              <w:bidi w:val="0"/>
              <w:spacing w:before="0" w:after="140"/>
              <w:jc w:val="left"/>
              <w:rPr/>
            </w:pPr>
            <w:r>
              <w:rPr>
                <w:rStyle w:val="StrongEmphasis"/>
              </w:rPr>
              <w:t>2, 0.8</w:t>
            </w:r>
          </w:p>
        </w:tc>
        <w:tc>
          <w:tcPr>
            <w:tcW w:w="1228" w:type="dxa"/>
            <w:tcBorders/>
            <w:vAlign w:val="center"/>
          </w:tcPr>
          <w:p>
            <w:pPr>
              <w:pStyle w:val="TableContents"/>
              <w:bidi w:val="0"/>
              <w:spacing w:before="0" w:after="140"/>
              <w:jc w:val="left"/>
              <w:rPr/>
            </w:pPr>
            <w:r>
              <w:rPr>
                <w:rStyle w:val="StrongEmphasis"/>
              </w:rPr>
              <w:t>40, 1.8</w:t>
            </w:r>
          </w:p>
        </w:tc>
        <w:tc>
          <w:tcPr>
            <w:tcW w:w="1900" w:type="dxa"/>
            <w:tcBorders/>
            <w:vAlign w:val="center"/>
          </w:tcPr>
          <w:p>
            <w:pPr>
              <w:pStyle w:val="TableContents"/>
              <w:bidi w:val="0"/>
              <w:spacing w:before="0" w:after="140"/>
              <w:jc w:val="left"/>
              <w:rPr/>
            </w:pPr>
            <w:r>
              <w:rPr>
                <w:rStyle w:val="StrongEmphasis"/>
              </w:rPr>
              <w:t>0.8</w:t>
            </w:r>
          </w:p>
        </w:tc>
      </w:tr>
      <w:tr>
        <w:trPr/>
        <w:tc>
          <w:tcPr>
            <w:tcW w:w="1770" w:type="dxa"/>
            <w:tcBorders/>
            <w:vAlign w:val="center"/>
          </w:tcPr>
          <w:p>
            <w:pPr>
              <w:pStyle w:val="TableContents"/>
              <w:bidi w:val="0"/>
              <w:spacing w:before="0" w:after="140"/>
              <w:jc w:val="left"/>
              <w:rPr/>
            </w:pPr>
            <w:r>
              <w:rPr/>
              <w:t xml:space="preserve">Time-series </w:t>
            </w:r>
            <w:r>
              <w:rPr>
                <w:rStyle w:val="SourceText"/>
              </w:rPr>
              <w:t>hours</w:t>
            </w:r>
          </w:p>
        </w:tc>
        <w:tc>
          <w:tcPr>
            <w:tcW w:w="1186" w:type="dxa"/>
            <w:tcBorders/>
            <w:vAlign w:val="center"/>
          </w:tcPr>
          <w:p>
            <w:pPr>
              <w:pStyle w:val="TableContents"/>
              <w:bidi w:val="0"/>
              <w:spacing w:before="0" w:after="140"/>
              <w:jc w:val="left"/>
              <w:rPr/>
            </w:pPr>
            <w:r>
              <w:rPr/>
              <w:t>635</w:t>
            </w:r>
          </w:p>
        </w:tc>
        <w:tc>
          <w:tcPr>
            <w:tcW w:w="896" w:type="dxa"/>
            <w:tcBorders/>
            <w:vAlign w:val="center"/>
          </w:tcPr>
          <w:p>
            <w:pPr>
              <w:pStyle w:val="TableContents"/>
              <w:bidi w:val="0"/>
              <w:spacing w:before="0" w:after="140"/>
              <w:jc w:val="left"/>
              <w:rPr/>
            </w:pPr>
            <w:r>
              <w:rPr/>
              <w:t>1,724</w:t>
            </w:r>
          </w:p>
        </w:tc>
        <w:tc>
          <w:tcPr>
            <w:tcW w:w="1203" w:type="dxa"/>
            <w:tcBorders/>
            <w:vAlign w:val="center"/>
          </w:tcPr>
          <w:p>
            <w:pPr>
              <w:pStyle w:val="TableContents"/>
              <w:bidi w:val="0"/>
              <w:spacing w:before="0" w:after="140"/>
              <w:jc w:val="left"/>
              <w:rPr/>
            </w:pPr>
            <w:r>
              <w:rPr/>
              <w:t>244</w:t>
            </w:r>
          </w:p>
        </w:tc>
        <w:tc>
          <w:tcPr>
            <w:tcW w:w="1333" w:type="dxa"/>
            <w:tcBorders/>
            <w:vAlign w:val="center"/>
          </w:tcPr>
          <w:p>
            <w:pPr>
              <w:pStyle w:val="TableContents"/>
              <w:bidi w:val="0"/>
              <w:spacing w:before="0" w:after="140"/>
              <w:jc w:val="left"/>
              <w:rPr/>
            </w:pPr>
            <w:r>
              <w:rPr/>
              <w:t>1, 0.8</w:t>
            </w:r>
          </w:p>
        </w:tc>
        <w:tc>
          <w:tcPr>
            <w:tcW w:w="1228" w:type="dxa"/>
            <w:tcBorders/>
            <w:vAlign w:val="center"/>
          </w:tcPr>
          <w:p>
            <w:pPr>
              <w:pStyle w:val="TableContents"/>
              <w:bidi w:val="0"/>
              <w:spacing w:before="0" w:after="140"/>
              <w:jc w:val="left"/>
              <w:rPr/>
            </w:pPr>
            <w:r>
              <w:rPr/>
              <w:t>21, 2.9</w:t>
            </w:r>
          </w:p>
        </w:tc>
        <w:tc>
          <w:tcPr>
            <w:tcW w:w="1900" w:type="dxa"/>
            <w:tcBorders/>
            <w:vAlign w:val="center"/>
          </w:tcPr>
          <w:p>
            <w:pPr>
              <w:pStyle w:val="TableContents"/>
              <w:bidi w:val="0"/>
              <w:spacing w:before="0" w:after="140"/>
              <w:jc w:val="left"/>
              <w:rPr/>
            </w:pPr>
            <w:r>
              <w:rPr/>
              <w:t>0.8</w:t>
            </w:r>
          </w:p>
        </w:tc>
      </w:tr>
    </w:tbl>
    <w:p>
      <w:pPr>
        <w:pStyle w:val="TextBodycaption"/>
        <w:bidi w:val="0"/>
        <w:spacing w:before="0" w:after="200"/>
        <w:jc w:val="left"/>
        <w:rPr/>
      </w:pPr>
      <w:r>
        <w:rPr/>
        <w:t>"Units read" means buckets examined for time-series collections and documents examined for the plain collection.</w:t>
      </w:r>
    </w:p>
    <w:p>
      <w:pPr>
        <w:pStyle w:val="TextBody"/>
        <w:bidi w:val="0"/>
        <w:spacing w:before="0" w:after="140"/>
        <w:jc w:val="both"/>
        <w:rPr/>
      </w:pPr>
      <w:r>
        <w:rPr/>
        <w:drawing>
          <wp:inline distT="0" distB="0" distL="0" distR="0">
            <wp:extent cx="5715000" cy="18859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715000" cy="1885950"/>
                    </a:xfrm>
                    <a:prstGeom prst="rect">
                      <a:avLst/>
                    </a:prstGeom>
                  </pic:spPr>
                </pic:pic>
              </a:graphicData>
            </a:graphic>
          </wp:inline>
        </w:drawing>
      </w:r>
      <w:r>
        <w:rPr/>
        <w:t xml:space="preserve">Figure 5: Storage for the same events under four designs. The chosen 'minutes' granularity uses 3.6 MB against 26.2 MB for a plain collection. </w:t>
      </w:r>
    </w:p>
    <w:p>
      <w:pPr>
        <w:pStyle w:val="TextBody"/>
        <w:bidi w:val="0"/>
        <w:spacing w:before="0" w:after="140"/>
        <w:jc w:val="both"/>
        <w:rPr/>
      </w:pPr>
      <w:r>
        <w:rPr>
          <w:rStyle w:val="StrongEmphasis"/>
        </w:rPr>
        <w:t>Findings:</w:t>
      </w:r>
    </w:p>
    <w:p>
      <w:pPr>
        <w:pStyle w:val="TextBody"/>
        <w:numPr>
          <w:ilvl w:val="0"/>
          <w:numId w:val="19"/>
        </w:numPr>
        <w:tabs>
          <w:tab w:val="clear" w:pos="1134"/>
          <w:tab w:val="left" w:pos="709" w:leader="none"/>
        </w:tabs>
        <w:bidi w:val="0"/>
        <w:spacing w:before="0" w:after="0"/>
        <w:ind w:left="709" w:hanging="283"/>
        <w:rPr/>
      </w:pPr>
      <w:r>
        <w:rPr>
          <w:rStyle w:val="StrongEmphasis"/>
        </w:rPr>
        <w:t>Time-series beats a plain collection.</w:t>
      </w:r>
      <w:r>
        <w:rPr/>
        <w:t xml:space="preserve"> It is 1.4× smaller with </w:t>
      </w:r>
      <w:r>
        <w:rPr>
          <w:rStyle w:val="SourceText"/>
        </w:rPr>
        <w:t>seconds</w:t>
      </w:r>
      <w:r>
        <w:rPr/>
        <w:t xml:space="preserve"> and about 7× smaller with </w:t>
      </w:r>
      <w:r>
        <w:rPr>
          <w:rStyle w:val="SourceText"/>
        </w:rPr>
        <w:t>minutes</w:t>
      </w:r>
      <w:r>
        <w:rPr/>
        <w:t xml:space="preserve">. </w:t>
      </w:r>
    </w:p>
    <w:p>
      <w:pPr>
        <w:pStyle w:val="TextBody"/>
        <w:numPr>
          <w:ilvl w:val="0"/>
          <w:numId w:val="19"/>
        </w:numPr>
        <w:tabs>
          <w:tab w:val="clear" w:pos="1134"/>
          <w:tab w:val="left" w:pos="709" w:leader="none"/>
        </w:tabs>
        <w:bidi w:val="0"/>
        <w:spacing w:before="0" w:after="0"/>
        <w:ind w:left="709" w:hanging="283"/>
        <w:rPr/>
      </w:pPr>
      <w:r>
        <w:rPr>
          <w:rStyle w:val="StrongEmphasis"/>
        </w:rPr>
        <w:t>Granularity matters more than the choice of time-series itself.</w:t>
      </w:r>
      <w:r>
        <w:rPr/>
        <w:t xml:space="preserve"> Moving from </w:t>
      </w:r>
      <w:r>
        <w:rPr>
          <w:rStyle w:val="SourceText"/>
        </w:rPr>
        <w:t>seconds</w:t>
      </w:r>
      <w:r>
        <w:rPr/>
        <w:t xml:space="preserve"> to </w:t>
      </w:r>
      <w:r>
        <w:rPr>
          <w:rStyle w:val="SourceText"/>
        </w:rPr>
        <w:t>minutes</w:t>
      </w:r>
      <w:r>
        <w:rPr/>
        <w:t xml:space="preserve"> gives buckets of up to 24 hours per device. That cut buckets by 88% and total storage by 81%, and reduced the buckets read for a one-device, one-day query from 24 to 2. </w:t>
      </w:r>
    </w:p>
    <w:p>
      <w:pPr>
        <w:pStyle w:val="TextBody"/>
        <w:numPr>
          <w:ilvl w:val="0"/>
          <w:numId w:val="19"/>
        </w:numPr>
        <w:tabs>
          <w:tab w:val="clear" w:pos="1134"/>
          <w:tab w:val="left" w:pos="709" w:leader="none"/>
        </w:tabs>
        <w:bidi w:val="0"/>
        <w:spacing w:before="0" w:after="0"/>
        <w:ind w:left="709" w:hanging="283"/>
        <w:rPr/>
      </w:pPr>
      <w:r>
        <w:rPr>
          <w:rStyle w:val="SourceText"/>
        </w:rPr>
        <w:t>hours</w:t>
      </w:r>
      <w:r>
        <w:rPr>
          <w:rStyle w:val="StrongEmphasis"/>
        </w:rPr>
        <w:t xml:space="preserve"> is not better despite being smallest.</w:t>
      </w:r>
      <w:r>
        <w:rPr/>
        <w:t xml:space="preserve"> Its buckets can span up to 30 days, so a query for one day of a whole home must decompress much more data than it returns. The home/day query was the slowest of the time-series variants (2.9 ms), and the gap would widen with more data. </w:t>
      </w:r>
    </w:p>
    <w:p>
      <w:pPr>
        <w:pStyle w:val="TextBody"/>
        <w:numPr>
          <w:ilvl w:val="0"/>
          <w:numId w:val="19"/>
        </w:numPr>
        <w:tabs>
          <w:tab w:val="clear" w:pos="1134"/>
          <w:tab w:val="left" w:pos="709" w:leader="none"/>
        </w:tabs>
        <w:bidi w:val="0"/>
        <w:ind w:left="709" w:hanging="283"/>
        <w:rPr/>
      </w:pPr>
      <w:r>
        <w:rPr>
          <w:rStyle w:val="StrongEmphasis"/>
        </w:rPr>
        <w:t>Query times are similar at this scale.</w:t>
      </w:r>
      <w:r>
        <w:rPr/>
        <w:t xml:space="preserve"> They all sit between 0.8 and 2.9 ms, so storage and I/O efficiency, which grow with data volume, are the deciding factors. </w:t>
      </w:r>
    </w:p>
    <w:p>
      <w:pPr>
        <w:pStyle w:val="TextBody"/>
        <w:bidi w:val="0"/>
        <w:rPr/>
      </w:pPr>
      <w:r>
        <w:rPr>
          <w:rStyle w:val="StrongEmphasis"/>
        </w:rPr>
        <w:t>Decision:</w:t>
      </w:r>
      <w:r>
        <w:rPr/>
        <w:t xml:space="preserve"> the schema was changed to granularity </w:t>
      </w:r>
      <w:r>
        <w:rPr>
          <w:rStyle w:val="SourceText"/>
        </w:rPr>
        <w:t>minutes</w:t>
      </w:r>
      <w:r>
        <w:rPr/>
        <w:t xml:space="preserve">, the recommended setting for data arriving roughly once a minute or less often. On the </w:t>
      </w:r>
      <w:r>
        <w:rPr>
          <w:rStyle w:val="StrongEmphasis"/>
        </w:rPr>
        <w:t>live</w:t>
      </w:r>
      <w:r>
        <w:rPr/>
        <w:t xml:space="preserve"> collection, which is built by thousands of incremental inserts rather than one bulk copy, the change reduced storage from </w:t>
      </w:r>
      <w:r>
        <w:rPr>
          <w:rStyle w:val="StrongEmphasis"/>
        </w:rPr>
        <w:t>131.2 MB (39.2 MB data + 95.1 MB indexes) to 5.8 MB (2.4 MB + 3.6 MB)</w:t>
      </w:r>
      <w:r>
        <w:rPr/>
        <w:t>, a 22-fold reduction. That is about 21 bytes per event including indexes.</w:t>
      </w:r>
    </w:p>
    <w:p>
      <w:pPr>
        <w:pStyle w:val="Heading4"/>
        <w:bidi w:val="0"/>
        <w:jc w:val="left"/>
        <w:rPr/>
      </w:pPr>
      <w:r>
        <w:rPr/>
        <w:t>4.10.2 Ingest throughput, and a defect found by testing</w:t>
      </w:r>
    </w:p>
    <w:p>
      <w:pPr>
        <w:pStyle w:val="TextBody"/>
        <w:bidi w:val="0"/>
        <w:spacing w:before="0" w:after="140"/>
        <w:jc w:val="both"/>
        <w:rPr/>
      </w:pPr>
      <w:r>
        <w:rPr>
          <w:rStyle w:val="SourceText"/>
        </w:rPr>
        <w:t>scripts/load-test.js</w:t>
      </w:r>
      <w:r>
        <w:rPr/>
        <w:t xml:space="preserve"> publishes a burst of </w:t>
      </w:r>
      <w:r>
        <w:rPr>
          <w:rStyle w:val="Emphasis"/>
        </w:rPr>
        <w:t>N</w:t>
      </w:r>
      <w:r>
        <w:rPr/>
        <w:t xml:space="preserve"> valid temperature readings as fast as possible. It then counts how many reach MongoDB, and how quickly, with majority write concern.</w:t>
      </w:r>
    </w:p>
    <w:p>
      <w:pPr>
        <w:pStyle w:val="TextBody"/>
        <w:bidi w:val="0"/>
        <w:spacing w:before="0" w:after="140"/>
        <w:jc w:val="both"/>
        <w:rPr/>
      </w:pPr>
      <w:r>
        <w:rPr>
          <w:rStyle w:val="StrongEmphasis"/>
        </w:rPr>
        <w:t>First run (broker at default settings):</w:t>
      </w:r>
    </w:p>
    <w:tbl>
      <w:tblPr>
        <w:tblW w:w="6468" w:type="dxa"/>
        <w:jc w:val="left"/>
        <w:tblInd w:w="0" w:type="dxa"/>
        <w:tblLayout w:type="fixed"/>
        <w:tblCellMar>
          <w:top w:w="28" w:type="dxa"/>
          <w:left w:w="28" w:type="dxa"/>
          <w:bottom w:w="28" w:type="dxa"/>
          <w:right w:w="28" w:type="dxa"/>
        </w:tblCellMar>
      </w:tblPr>
      <w:tblGrid>
        <w:gridCol w:w="2851"/>
        <w:gridCol w:w="2716"/>
        <w:gridCol w:w="901"/>
      </w:tblGrid>
      <w:tr>
        <w:trPr>
          <w:tblHeader w:val="true"/>
        </w:trPr>
        <w:tc>
          <w:tcPr>
            <w:tcW w:w="2851" w:type="dxa"/>
            <w:tcBorders/>
            <w:vAlign w:val="center"/>
          </w:tcPr>
          <w:p>
            <w:pPr>
              <w:pStyle w:val="TableHeading"/>
              <w:suppressLineNumbers/>
              <w:shd w:fill="0D3B66" w:val="clear"/>
              <w:bidi w:val="0"/>
              <w:spacing w:before="0" w:after="140"/>
              <w:jc w:val="left"/>
              <w:rPr/>
            </w:pPr>
            <w:r>
              <w:rPr/>
              <w:t>Messages published</w:t>
            </w:r>
          </w:p>
        </w:tc>
        <w:tc>
          <w:tcPr>
            <w:tcW w:w="2716" w:type="dxa"/>
            <w:tcBorders/>
            <w:vAlign w:val="center"/>
          </w:tcPr>
          <w:p>
            <w:pPr>
              <w:pStyle w:val="TableHeading"/>
              <w:suppressLineNumbers/>
              <w:shd w:fill="0D3B66" w:val="clear"/>
              <w:bidi w:val="0"/>
              <w:spacing w:before="0" w:after="140"/>
              <w:jc w:val="left"/>
              <w:rPr/>
            </w:pPr>
            <w:r>
              <w:rPr/>
              <w:t>Stored in MongoDB</w:t>
            </w:r>
          </w:p>
        </w:tc>
        <w:tc>
          <w:tcPr>
            <w:tcW w:w="901" w:type="dxa"/>
            <w:tcBorders/>
            <w:vAlign w:val="center"/>
          </w:tcPr>
          <w:p>
            <w:pPr>
              <w:pStyle w:val="TableHeading"/>
              <w:suppressLineNumbers/>
              <w:shd w:fill="0D3B66" w:val="clear"/>
              <w:bidi w:val="0"/>
              <w:spacing w:before="0" w:after="140"/>
              <w:jc w:val="left"/>
              <w:rPr/>
            </w:pPr>
            <w:r>
              <w:rPr/>
              <w:t>Loss</w:t>
            </w:r>
          </w:p>
        </w:tc>
      </w:tr>
      <w:tr>
        <w:trPr/>
        <w:tc>
          <w:tcPr>
            <w:tcW w:w="2851" w:type="dxa"/>
            <w:tcBorders/>
            <w:vAlign w:val="center"/>
          </w:tcPr>
          <w:p>
            <w:pPr>
              <w:pStyle w:val="TableContents"/>
              <w:bidi w:val="0"/>
              <w:spacing w:before="0" w:after="140"/>
              <w:jc w:val="left"/>
              <w:rPr/>
            </w:pPr>
            <w:r>
              <w:rPr/>
              <w:t>20,000</w:t>
            </w:r>
          </w:p>
        </w:tc>
        <w:tc>
          <w:tcPr>
            <w:tcW w:w="2716" w:type="dxa"/>
            <w:tcBorders/>
            <w:vAlign w:val="center"/>
          </w:tcPr>
          <w:p>
            <w:pPr>
              <w:pStyle w:val="TableContents"/>
              <w:bidi w:val="0"/>
              <w:spacing w:before="0" w:after="140"/>
              <w:jc w:val="left"/>
              <w:rPr/>
            </w:pPr>
            <w:r>
              <w:rPr/>
              <w:t>1,446</w:t>
            </w:r>
          </w:p>
        </w:tc>
        <w:tc>
          <w:tcPr>
            <w:tcW w:w="901" w:type="dxa"/>
            <w:tcBorders/>
            <w:vAlign w:val="center"/>
          </w:tcPr>
          <w:p>
            <w:pPr>
              <w:pStyle w:val="TableContents"/>
              <w:bidi w:val="0"/>
              <w:spacing w:before="0" w:after="140"/>
              <w:jc w:val="left"/>
              <w:rPr/>
            </w:pPr>
            <w:r>
              <w:rPr/>
              <w:t>92.8%</w:t>
            </w:r>
          </w:p>
        </w:tc>
      </w:tr>
      <w:tr>
        <w:trPr/>
        <w:tc>
          <w:tcPr>
            <w:tcW w:w="2851" w:type="dxa"/>
            <w:tcBorders/>
            <w:vAlign w:val="center"/>
          </w:tcPr>
          <w:p>
            <w:pPr>
              <w:pStyle w:val="TableContents"/>
              <w:bidi w:val="0"/>
              <w:spacing w:before="0" w:after="140"/>
              <w:jc w:val="left"/>
              <w:rPr/>
            </w:pPr>
            <w:r>
              <w:rPr/>
              <w:t>50,000</w:t>
            </w:r>
          </w:p>
        </w:tc>
        <w:tc>
          <w:tcPr>
            <w:tcW w:w="2716" w:type="dxa"/>
            <w:tcBorders/>
            <w:vAlign w:val="center"/>
          </w:tcPr>
          <w:p>
            <w:pPr>
              <w:pStyle w:val="TableContents"/>
              <w:bidi w:val="0"/>
              <w:spacing w:before="0" w:after="140"/>
              <w:jc w:val="left"/>
              <w:rPr/>
            </w:pPr>
            <w:r>
              <w:rPr/>
              <w:t>5,619</w:t>
            </w:r>
          </w:p>
        </w:tc>
        <w:tc>
          <w:tcPr>
            <w:tcW w:w="901" w:type="dxa"/>
            <w:tcBorders/>
            <w:vAlign w:val="center"/>
          </w:tcPr>
          <w:p>
            <w:pPr>
              <w:pStyle w:val="TableContents"/>
              <w:bidi w:val="0"/>
              <w:spacing w:before="0" w:after="140"/>
              <w:jc w:val="left"/>
              <w:rPr/>
            </w:pPr>
            <w:r>
              <w:rPr/>
              <w:t>88.8%</w:t>
            </w:r>
          </w:p>
        </w:tc>
      </w:tr>
    </w:tbl>
    <w:p>
      <w:pPr>
        <w:pStyle w:val="TextBody"/>
        <w:bidi w:val="0"/>
        <w:spacing w:before="0" w:after="140"/>
        <w:jc w:val="both"/>
        <w:rPr/>
      </w:pPr>
      <w:r>
        <w:rPr/>
        <w:t xml:space="preserve">The ingest service had stored </w:t>
      </w:r>
      <w:r>
        <w:rPr>
          <w:rStyle w:val="StrongEmphasis"/>
        </w:rPr>
        <w:t>every</w:t>
      </w:r>
      <w:r>
        <w:rPr/>
        <w:t xml:space="preserve"> message it received, so the loss was upstream. The broker log showed: </w:t>
      </w:r>
      <w:r>
        <w:rPr>
          <w:rStyle w:val="SourceText"/>
        </w:rPr>
        <w:t>Outgoing messages are being dropped for client iothings-ingest-1</w:t>
      </w:r>
      <w:r>
        <w:rPr/>
        <w:t xml:space="preserve">. By default, Mosquitto allows 20 unacknowledged messages in flight per client and queues at most 1,000 more. Anything beyond that is </w:t>
      </w:r>
      <w:r>
        <w:rPr>
          <w:rStyle w:val="StrongEmphasis"/>
        </w:rPr>
        <w:t>silently discarded</w:t>
      </w:r>
      <w:r>
        <w:rPr/>
        <w:t xml:space="preserve">. A burst of this kind is realistic, for example when many gateways reconnect after a network outage and flush their buffers. The broker was reconfigured with </w:t>
      </w:r>
      <w:r>
        <w:rPr>
          <w:rStyle w:val="SourceText"/>
        </w:rPr>
        <w:t>max_inflight_messages 500</w:t>
      </w:r>
      <w:r>
        <w:rPr/>
        <w:t xml:space="preserve"> and </w:t>
      </w:r>
      <w:r>
        <w:rPr>
          <w:rStyle w:val="SourceText"/>
        </w:rPr>
        <w:t>max_queued_messages 200000</w:t>
      </w:r>
      <w:r>
        <w:rPr/>
        <w:t>, so bursts are queued rather than lost. A second, smaller defect was found in the load-test tool itself. MQTT packet identifiers are 16-bit, so one client cannot have more than 65,535 unacknowledged QoS 1 messages, and the tool now publishes in windows of 5,000.</w:t>
      </w:r>
    </w:p>
    <w:p>
      <w:pPr>
        <w:pStyle w:val="TextBody"/>
        <w:bidi w:val="0"/>
        <w:spacing w:before="0" w:after="140"/>
        <w:jc w:val="both"/>
        <w:rPr/>
      </w:pPr>
      <w:r>
        <w:rPr>
          <w:rStyle w:val="StrongEmphasis"/>
        </w:rPr>
        <w:t>After the fix:</w:t>
      </w:r>
    </w:p>
    <w:p>
      <w:pPr>
        <w:pStyle w:val="TextBody"/>
        <w:bidi w:val="0"/>
        <w:spacing w:before="0" w:after="140"/>
        <w:jc w:val="both"/>
        <w:rPr/>
      </w:pPr>
      <w:r>
        <w:rPr>
          <w:rStyle w:val="StrongEmphasis"/>
        </w:rPr>
        <w:t xml:space="preserve">Table 9: End-to-end ingest throughput (publish → broker → validation → </w:t>
      </w:r>
      <w:r>
        <w:rPr>
          <w:rStyle w:val="SourceText"/>
        </w:rPr>
        <w:t>insertMany</w:t>
      </w:r>
      <w:r>
        <w:rPr>
          <w:rStyle w:val="StrongEmphasis"/>
        </w:rPr>
        <w:t xml:space="preserve">, </w:t>
      </w:r>
      <w:r>
        <w:rPr>
          <w:rStyle w:val="SourceText"/>
        </w:rPr>
        <w:t>w: majority</w:t>
      </w:r>
      <w:r>
        <w:rPr>
          <w:rStyle w:val="StrongEmphasis"/>
        </w:rPr>
        <w:t>)</w:t>
      </w:r>
    </w:p>
    <w:tbl>
      <w:tblPr>
        <w:tblW w:w="8119" w:type="dxa"/>
        <w:jc w:val="left"/>
        <w:tblInd w:w="0" w:type="dxa"/>
        <w:tblLayout w:type="fixed"/>
        <w:tblCellMar>
          <w:top w:w="28" w:type="dxa"/>
          <w:left w:w="28" w:type="dxa"/>
          <w:bottom w:w="28" w:type="dxa"/>
          <w:right w:w="28" w:type="dxa"/>
        </w:tblCellMar>
      </w:tblPr>
      <w:tblGrid>
        <w:gridCol w:w="1471"/>
        <w:gridCol w:w="2011"/>
        <w:gridCol w:w="1471"/>
        <w:gridCol w:w="3166"/>
      </w:tblGrid>
      <w:tr>
        <w:trPr>
          <w:tblHeader w:val="true"/>
        </w:trPr>
        <w:tc>
          <w:tcPr>
            <w:tcW w:w="1471" w:type="dxa"/>
            <w:tcBorders/>
            <w:vAlign w:val="center"/>
          </w:tcPr>
          <w:p>
            <w:pPr>
              <w:pStyle w:val="TableHeading"/>
              <w:suppressLineNumbers/>
              <w:shd w:fill="0D3B66" w:val="clear"/>
              <w:bidi w:val="0"/>
              <w:spacing w:before="0" w:after="140"/>
              <w:jc w:val="left"/>
              <w:rPr/>
            </w:pPr>
            <w:r>
              <w:rPr/>
              <w:t>Burst size</w:t>
            </w:r>
          </w:p>
        </w:tc>
        <w:tc>
          <w:tcPr>
            <w:tcW w:w="2011" w:type="dxa"/>
            <w:tcBorders/>
            <w:vAlign w:val="center"/>
          </w:tcPr>
          <w:p>
            <w:pPr>
              <w:pStyle w:val="TableHeading"/>
              <w:suppressLineNumbers/>
              <w:shd w:fill="0D3B66" w:val="clear"/>
              <w:bidi w:val="0"/>
              <w:spacing w:before="0" w:after="140"/>
              <w:jc w:val="left"/>
              <w:rPr/>
            </w:pPr>
            <w:r>
              <w:rPr/>
              <w:t>Stored</w:t>
            </w:r>
          </w:p>
        </w:tc>
        <w:tc>
          <w:tcPr>
            <w:tcW w:w="1471" w:type="dxa"/>
            <w:tcBorders/>
            <w:vAlign w:val="center"/>
          </w:tcPr>
          <w:p>
            <w:pPr>
              <w:pStyle w:val="TableHeading"/>
              <w:suppressLineNumbers/>
              <w:shd w:fill="0D3B66" w:val="clear"/>
              <w:bidi w:val="0"/>
              <w:spacing w:before="0" w:after="140"/>
              <w:jc w:val="left"/>
              <w:rPr/>
            </w:pPr>
            <w:r>
              <w:rPr/>
              <w:t>Time (ms)</w:t>
            </w:r>
          </w:p>
        </w:tc>
        <w:tc>
          <w:tcPr>
            <w:tcW w:w="3166" w:type="dxa"/>
            <w:tcBorders/>
            <w:vAlign w:val="center"/>
          </w:tcPr>
          <w:p>
            <w:pPr>
              <w:pStyle w:val="TableHeading"/>
              <w:suppressLineNumbers/>
              <w:shd w:fill="0D3B66" w:val="clear"/>
              <w:bidi w:val="0"/>
              <w:spacing w:before="0" w:after="140"/>
              <w:jc w:val="left"/>
              <w:rPr/>
            </w:pPr>
            <w:r>
              <w:rPr/>
              <w:t>Throughput (events/s)</w:t>
            </w:r>
          </w:p>
        </w:tc>
      </w:tr>
      <w:tr>
        <w:trPr/>
        <w:tc>
          <w:tcPr>
            <w:tcW w:w="1471" w:type="dxa"/>
            <w:tcBorders/>
            <w:vAlign w:val="center"/>
          </w:tcPr>
          <w:p>
            <w:pPr>
              <w:pStyle w:val="TableContents"/>
              <w:bidi w:val="0"/>
              <w:spacing w:before="0" w:after="140"/>
              <w:jc w:val="left"/>
              <w:rPr/>
            </w:pPr>
            <w:r>
              <w:rPr/>
              <w:t>20,000</w:t>
            </w:r>
          </w:p>
        </w:tc>
        <w:tc>
          <w:tcPr>
            <w:tcW w:w="2011" w:type="dxa"/>
            <w:tcBorders/>
            <w:vAlign w:val="center"/>
          </w:tcPr>
          <w:p>
            <w:pPr>
              <w:pStyle w:val="TableContents"/>
              <w:bidi w:val="0"/>
              <w:spacing w:before="0" w:after="140"/>
              <w:jc w:val="left"/>
              <w:rPr/>
            </w:pPr>
            <w:r>
              <w:rPr/>
              <w:t>20,000 (100%)</w:t>
            </w:r>
          </w:p>
        </w:tc>
        <w:tc>
          <w:tcPr>
            <w:tcW w:w="1471" w:type="dxa"/>
            <w:tcBorders/>
            <w:vAlign w:val="center"/>
          </w:tcPr>
          <w:p>
            <w:pPr>
              <w:pStyle w:val="TableContents"/>
              <w:bidi w:val="0"/>
              <w:spacing w:before="0" w:after="140"/>
              <w:jc w:val="left"/>
              <w:rPr/>
            </w:pPr>
            <w:r>
              <w:rPr/>
              <w:t>869</w:t>
            </w:r>
          </w:p>
        </w:tc>
        <w:tc>
          <w:tcPr>
            <w:tcW w:w="3166" w:type="dxa"/>
            <w:tcBorders/>
            <w:vAlign w:val="center"/>
          </w:tcPr>
          <w:p>
            <w:pPr>
              <w:pStyle w:val="TableContents"/>
              <w:bidi w:val="0"/>
              <w:spacing w:before="0" w:after="140"/>
              <w:jc w:val="left"/>
              <w:rPr/>
            </w:pPr>
            <w:r>
              <w:rPr/>
              <w:t>23,015</w:t>
            </w:r>
          </w:p>
        </w:tc>
      </w:tr>
      <w:tr>
        <w:trPr/>
        <w:tc>
          <w:tcPr>
            <w:tcW w:w="1471" w:type="dxa"/>
            <w:tcBorders/>
            <w:vAlign w:val="center"/>
          </w:tcPr>
          <w:p>
            <w:pPr>
              <w:pStyle w:val="TableContents"/>
              <w:bidi w:val="0"/>
              <w:spacing w:before="0" w:after="140"/>
              <w:jc w:val="left"/>
              <w:rPr/>
            </w:pPr>
            <w:r>
              <w:rPr/>
              <w:t>50,000</w:t>
            </w:r>
          </w:p>
        </w:tc>
        <w:tc>
          <w:tcPr>
            <w:tcW w:w="2011" w:type="dxa"/>
            <w:tcBorders/>
            <w:vAlign w:val="center"/>
          </w:tcPr>
          <w:p>
            <w:pPr>
              <w:pStyle w:val="TableContents"/>
              <w:bidi w:val="0"/>
              <w:spacing w:before="0" w:after="140"/>
              <w:jc w:val="left"/>
              <w:rPr/>
            </w:pPr>
            <w:r>
              <w:rPr/>
              <w:t>50,000 (100%)</w:t>
            </w:r>
          </w:p>
        </w:tc>
        <w:tc>
          <w:tcPr>
            <w:tcW w:w="1471" w:type="dxa"/>
            <w:tcBorders/>
            <w:vAlign w:val="center"/>
          </w:tcPr>
          <w:p>
            <w:pPr>
              <w:pStyle w:val="TableContents"/>
              <w:bidi w:val="0"/>
              <w:spacing w:before="0" w:after="140"/>
              <w:jc w:val="left"/>
              <w:rPr/>
            </w:pPr>
            <w:r>
              <w:rPr/>
              <w:t>1,385</w:t>
            </w:r>
          </w:p>
        </w:tc>
        <w:tc>
          <w:tcPr>
            <w:tcW w:w="3166" w:type="dxa"/>
            <w:tcBorders/>
            <w:vAlign w:val="center"/>
          </w:tcPr>
          <w:p>
            <w:pPr>
              <w:pStyle w:val="TableContents"/>
              <w:bidi w:val="0"/>
              <w:spacing w:before="0" w:after="140"/>
              <w:jc w:val="left"/>
              <w:rPr/>
            </w:pPr>
            <w:r>
              <w:rPr/>
              <w:t>36,101</w:t>
            </w:r>
          </w:p>
        </w:tc>
      </w:tr>
      <w:tr>
        <w:trPr/>
        <w:tc>
          <w:tcPr>
            <w:tcW w:w="1471" w:type="dxa"/>
            <w:tcBorders/>
            <w:vAlign w:val="center"/>
          </w:tcPr>
          <w:p>
            <w:pPr>
              <w:pStyle w:val="TableContents"/>
              <w:bidi w:val="0"/>
              <w:spacing w:before="0" w:after="140"/>
              <w:jc w:val="left"/>
              <w:rPr/>
            </w:pPr>
            <w:r>
              <w:rPr/>
              <w:t>100,000</w:t>
            </w:r>
          </w:p>
        </w:tc>
        <w:tc>
          <w:tcPr>
            <w:tcW w:w="2011" w:type="dxa"/>
            <w:tcBorders/>
            <w:vAlign w:val="center"/>
          </w:tcPr>
          <w:p>
            <w:pPr>
              <w:pStyle w:val="TableContents"/>
              <w:bidi w:val="0"/>
              <w:spacing w:before="0" w:after="140"/>
              <w:jc w:val="left"/>
              <w:rPr/>
            </w:pPr>
            <w:r>
              <w:rPr/>
              <w:t>100,000 (100%)</w:t>
            </w:r>
          </w:p>
        </w:tc>
        <w:tc>
          <w:tcPr>
            <w:tcW w:w="1471" w:type="dxa"/>
            <w:tcBorders/>
            <w:vAlign w:val="center"/>
          </w:tcPr>
          <w:p>
            <w:pPr>
              <w:pStyle w:val="TableContents"/>
              <w:bidi w:val="0"/>
              <w:spacing w:before="0" w:after="140"/>
              <w:jc w:val="left"/>
              <w:rPr/>
            </w:pPr>
            <w:r>
              <w:rPr/>
              <w:t>2,110</w:t>
            </w:r>
          </w:p>
        </w:tc>
        <w:tc>
          <w:tcPr>
            <w:tcW w:w="3166" w:type="dxa"/>
            <w:tcBorders/>
            <w:vAlign w:val="center"/>
          </w:tcPr>
          <w:p>
            <w:pPr>
              <w:pStyle w:val="TableContents"/>
              <w:bidi w:val="0"/>
              <w:spacing w:before="0" w:after="140"/>
              <w:jc w:val="left"/>
              <w:rPr/>
            </w:pPr>
            <w:r>
              <w:rPr>
                <w:rStyle w:val="StrongEmphasis"/>
              </w:rPr>
              <w:t>47,393</w:t>
            </w:r>
          </w:p>
        </w:tc>
      </w:tr>
    </w:tbl>
    <w:p>
      <w:pPr>
        <w:pStyle w:val="TextBody"/>
        <w:bidi w:val="0"/>
        <w:spacing w:before="0" w:after="140"/>
        <w:jc w:val="both"/>
        <w:rPr/>
      </w:pPr>
      <w:r>
        <w:rPr/>
        <w:t>Throughput rises with burst size because fixed start-up costs are spread over more messages, and full 500-event batches become the norm.</w:t>
      </w:r>
    </w:p>
    <w:p>
      <w:pPr>
        <w:pStyle w:val="Heading4"/>
        <w:bidi w:val="0"/>
        <w:jc w:val="left"/>
        <w:rPr/>
      </w:pPr>
      <w:r>
        <w:rPr/>
        <w:t>4.10.3 Capacity estimate for IoThings</w:t>
      </w:r>
    </w:p>
    <w:p>
      <w:pPr>
        <w:pStyle w:val="TextBody"/>
        <w:bidi w:val="0"/>
        <w:spacing w:before="0" w:after="140"/>
        <w:jc w:val="both"/>
        <w:rPr/>
      </w:pPr>
      <w:r>
        <w:rPr/>
        <w:t xml:space="preserve">The simulated homes average about 483 events per day. For a customer base of </w:t>
      </w:r>
      <w:r>
        <w:rPr>
          <w:rStyle w:val="StrongEmphasis"/>
        </w:rPr>
        <w:t>10,000 homes</w:t>
      </w:r>
      <w:r>
        <w:rPr/>
        <w:t>, that would be 4.8 million events per day:</w:t>
      </w:r>
    </w:p>
    <w:p>
      <w:pPr>
        <w:pStyle w:val="TextBody"/>
        <w:numPr>
          <w:ilvl w:val="0"/>
          <w:numId w:val="20"/>
        </w:numPr>
        <w:tabs>
          <w:tab w:val="clear" w:pos="1134"/>
          <w:tab w:val="left" w:pos="709" w:leader="none"/>
        </w:tabs>
        <w:bidi w:val="0"/>
        <w:spacing w:before="0" w:after="0"/>
        <w:ind w:left="709" w:hanging="283"/>
        <w:rPr/>
      </w:pPr>
      <w:r>
        <w:rPr>
          <w:rStyle w:val="StrongEmphasis"/>
        </w:rPr>
        <w:t>Throughput:</w:t>
      </w:r>
      <w:r>
        <w:rPr/>
        <w:t xml:space="preserve"> about 56 events per second on average. The measured capacity is roughly 800 times that, which leaves ample headroom for peaks. </w:t>
      </w:r>
    </w:p>
    <w:p>
      <w:pPr>
        <w:pStyle w:val="TextBody"/>
        <w:numPr>
          <w:ilvl w:val="0"/>
          <w:numId w:val="20"/>
        </w:numPr>
        <w:tabs>
          <w:tab w:val="clear" w:pos="1134"/>
          <w:tab w:val="left" w:pos="709" w:leader="none"/>
        </w:tabs>
        <w:bidi w:val="0"/>
        <w:ind w:left="709" w:hanging="283"/>
        <w:rPr/>
      </w:pPr>
      <w:r>
        <w:rPr>
          <w:rStyle w:val="StrongEmphasis"/>
        </w:rPr>
        <w:t>Storage:</w:t>
      </w:r>
      <w:r>
        <w:rPr/>
        <w:t xml:space="preserve"> at the measured 21 bytes per event, about 100 MB per day, 37 GB per year, and 75 GB at the 2-year retention limit, per replica. </w:t>
      </w:r>
    </w:p>
    <w:p>
      <w:pPr>
        <w:pStyle w:val="TextBody"/>
        <w:bidi w:val="0"/>
        <w:rPr/>
      </w:pPr>
      <w:r>
        <w:rPr/>
        <w:t xml:space="preserve">These are </w:t>
      </w:r>
      <w:r>
        <w:rPr>
          <w:rStyle w:val="StrongEmphasis"/>
        </w:rPr>
        <w:t>estimates</w:t>
      </w:r>
      <w:r>
        <w:rPr/>
        <w:t>. Synthetic readings are more regular than real ones and compress better, and all three members shared one physical host during testing. They nonetheless show that IoThings' foreseeable volumes are well within the capacity of a single replica set. Sharding (section 6.2) is only needed at a much larger scale.</w:t>
      </w:r>
    </w:p>
    <w:p>
      <w:pPr>
        <w:pStyle w:val="Heading2pb"/>
        <w:bidi w:val="0"/>
        <w:jc w:val="left"/>
        <w:rPr/>
      </w:pPr>
      <w:r>
        <w:rPr/>
        <w:t>5. API Implementation and Documentation</w:t>
      </w:r>
    </w:p>
    <w:p>
      <w:pPr>
        <w:pStyle w:val="Heading3"/>
        <w:bidi w:val="0"/>
        <w:jc w:val="left"/>
        <w:rPr/>
      </w:pPr>
      <w:r>
        <w:rPr/>
        <w:t>5.1 Design</w:t>
      </w:r>
    </w:p>
    <w:p>
      <w:pPr>
        <w:pStyle w:val="TextBody"/>
        <w:bidi w:val="0"/>
        <w:spacing w:before="0" w:after="140"/>
        <w:jc w:val="both"/>
        <w:rPr/>
      </w:pPr>
      <w:r>
        <w:rPr/>
        <w:t>The API (</w:t>
      </w:r>
      <w:r>
        <w:rPr>
          <w:rStyle w:val="SourceText"/>
        </w:rPr>
        <w:t>src/api/</w:t>
      </w:r>
      <w:r>
        <w:rPr/>
        <w:t>) is a REST service built with Express. Its design follows these principles:</w:t>
      </w:r>
    </w:p>
    <w:p>
      <w:pPr>
        <w:pStyle w:val="TextBody"/>
        <w:numPr>
          <w:ilvl w:val="0"/>
          <w:numId w:val="21"/>
        </w:numPr>
        <w:tabs>
          <w:tab w:val="clear" w:pos="1134"/>
          <w:tab w:val="left" w:pos="709" w:leader="none"/>
        </w:tabs>
        <w:bidi w:val="0"/>
        <w:spacing w:before="0" w:after="0"/>
        <w:ind w:left="709" w:hanging="283"/>
        <w:rPr/>
      </w:pPr>
      <w:r>
        <w:rPr>
          <w:rStyle w:val="StrongEmphasis"/>
        </w:rPr>
        <w:t>Resource-oriented and versioned:</w:t>
      </w:r>
      <w:r>
        <w:rPr/>
        <w:t xml:space="preserve"> all endpoints sit under </w:t>
      </w:r>
      <w:r>
        <w:rPr>
          <w:rStyle w:val="SourceText"/>
        </w:rPr>
        <w:t>/api/v1</w:t>
      </w:r>
      <w:r>
        <w:rPr/>
        <w:t xml:space="preserve">, so a future </w:t>
      </w:r>
      <w:r>
        <w:rPr>
          <w:rStyle w:val="SourceText"/>
        </w:rPr>
        <w:t>/api/v2</w:t>
      </w:r>
      <w:r>
        <w:rPr/>
        <w:t xml:space="preserve"> can change behaviour without breaking existing clients. </w:t>
      </w:r>
    </w:p>
    <w:p>
      <w:pPr>
        <w:pStyle w:val="TextBody"/>
        <w:numPr>
          <w:ilvl w:val="0"/>
          <w:numId w:val="21"/>
        </w:numPr>
        <w:tabs>
          <w:tab w:val="clear" w:pos="1134"/>
          <w:tab w:val="left" w:pos="709" w:leader="none"/>
        </w:tabs>
        <w:bidi w:val="0"/>
        <w:spacing w:before="0" w:after="0"/>
        <w:ind w:left="709" w:hanging="283"/>
        <w:rPr/>
      </w:pPr>
      <w:r>
        <w:rPr>
          <w:rStyle w:val="StrongEmphasis"/>
        </w:rPr>
        <w:t>JSON everywhere:</w:t>
      </w:r>
      <w:r>
        <w:rPr/>
        <w:t xml:space="preserve"> it accepts JSON bodies, returns JSON, and represents dates in ISO-8601. </w:t>
      </w:r>
    </w:p>
    <w:p>
      <w:pPr>
        <w:pStyle w:val="TextBody"/>
        <w:numPr>
          <w:ilvl w:val="0"/>
          <w:numId w:val="21"/>
        </w:numPr>
        <w:tabs>
          <w:tab w:val="clear" w:pos="1134"/>
          <w:tab w:val="left" w:pos="709" w:leader="none"/>
        </w:tabs>
        <w:bidi w:val="0"/>
        <w:spacing w:before="0" w:after="0"/>
        <w:ind w:left="709" w:hanging="283"/>
        <w:rPr/>
      </w:pPr>
      <w:r>
        <w:rPr>
          <w:rStyle w:val="StrongEmphasis"/>
        </w:rPr>
        <w:t>Self-documenting:</w:t>
      </w:r>
      <w:r>
        <w:rPr/>
        <w:t xml:space="preserve"> the full contract is written in OpenAPI 3.0 (</w:t>
      </w:r>
      <w:r>
        <w:rPr>
          <w:rStyle w:val="SourceText"/>
        </w:rPr>
        <w:t>openapi.yaml</w:t>
      </w:r>
      <w:r>
        <w:rPr/>
        <w:t xml:space="preserve">) and served as interactive Swagger UI at </w:t>
      </w:r>
      <w:r>
        <w:rPr>
          <w:rStyle w:val="SourceText"/>
        </w:rPr>
        <w:t>/docs</w:t>
      </w:r>
      <w:r>
        <w:rPr/>
        <w:t xml:space="preserve">, where developers can read the documentation and try every endpoint. </w:t>
      </w:r>
    </w:p>
    <w:p>
      <w:pPr>
        <w:pStyle w:val="TextBody"/>
        <w:numPr>
          <w:ilvl w:val="0"/>
          <w:numId w:val="21"/>
        </w:numPr>
        <w:tabs>
          <w:tab w:val="clear" w:pos="1134"/>
          <w:tab w:val="left" w:pos="709" w:leader="none"/>
        </w:tabs>
        <w:bidi w:val="0"/>
        <w:spacing w:before="0" w:after="0"/>
        <w:ind w:left="709" w:hanging="283"/>
        <w:rPr/>
      </w:pPr>
      <w:r>
        <w:rPr>
          <w:rStyle w:val="StrongEmphasis"/>
        </w:rPr>
        <w:t>Secure by default:</w:t>
      </w:r>
      <w:r>
        <w:rPr/>
        <w:t xml:space="preserve"> every </w:t>
      </w:r>
      <w:r>
        <w:rPr>
          <w:rStyle w:val="SourceText"/>
        </w:rPr>
        <w:t>/api/v1</w:t>
      </w:r>
      <w:r>
        <w:rPr/>
        <w:t xml:space="preserve"> request needs the </w:t>
      </w:r>
      <w:r>
        <w:rPr>
          <w:rStyle w:val="SourceText"/>
        </w:rPr>
        <w:t>x-api-key</w:t>
      </w:r>
      <w:r>
        <w:rPr/>
        <w:t xml:space="preserve"> header, and only </w:t>
      </w:r>
      <w:r>
        <w:rPr>
          <w:rStyle w:val="SourceText"/>
        </w:rPr>
        <w:t>/health</w:t>
      </w:r>
      <w:r>
        <w:rPr/>
        <w:t xml:space="preserve"> and </w:t>
      </w:r>
      <w:r>
        <w:rPr>
          <w:rStyle w:val="SourceText"/>
        </w:rPr>
        <w:t>/docs</w:t>
      </w:r>
      <w:r>
        <w:rPr/>
        <w:t xml:space="preserve"> are public. Writes accept only listed fields. MongoDB schema-validation errors are turned into helpful </w:t>
      </w:r>
      <w:r>
        <w:rPr>
          <w:rStyle w:val="SourceText"/>
        </w:rPr>
        <w:t>400</w:t>
      </w:r>
      <w:r>
        <w:rPr/>
        <w:t xml:space="preserve"> responses, while unexpected errors are logged but hidden from clients. </w:t>
      </w:r>
    </w:p>
    <w:p>
      <w:pPr>
        <w:pStyle w:val="TextBody"/>
        <w:numPr>
          <w:ilvl w:val="0"/>
          <w:numId w:val="21"/>
        </w:numPr>
        <w:tabs>
          <w:tab w:val="clear" w:pos="1134"/>
          <w:tab w:val="left" w:pos="709" w:leader="none"/>
        </w:tabs>
        <w:bidi w:val="0"/>
        <w:ind w:left="709" w:hanging="283"/>
        <w:rPr/>
      </w:pPr>
      <w:r>
        <w:rPr>
          <w:rStyle w:val="StrongEmphasis"/>
        </w:rPr>
        <w:t>Database-side processing:</w:t>
      </w:r>
      <w:r>
        <w:rPr/>
        <w:t xml:space="preserve"> analytics are computed with MongoDB aggregation pipelines, including </w:t>
      </w:r>
      <w:r>
        <w:rPr>
          <w:rStyle w:val="SourceText"/>
        </w:rPr>
        <w:t>$setWindowFields</w:t>
      </w:r>
      <w:r>
        <w:rPr/>
        <w:t xml:space="preserve">, </w:t>
      </w:r>
      <w:r>
        <w:rPr>
          <w:rStyle w:val="SourceText"/>
        </w:rPr>
        <w:t>$dateTrunc</w:t>
      </w:r>
      <w:r>
        <w:rPr/>
        <w:t xml:space="preserve">, </w:t>
      </w:r>
      <w:r>
        <w:rPr>
          <w:rStyle w:val="SourceText"/>
        </w:rPr>
        <w:t>$median</w:t>
      </w:r>
      <w:r>
        <w:rPr/>
        <w:t xml:space="preserve">, </w:t>
      </w:r>
      <w:r>
        <w:rPr>
          <w:rStyle w:val="SourceText"/>
        </w:rPr>
        <w:t>$lookup</w:t>
      </w:r>
      <w:r>
        <w:rPr/>
        <w:t xml:space="preserve"> and </w:t>
      </w:r>
      <w:r>
        <w:rPr>
          <w:rStyle w:val="SourceText"/>
        </w:rPr>
        <w:t>$sortByCount</w:t>
      </w:r>
      <w:r>
        <w:rPr/>
        <w:t xml:space="preserve">, so only small results cross the network. </w:t>
      </w:r>
    </w:p>
    <w:p>
      <w:pPr>
        <w:pStyle w:val="TextBody"/>
        <w:bidi w:val="0"/>
        <w:rPr/>
      </w:pPr>
      <w:r>
        <w:rPr/>
        <w:drawing>
          <wp:inline distT="0" distB="0" distL="0" distR="0">
            <wp:extent cx="5715000" cy="863917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715000" cy="8639175"/>
                    </a:xfrm>
                    <a:prstGeom prst="rect">
                      <a:avLst/>
                    </a:prstGeom>
                  </pic:spPr>
                </pic:pic>
              </a:graphicData>
            </a:graphic>
          </wp:inline>
        </w:drawing>
      </w:r>
      <w:r>
        <w:rPr/>
        <w:t xml:space="preserve">Figure 10: Swagger UI served by the API at /docs, generated from the OpenAPI 3.0 specification. Each endpoint can be expanded, authorised with the API key and executed from the browser. </w:t>
      </w:r>
    </w:p>
    <w:p>
      <w:pPr>
        <w:pStyle w:val="Heading3"/>
        <w:bidi w:val="0"/>
        <w:jc w:val="left"/>
        <w:rPr/>
      </w:pPr>
      <w:r>
        <w:rPr/>
        <w:t>5.2 Endpoints</w:t>
      </w:r>
    </w:p>
    <w:p>
      <w:pPr>
        <w:pStyle w:val="TextBody"/>
        <w:bidi w:val="0"/>
        <w:spacing w:before="0" w:after="140"/>
        <w:jc w:val="both"/>
        <w:rPr/>
      </w:pPr>
      <w:r>
        <w:rPr>
          <w:rStyle w:val="StrongEmphasis"/>
        </w:rPr>
        <w:t>Table 10: API endpoints</w:t>
      </w:r>
    </w:p>
    <w:tbl>
      <w:tblPr>
        <w:tblW w:w="9516" w:type="dxa"/>
        <w:jc w:val="left"/>
        <w:tblInd w:w="0" w:type="dxa"/>
        <w:tblLayout w:type="fixed"/>
        <w:tblCellMar>
          <w:top w:w="28" w:type="dxa"/>
          <w:left w:w="28" w:type="dxa"/>
          <w:bottom w:w="28" w:type="dxa"/>
          <w:right w:w="28" w:type="dxa"/>
        </w:tblCellMar>
      </w:tblPr>
      <w:tblGrid>
        <w:gridCol w:w="1680"/>
        <w:gridCol w:w="2958"/>
        <w:gridCol w:w="4878"/>
      </w:tblGrid>
      <w:tr>
        <w:trPr>
          <w:tblHeader w:val="true"/>
        </w:trPr>
        <w:tc>
          <w:tcPr>
            <w:tcW w:w="1680" w:type="dxa"/>
            <w:tcBorders/>
            <w:vAlign w:val="center"/>
          </w:tcPr>
          <w:p>
            <w:pPr>
              <w:pStyle w:val="TableHeading"/>
              <w:suppressLineNumbers/>
              <w:shd w:fill="0D3B66" w:val="clear"/>
              <w:bidi w:val="0"/>
              <w:spacing w:before="0" w:after="140"/>
              <w:jc w:val="left"/>
              <w:rPr/>
            </w:pPr>
            <w:r>
              <w:rPr/>
              <w:t>Method</w:t>
            </w:r>
          </w:p>
        </w:tc>
        <w:tc>
          <w:tcPr>
            <w:tcW w:w="2958" w:type="dxa"/>
            <w:tcBorders/>
            <w:vAlign w:val="center"/>
          </w:tcPr>
          <w:p>
            <w:pPr>
              <w:pStyle w:val="TableHeading"/>
              <w:suppressLineNumbers/>
              <w:shd w:fill="0D3B66" w:val="clear"/>
              <w:bidi w:val="0"/>
              <w:spacing w:before="0" w:after="140"/>
              <w:jc w:val="left"/>
              <w:rPr/>
            </w:pPr>
            <w:r>
              <w:rPr/>
              <w:t>Path</w:t>
            </w:r>
          </w:p>
        </w:tc>
        <w:tc>
          <w:tcPr>
            <w:tcW w:w="4878" w:type="dxa"/>
            <w:tcBorders/>
            <w:vAlign w:val="center"/>
          </w:tcPr>
          <w:p>
            <w:pPr>
              <w:pStyle w:val="TableHeading"/>
              <w:suppressLineNumbers/>
              <w:shd w:fill="0D3B66" w:val="clear"/>
              <w:bidi w:val="0"/>
              <w:spacing w:before="0" w:after="140"/>
              <w:jc w:val="left"/>
              <w:rPr/>
            </w:pPr>
            <w:r>
              <w:rPr/>
              <w:t>Purpose</w:t>
            </w:r>
          </w:p>
        </w:tc>
      </w:tr>
      <w:tr>
        <w:trPr/>
        <w:tc>
          <w:tcPr>
            <w:tcW w:w="1680" w:type="dxa"/>
            <w:tcBorders/>
            <w:vAlign w:val="center"/>
          </w:tcPr>
          <w:p>
            <w:pPr>
              <w:pStyle w:val="TableContents"/>
              <w:bidi w:val="0"/>
              <w:spacing w:before="0" w:after="140"/>
              <w:jc w:val="left"/>
              <w:rPr/>
            </w:pPr>
            <w:r>
              <w:rPr/>
              <w:t>GET</w:t>
            </w:r>
          </w:p>
        </w:tc>
        <w:tc>
          <w:tcPr>
            <w:tcW w:w="2958" w:type="dxa"/>
            <w:tcBorders/>
            <w:vAlign w:val="center"/>
          </w:tcPr>
          <w:p>
            <w:pPr>
              <w:pStyle w:val="TableContents"/>
              <w:bidi w:val="0"/>
              <w:spacing w:before="0" w:after="140"/>
              <w:jc w:val="left"/>
              <w:rPr/>
            </w:pPr>
            <w:r>
              <w:rPr>
                <w:rStyle w:val="SourceText"/>
              </w:rPr>
              <w:t>/health</w:t>
            </w:r>
          </w:p>
        </w:tc>
        <w:tc>
          <w:tcPr>
            <w:tcW w:w="4878" w:type="dxa"/>
            <w:tcBorders/>
            <w:vAlign w:val="center"/>
          </w:tcPr>
          <w:p>
            <w:pPr>
              <w:pStyle w:val="TableContents"/>
              <w:bidi w:val="0"/>
              <w:spacing w:before="0" w:after="140"/>
              <w:jc w:val="left"/>
              <w:rPr/>
            </w:pPr>
            <w:r>
              <w:rPr/>
              <w:t>Liveness; reports the replica set name and current primary (public)</w:t>
            </w:r>
          </w:p>
        </w:tc>
      </w:tr>
      <w:tr>
        <w:trPr/>
        <w:tc>
          <w:tcPr>
            <w:tcW w:w="1680" w:type="dxa"/>
            <w:tcBorders/>
            <w:vAlign w:val="center"/>
          </w:tcPr>
          <w:p>
            <w:pPr>
              <w:pStyle w:val="TableContents"/>
              <w:bidi w:val="0"/>
              <w:spacing w:before="0" w:after="140"/>
              <w:jc w:val="left"/>
              <w:rPr/>
            </w:pPr>
            <w:r>
              <w:rPr/>
              <w:t>GET</w:t>
            </w:r>
          </w:p>
        </w:tc>
        <w:tc>
          <w:tcPr>
            <w:tcW w:w="2958" w:type="dxa"/>
            <w:tcBorders/>
            <w:vAlign w:val="center"/>
          </w:tcPr>
          <w:p>
            <w:pPr>
              <w:pStyle w:val="TableContents"/>
              <w:bidi w:val="0"/>
              <w:spacing w:before="0" w:after="140"/>
              <w:jc w:val="left"/>
              <w:rPr/>
            </w:pPr>
            <w:r>
              <w:rPr>
                <w:rStyle w:val="SourceText"/>
              </w:rPr>
              <w:t>/api/v1/cluster/status</w:t>
            </w:r>
          </w:p>
        </w:tc>
        <w:tc>
          <w:tcPr>
            <w:tcW w:w="4878" w:type="dxa"/>
            <w:tcBorders/>
            <w:vAlign w:val="center"/>
          </w:tcPr>
          <w:p>
            <w:pPr>
              <w:pStyle w:val="TableContents"/>
              <w:bidi w:val="0"/>
              <w:spacing w:before="0" w:after="140"/>
              <w:jc w:val="left"/>
              <w:rPr/>
            </w:pPr>
            <w:r>
              <w:rPr/>
              <w:t>State, health and replication time of each replica-set member</w:t>
            </w:r>
          </w:p>
        </w:tc>
      </w:tr>
      <w:tr>
        <w:trPr/>
        <w:tc>
          <w:tcPr>
            <w:tcW w:w="1680" w:type="dxa"/>
            <w:tcBorders/>
            <w:vAlign w:val="center"/>
          </w:tcPr>
          <w:p>
            <w:pPr>
              <w:pStyle w:val="TableContents"/>
              <w:bidi w:val="0"/>
              <w:spacing w:before="0" w:after="140"/>
              <w:jc w:val="left"/>
              <w:rPr/>
            </w:pPr>
            <w:r>
              <w:rPr/>
              <w:t>GET, POST</w:t>
            </w:r>
          </w:p>
        </w:tc>
        <w:tc>
          <w:tcPr>
            <w:tcW w:w="2958" w:type="dxa"/>
            <w:tcBorders/>
            <w:vAlign w:val="center"/>
          </w:tcPr>
          <w:p>
            <w:pPr>
              <w:pStyle w:val="TableContents"/>
              <w:bidi w:val="0"/>
              <w:spacing w:before="0" w:after="140"/>
              <w:jc w:val="left"/>
              <w:rPr/>
            </w:pPr>
            <w:r>
              <w:rPr>
                <w:rStyle w:val="SourceText"/>
              </w:rPr>
              <w:t>/api/v1/homes</w:t>
            </w:r>
          </w:p>
        </w:tc>
        <w:tc>
          <w:tcPr>
            <w:tcW w:w="4878" w:type="dxa"/>
            <w:tcBorders/>
            <w:vAlign w:val="center"/>
          </w:tcPr>
          <w:p>
            <w:pPr>
              <w:pStyle w:val="TableContents"/>
              <w:bidi w:val="0"/>
              <w:spacing w:before="0" w:after="140"/>
              <w:jc w:val="left"/>
              <w:rPr/>
            </w:pPr>
            <w:r>
              <w:rPr/>
              <w:t xml:space="preserve">List homes (filter by </w:t>
            </w:r>
            <w:r>
              <w:rPr>
                <w:rStyle w:val="SourceText"/>
              </w:rPr>
              <w:t>city</w:t>
            </w:r>
            <w:r>
              <w:rPr/>
              <w:t xml:space="preserve">, </w:t>
            </w:r>
            <w:r>
              <w:rPr>
                <w:rStyle w:val="SourceText"/>
              </w:rPr>
              <w:t>customerRef</w:t>
            </w:r>
            <w:r>
              <w:rPr/>
              <w:t>); register a home</w:t>
            </w:r>
          </w:p>
        </w:tc>
      </w:tr>
      <w:tr>
        <w:trPr/>
        <w:tc>
          <w:tcPr>
            <w:tcW w:w="1680" w:type="dxa"/>
            <w:tcBorders/>
            <w:vAlign w:val="center"/>
          </w:tcPr>
          <w:p>
            <w:pPr>
              <w:pStyle w:val="TableContents"/>
              <w:bidi w:val="0"/>
              <w:spacing w:before="0" w:after="140"/>
              <w:jc w:val="left"/>
              <w:rPr/>
            </w:pPr>
            <w:r>
              <w:rPr/>
              <w:t>GET, PATCH, DELETE</w:t>
            </w:r>
          </w:p>
        </w:tc>
        <w:tc>
          <w:tcPr>
            <w:tcW w:w="2958" w:type="dxa"/>
            <w:tcBorders/>
            <w:vAlign w:val="center"/>
          </w:tcPr>
          <w:p>
            <w:pPr>
              <w:pStyle w:val="TableContents"/>
              <w:bidi w:val="0"/>
              <w:spacing w:before="0" w:after="140"/>
              <w:jc w:val="left"/>
              <w:rPr/>
            </w:pPr>
            <w:r>
              <w:rPr>
                <w:rStyle w:val="SourceText"/>
              </w:rPr>
              <w:t>/api/v1/homes/{homeId}</w:t>
            </w:r>
          </w:p>
        </w:tc>
        <w:tc>
          <w:tcPr>
            <w:tcW w:w="4878" w:type="dxa"/>
            <w:tcBorders/>
            <w:vAlign w:val="center"/>
          </w:tcPr>
          <w:p>
            <w:pPr>
              <w:pStyle w:val="TableContents"/>
              <w:bidi w:val="0"/>
              <w:spacing w:before="0" w:after="140"/>
              <w:jc w:val="left"/>
              <w:rPr/>
            </w:pPr>
            <w:r>
              <w:rPr/>
              <w:t>Read a home with its devices; update preferences; erase a home and all its data</w:t>
            </w:r>
          </w:p>
        </w:tc>
      </w:tr>
      <w:tr>
        <w:trPr/>
        <w:tc>
          <w:tcPr>
            <w:tcW w:w="1680" w:type="dxa"/>
            <w:tcBorders/>
            <w:vAlign w:val="center"/>
          </w:tcPr>
          <w:p>
            <w:pPr>
              <w:pStyle w:val="TableContents"/>
              <w:bidi w:val="0"/>
              <w:spacing w:before="0" w:after="140"/>
              <w:jc w:val="left"/>
              <w:rPr/>
            </w:pPr>
            <w:r>
              <w:rPr/>
              <w:t>GET, POST</w:t>
            </w:r>
          </w:p>
        </w:tc>
        <w:tc>
          <w:tcPr>
            <w:tcW w:w="2958" w:type="dxa"/>
            <w:tcBorders/>
            <w:vAlign w:val="center"/>
          </w:tcPr>
          <w:p>
            <w:pPr>
              <w:pStyle w:val="TableContents"/>
              <w:bidi w:val="0"/>
              <w:spacing w:before="0" w:after="140"/>
              <w:jc w:val="left"/>
              <w:rPr/>
            </w:pPr>
            <w:r>
              <w:rPr>
                <w:rStyle w:val="SourceText"/>
              </w:rPr>
              <w:t>/api/v1/devices</w:t>
            </w:r>
          </w:p>
        </w:tc>
        <w:tc>
          <w:tcPr>
            <w:tcW w:w="4878" w:type="dxa"/>
            <w:tcBorders/>
            <w:vAlign w:val="center"/>
          </w:tcPr>
          <w:p>
            <w:pPr>
              <w:pStyle w:val="TableContents"/>
              <w:bidi w:val="0"/>
              <w:spacing w:before="0" w:after="140"/>
              <w:jc w:val="left"/>
              <w:rPr/>
            </w:pPr>
            <w:r>
              <w:rPr/>
              <w:t xml:space="preserve">List devices (filter by </w:t>
            </w:r>
            <w:r>
              <w:rPr>
                <w:rStyle w:val="SourceText"/>
              </w:rPr>
              <w:t>homeId</w:t>
            </w:r>
            <w:r>
              <w:rPr/>
              <w:t xml:space="preserve">, </w:t>
            </w:r>
            <w:r>
              <w:rPr>
                <w:rStyle w:val="SourceText"/>
              </w:rPr>
              <w:t>type</w:t>
            </w:r>
            <w:r>
              <w:rPr/>
              <w:t xml:space="preserve">, </w:t>
            </w:r>
            <w:r>
              <w:rPr>
                <w:rStyle w:val="SourceText"/>
              </w:rPr>
              <w:t>room</w:t>
            </w:r>
            <w:r>
              <w:rPr/>
              <w:t xml:space="preserve">, </w:t>
            </w:r>
            <w:r>
              <w:rPr>
                <w:rStyle w:val="SourceText"/>
              </w:rPr>
              <w:t>status</w:t>
            </w:r>
            <w:r>
              <w:rPr/>
              <w:t>); register a device</w:t>
            </w:r>
          </w:p>
        </w:tc>
      </w:tr>
      <w:tr>
        <w:trPr/>
        <w:tc>
          <w:tcPr>
            <w:tcW w:w="1680" w:type="dxa"/>
            <w:tcBorders/>
            <w:vAlign w:val="center"/>
          </w:tcPr>
          <w:p>
            <w:pPr>
              <w:pStyle w:val="TableContents"/>
              <w:bidi w:val="0"/>
              <w:spacing w:before="0" w:after="140"/>
              <w:jc w:val="left"/>
              <w:rPr/>
            </w:pPr>
            <w:r>
              <w:rPr/>
              <w:t>GET, PATCH, DELETE</w:t>
            </w:r>
          </w:p>
        </w:tc>
        <w:tc>
          <w:tcPr>
            <w:tcW w:w="2958" w:type="dxa"/>
            <w:tcBorders/>
            <w:vAlign w:val="center"/>
          </w:tcPr>
          <w:p>
            <w:pPr>
              <w:pStyle w:val="TableContents"/>
              <w:bidi w:val="0"/>
              <w:spacing w:before="0" w:after="140"/>
              <w:jc w:val="left"/>
              <w:rPr/>
            </w:pPr>
            <w:r>
              <w:rPr>
                <w:rStyle w:val="SourceText"/>
              </w:rPr>
              <w:t>/api/v1/devices/{deviceId}</w:t>
            </w:r>
          </w:p>
        </w:tc>
        <w:tc>
          <w:tcPr>
            <w:tcW w:w="4878" w:type="dxa"/>
            <w:tcBorders/>
            <w:vAlign w:val="center"/>
          </w:tcPr>
          <w:p>
            <w:pPr>
              <w:pStyle w:val="TableContents"/>
              <w:bidi w:val="0"/>
              <w:spacing w:before="0" w:after="140"/>
              <w:jc w:val="left"/>
              <w:rPr/>
            </w:pPr>
            <w:r>
              <w:rPr/>
              <w:t>Read (with latest state), update, remove a device</w:t>
            </w:r>
          </w:p>
        </w:tc>
      </w:tr>
      <w:tr>
        <w:trPr/>
        <w:tc>
          <w:tcPr>
            <w:tcW w:w="1680" w:type="dxa"/>
            <w:tcBorders/>
            <w:vAlign w:val="center"/>
          </w:tcPr>
          <w:p>
            <w:pPr>
              <w:pStyle w:val="TableContents"/>
              <w:bidi w:val="0"/>
              <w:spacing w:before="0" w:after="140"/>
              <w:jc w:val="left"/>
              <w:rPr/>
            </w:pPr>
            <w:r>
              <w:rPr/>
              <w:t>GET, POST</w:t>
            </w:r>
          </w:p>
        </w:tc>
        <w:tc>
          <w:tcPr>
            <w:tcW w:w="2958" w:type="dxa"/>
            <w:tcBorders/>
            <w:vAlign w:val="center"/>
          </w:tcPr>
          <w:p>
            <w:pPr>
              <w:pStyle w:val="TableContents"/>
              <w:bidi w:val="0"/>
              <w:spacing w:before="0" w:after="140"/>
              <w:jc w:val="left"/>
              <w:rPr/>
            </w:pPr>
            <w:r>
              <w:rPr>
                <w:rStyle w:val="SourceText"/>
              </w:rPr>
              <w:t>/api/v1/events</w:t>
            </w:r>
          </w:p>
        </w:tc>
        <w:tc>
          <w:tcPr>
            <w:tcW w:w="4878" w:type="dxa"/>
            <w:tcBorders/>
            <w:vAlign w:val="center"/>
          </w:tcPr>
          <w:p>
            <w:pPr>
              <w:pStyle w:val="TableContents"/>
              <w:bidi w:val="0"/>
              <w:spacing w:before="0" w:after="140"/>
              <w:jc w:val="left"/>
              <w:rPr/>
            </w:pPr>
            <w:r>
              <w:rPr/>
              <w:t>Query events by home/device/type/room and time range; submit an event over HTTP</w:t>
            </w:r>
          </w:p>
        </w:tc>
      </w:tr>
      <w:tr>
        <w:trPr/>
        <w:tc>
          <w:tcPr>
            <w:tcW w:w="1680" w:type="dxa"/>
            <w:tcBorders/>
            <w:vAlign w:val="center"/>
          </w:tcPr>
          <w:p>
            <w:pPr>
              <w:pStyle w:val="TableContents"/>
              <w:bidi w:val="0"/>
              <w:spacing w:before="0" w:after="140"/>
              <w:jc w:val="left"/>
              <w:rPr/>
            </w:pPr>
            <w:r>
              <w:rPr/>
              <w:t>GET</w:t>
            </w:r>
          </w:p>
        </w:tc>
        <w:tc>
          <w:tcPr>
            <w:tcW w:w="2958" w:type="dxa"/>
            <w:tcBorders/>
            <w:vAlign w:val="center"/>
          </w:tcPr>
          <w:p>
            <w:pPr>
              <w:pStyle w:val="TableContents"/>
              <w:bidi w:val="0"/>
              <w:spacing w:before="0" w:after="140"/>
              <w:jc w:val="left"/>
              <w:rPr/>
            </w:pPr>
            <w:r>
              <w:rPr>
                <w:rStyle w:val="SourceText"/>
              </w:rPr>
              <w:t>/api/v1/alerts</w:t>
            </w:r>
          </w:p>
        </w:tc>
        <w:tc>
          <w:tcPr>
            <w:tcW w:w="4878" w:type="dxa"/>
            <w:tcBorders/>
            <w:vAlign w:val="center"/>
          </w:tcPr>
          <w:p>
            <w:pPr>
              <w:pStyle w:val="TableContents"/>
              <w:bidi w:val="0"/>
              <w:spacing w:before="0" w:after="140"/>
              <w:jc w:val="left"/>
              <w:rPr/>
            </w:pPr>
            <w:r>
              <w:rPr/>
              <w:t xml:space="preserve">List alerts (filter by </w:t>
            </w:r>
            <w:r>
              <w:rPr>
                <w:rStyle w:val="SourceText"/>
              </w:rPr>
              <w:t>homeId</w:t>
            </w:r>
            <w:r>
              <w:rPr/>
              <w:t xml:space="preserve">, </w:t>
            </w:r>
            <w:r>
              <w:rPr>
                <w:rStyle w:val="SourceText"/>
              </w:rPr>
              <w:t>kind</w:t>
            </w:r>
            <w:r>
              <w:rPr/>
              <w:t xml:space="preserve">, </w:t>
            </w:r>
            <w:r>
              <w:rPr>
                <w:rStyle w:val="SourceText"/>
              </w:rPr>
              <w:t>severity</w:t>
            </w:r>
            <w:r>
              <w:rPr/>
              <w:t xml:space="preserve">, </w:t>
            </w:r>
            <w:r>
              <w:rPr>
                <w:rStyle w:val="SourceText"/>
              </w:rPr>
              <w:t>acknowledged</w:t>
            </w:r>
            <w:r>
              <w:rPr/>
              <w:t>)</w:t>
            </w:r>
          </w:p>
        </w:tc>
      </w:tr>
      <w:tr>
        <w:trPr/>
        <w:tc>
          <w:tcPr>
            <w:tcW w:w="1680" w:type="dxa"/>
            <w:tcBorders/>
            <w:vAlign w:val="center"/>
          </w:tcPr>
          <w:p>
            <w:pPr>
              <w:pStyle w:val="TableContents"/>
              <w:bidi w:val="0"/>
              <w:spacing w:before="0" w:after="140"/>
              <w:jc w:val="left"/>
              <w:rPr/>
            </w:pPr>
            <w:r>
              <w:rPr/>
              <w:t>POST</w:t>
            </w:r>
          </w:p>
        </w:tc>
        <w:tc>
          <w:tcPr>
            <w:tcW w:w="2958" w:type="dxa"/>
            <w:tcBorders/>
            <w:vAlign w:val="center"/>
          </w:tcPr>
          <w:p>
            <w:pPr>
              <w:pStyle w:val="TableContents"/>
              <w:bidi w:val="0"/>
              <w:spacing w:before="0" w:after="140"/>
              <w:jc w:val="left"/>
              <w:rPr/>
            </w:pPr>
            <w:r>
              <w:rPr>
                <w:rStyle w:val="SourceText"/>
              </w:rPr>
              <w:t>/api/v1/alerts/{id}/acknowledge</w:t>
            </w:r>
          </w:p>
        </w:tc>
        <w:tc>
          <w:tcPr>
            <w:tcW w:w="4878" w:type="dxa"/>
            <w:tcBorders/>
            <w:vAlign w:val="center"/>
          </w:tcPr>
          <w:p>
            <w:pPr>
              <w:pStyle w:val="TableContents"/>
              <w:bidi w:val="0"/>
              <w:spacing w:before="0" w:after="140"/>
              <w:jc w:val="left"/>
              <w:rPr/>
            </w:pPr>
            <w:r>
              <w:rPr/>
              <w:t>Acknowledge an alert</w:t>
            </w:r>
          </w:p>
        </w:tc>
      </w:tr>
      <w:tr>
        <w:trPr/>
        <w:tc>
          <w:tcPr>
            <w:tcW w:w="1680" w:type="dxa"/>
            <w:tcBorders/>
            <w:vAlign w:val="center"/>
          </w:tcPr>
          <w:p>
            <w:pPr>
              <w:pStyle w:val="TableContents"/>
              <w:bidi w:val="0"/>
              <w:spacing w:before="0" w:after="140"/>
              <w:jc w:val="left"/>
              <w:rPr/>
            </w:pPr>
            <w:r>
              <w:rPr/>
              <w:t>GET</w:t>
            </w:r>
          </w:p>
        </w:tc>
        <w:tc>
          <w:tcPr>
            <w:tcW w:w="2958" w:type="dxa"/>
            <w:tcBorders/>
            <w:vAlign w:val="center"/>
          </w:tcPr>
          <w:p>
            <w:pPr>
              <w:pStyle w:val="TableContents"/>
              <w:bidi w:val="0"/>
              <w:spacing w:before="0" w:after="140"/>
              <w:jc w:val="left"/>
              <w:rPr/>
            </w:pPr>
            <w:r>
              <w:rPr>
                <w:rStyle w:val="SourceText"/>
              </w:rPr>
              <w:t>/api/v1/analytics/overview</w:t>
            </w:r>
          </w:p>
        </w:tc>
        <w:tc>
          <w:tcPr>
            <w:tcW w:w="4878" w:type="dxa"/>
            <w:tcBorders/>
            <w:vAlign w:val="center"/>
          </w:tcPr>
          <w:p>
            <w:pPr>
              <w:pStyle w:val="TableContents"/>
              <w:bidi w:val="0"/>
              <w:spacing w:before="0" w:after="140"/>
              <w:jc w:val="left"/>
              <w:rPr/>
            </w:pPr>
            <w:r>
              <w:rPr/>
              <w:t>Estate-wide events per day and type, device status, alert totals</w:t>
            </w:r>
          </w:p>
        </w:tc>
      </w:tr>
      <w:tr>
        <w:trPr/>
        <w:tc>
          <w:tcPr>
            <w:tcW w:w="1680" w:type="dxa"/>
            <w:tcBorders/>
            <w:vAlign w:val="center"/>
          </w:tcPr>
          <w:p>
            <w:pPr>
              <w:pStyle w:val="TableContents"/>
              <w:bidi w:val="0"/>
              <w:spacing w:before="0" w:after="140"/>
              <w:jc w:val="left"/>
              <w:rPr/>
            </w:pPr>
            <w:r>
              <w:rPr/>
              <w:t>GET</w:t>
            </w:r>
          </w:p>
        </w:tc>
        <w:tc>
          <w:tcPr>
            <w:tcW w:w="2958" w:type="dxa"/>
            <w:tcBorders/>
            <w:vAlign w:val="center"/>
          </w:tcPr>
          <w:p>
            <w:pPr>
              <w:pStyle w:val="TableContents"/>
              <w:bidi w:val="0"/>
              <w:spacing w:before="0" w:after="140"/>
              <w:jc w:val="left"/>
              <w:rPr/>
            </w:pPr>
            <w:r>
              <w:rPr>
                <w:rStyle w:val="SourceText"/>
              </w:rPr>
              <w:t>/api/v1/analytics/homes/{id}/usage</w:t>
            </w:r>
          </w:p>
        </w:tc>
        <w:tc>
          <w:tcPr>
            <w:tcW w:w="4878" w:type="dxa"/>
            <w:tcBorders/>
            <w:vAlign w:val="center"/>
          </w:tcPr>
          <w:p>
            <w:pPr>
              <w:pStyle w:val="TableContents"/>
              <w:bidi w:val="0"/>
              <w:spacing w:before="0" w:after="140"/>
              <w:jc w:val="left"/>
              <w:rPr/>
            </w:pPr>
            <w:r>
              <w:rPr/>
              <w:t>Activations, hours switched on and smart-plug energy (kWh) per device</w:t>
            </w:r>
          </w:p>
        </w:tc>
      </w:tr>
      <w:tr>
        <w:trPr/>
        <w:tc>
          <w:tcPr>
            <w:tcW w:w="1680" w:type="dxa"/>
            <w:tcBorders/>
            <w:vAlign w:val="center"/>
          </w:tcPr>
          <w:p>
            <w:pPr>
              <w:pStyle w:val="TableContents"/>
              <w:bidi w:val="0"/>
              <w:spacing w:before="0" w:after="140"/>
              <w:jc w:val="left"/>
              <w:rPr/>
            </w:pPr>
            <w:r>
              <w:rPr/>
              <w:t>GET</w:t>
            </w:r>
          </w:p>
        </w:tc>
        <w:tc>
          <w:tcPr>
            <w:tcW w:w="2958" w:type="dxa"/>
            <w:tcBorders/>
            <w:vAlign w:val="center"/>
          </w:tcPr>
          <w:p>
            <w:pPr>
              <w:pStyle w:val="TableContents"/>
              <w:bidi w:val="0"/>
              <w:spacing w:before="0" w:after="140"/>
              <w:jc w:val="left"/>
              <w:rPr/>
            </w:pPr>
            <w:r>
              <w:rPr>
                <w:rStyle w:val="SourceText"/>
              </w:rPr>
              <w:t>/api/v1/analytics/homes/{id}/activity-by-hour</w:t>
            </w:r>
          </w:p>
        </w:tc>
        <w:tc>
          <w:tcPr>
            <w:tcW w:w="4878" w:type="dxa"/>
            <w:tcBorders/>
            <w:vAlign w:val="center"/>
          </w:tcPr>
          <w:p>
            <w:pPr>
              <w:pStyle w:val="TableContents"/>
              <w:bidi w:val="0"/>
              <w:spacing w:before="0" w:after="140"/>
              <w:jc w:val="left"/>
              <w:rPr/>
            </w:pPr>
            <w:r>
              <w:rPr/>
              <w:t>Motion by hour of day and room (occupancy pattern)</w:t>
            </w:r>
          </w:p>
        </w:tc>
      </w:tr>
      <w:tr>
        <w:trPr/>
        <w:tc>
          <w:tcPr>
            <w:tcW w:w="1680" w:type="dxa"/>
            <w:tcBorders/>
            <w:vAlign w:val="center"/>
          </w:tcPr>
          <w:p>
            <w:pPr>
              <w:pStyle w:val="TableContents"/>
              <w:bidi w:val="0"/>
              <w:spacing w:before="0" w:after="140"/>
              <w:jc w:val="left"/>
              <w:rPr/>
            </w:pPr>
            <w:r>
              <w:rPr/>
              <w:t>GET</w:t>
            </w:r>
          </w:p>
        </w:tc>
        <w:tc>
          <w:tcPr>
            <w:tcW w:w="2958" w:type="dxa"/>
            <w:tcBorders/>
            <w:vAlign w:val="center"/>
          </w:tcPr>
          <w:p>
            <w:pPr>
              <w:pStyle w:val="TableContents"/>
              <w:bidi w:val="0"/>
              <w:spacing w:before="0" w:after="140"/>
              <w:jc w:val="left"/>
              <w:rPr/>
            </w:pPr>
            <w:r>
              <w:rPr>
                <w:rStyle w:val="SourceText"/>
              </w:rPr>
              <w:t>/api/v1/analytics/homes/{id}/routine</w:t>
            </w:r>
          </w:p>
        </w:tc>
        <w:tc>
          <w:tcPr>
            <w:tcW w:w="4878" w:type="dxa"/>
            <w:tcBorders/>
            <w:vAlign w:val="center"/>
          </w:tcPr>
          <w:p>
            <w:pPr>
              <w:pStyle w:val="TableContents"/>
              <w:bidi w:val="0"/>
              <w:spacing w:before="0" w:after="140"/>
              <w:jc w:val="left"/>
              <w:rPr/>
            </w:pPr>
            <w:r>
              <w:rPr/>
              <w:t>Predicted wake-up, leave and return times, for weekdays and weekends</w:t>
            </w:r>
          </w:p>
        </w:tc>
      </w:tr>
      <w:tr>
        <w:trPr/>
        <w:tc>
          <w:tcPr>
            <w:tcW w:w="1680" w:type="dxa"/>
            <w:tcBorders/>
            <w:vAlign w:val="center"/>
          </w:tcPr>
          <w:p>
            <w:pPr>
              <w:pStyle w:val="TableContents"/>
              <w:bidi w:val="0"/>
              <w:spacing w:before="0" w:after="140"/>
              <w:jc w:val="left"/>
              <w:rPr/>
            </w:pPr>
            <w:r>
              <w:rPr/>
              <w:t>GET</w:t>
            </w:r>
          </w:p>
        </w:tc>
        <w:tc>
          <w:tcPr>
            <w:tcW w:w="2958" w:type="dxa"/>
            <w:tcBorders/>
            <w:vAlign w:val="center"/>
          </w:tcPr>
          <w:p>
            <w:pPr>
              <w:pStyle w:val="TableContents"/>
              <w:bidi w:val="0"/>
              <w:spacing w:before="0" w:after="140"/>
              <w:jc w:val="left"/>
              <w:rPr/>
            </w:pPr>
            <w:r>
              <w:rPr>
                <w:rStyle w:val="SourceText"/>
              </w:rPr>
              <w:t>/api/v1/analytics/homes/{id}/climate</w:t>
            </w:r>
          </w:p>
        </w:tc>
        <w:tc>
          <w:tcPr>
            <w:tcW w:w="4878" w:type="dxa"/>
            <w:tcBorders/>
            <w:vAlign w:val="center"/>
          </w:tcPr>
          <w:p>
            <w:pPr>
              <w:pStyle w:val="TableContents"/>
              <w:bidi w:val="0"/>
              <w:spacing w:before="0" w:after="140"/>
              <w:jc w:val="left"/>
              <w:rPr/>
            </w:pPr>
            <w:r>
              <w:rPr/>
              <w:t>Daily average, minimum and maximum temperature and humidity per room</w:t>
            </w:r>
          </w:p>
        </w:tc>
      </w:tr>
      <w:tr>
        <w:trPr/>
        <w:tc>
          <w:tcPr>
            <w:tcW w:w="1680" w:type="dxa"/>
            <w:tcBorders/>
            <w:vAlign w:val="center"/>
          </w:tcPr>
          <w:p>
            <w:pPr>
              <w:pStyle w:val="TableContents"/>
              <w:bidi w:val="0"/>
              <w:spacing w:before="0" w:after="140"/>
              <w:jc w:val="left"/>
              <w:rPr/>
            </w:pPr>
            <w:r>
              <w:rPr/>
              <w:t>GET</w:t>
            </w:r>
          </w:p>
        </w:tc>
        <w:tc>
          <w:tcPr>
            <w:tcW w:w="2958" w:type="dxa"/>
            <w:tcBorders/>
            <w:vAlign w:val="center"/>
          </w:tcPr>
          <w:p>
            <w:pPr>
              <w:pStyle w:val="TableContents"/>
              <w:bidi w:val="0"/>
              <w:spacing w:before="0" w:after="140"/>
              <w:jc w:val="left"/>
              <w:rPr/>
            </w:pPr>
            <w:r>
              <w:rPr>
                <w:rStyle w:val="SourceText"/>
              </w:rPr>
              <w:t>/api/v1/analytics/homes/{id}/recommendations</w:t>
            </w:r>
          </w:p>
        </w:tc>
        <w:tc>
          <w:tcPr>
            <w:tcW w:w="4878" w:type="dxa"/>
            <w:tcBorders/>
            <w:vAlign w:val="center"/>
          </w:tcPr>
          <w:p>
            <w:pPr>
              <w:pStyle w:val="TableContents"/>
              <w:bidi w:val="0"/>
              <w:spacing w:before="0" w:after="140"/>
              <w:jc w:val="left"/>
              <w:rPr/>
            </w:pPr>
            <w:r>
              <w:rPr/>
              <w:t>Energy, comfort and safety advice for the owner</w:t>
            </w:r>
          </w:p>
        </w:tc>
      </w:tr>
    </w:tbl>
    <w:p>
      <w:pPr>
        <w:pStyle w:val="TextBody"/>
        <w:bidi w:val="0"/>
        <w:spacing w:before="0" w:after="140"/>
        <w:jc w:val="both"/>
        <w:rPr/>
      </w:pPr>
      <w:r>
        <w:rPr>
          <w:rStyle w:val="StrongEmphasis"/>
        </w:rPr>
        <w:t>Table 11: Response codes</w:t>
      </w:r>
    </w:p>
    <w:tbl>
      <w:tblPr>
        <w:tblW w:w="9516" w:type="dxa"/>
        <w:jc w:val="left"/>
        <w:tblInd w:w="0" w:type="dxa"/>
        <w:tblLayout w:type="fixed"/>
        <w:tblCellMar>
          <w:top w:w="28" w:type="dxa"/>
          <w:left w:w="28" w:type="dxa"/>
          <w:bottom w:w="28" w:type="dxa"/>
          <w:right w:w="28" w:type="dxa"/>
        </w:tblCellMar>
      </w:tblPr>
      <w:tblGrid>
        <w:gridCol w:w="1393"/>
        <w:gridCol w:w="3556"/>
        <w:gridCol w:w="4567"/>
      </w:tblGrid>
      <w:tr>
        <w:trPr>
          <w:tblHeader w:val="true"/>
        </w:trPr>
        <w:tc>
          <w:tcPr>
            <w:tcW w:w="1393" w:type="dxa"/>
            <w:tcBorders/>
            <w:vAlign w:val="center"/>
          </w:tcPr>
          <w:p>
            <w:pPr>
              <w:pStyle w:val="TableHeading"/>
              <w:suppressLineNumbers/>
              <w:shd w:fill="0D3B66" w:val="clear"/>
              <w:bidi w:val="0"/>
              <w:spacing w:before="0" w:after="140"/>
              <w:jc w:val="left"/>
              <w:rPr/>
            </w:pPr>
            <w:r>
              <w:rPr/>
              <w:t>Code</w:t>
            </w:r>
          </w:p>
        </w:tc>
        <w:tc>
          <w:tcPr>
            <w:tcW w:w="3556" w:type="dxa"/>
            <w:tcBorders/>
            <w:vAlign w:val="center"/>
          </w:tcPr>
          <w:p>
            <w:pPr>
              <w:pStyle w:val="TableHeading"/>
              <w:suppressLineNumbers/>
              <w:shd w:fill="0D3B66" w:val="clear"/>
              <w:bidi w:val="0"/>
              <w:spacing w:before="0" w:after="140"/>
              <w:jc w:val="left"/>
              <w:rPr/>
            </w:pPr>
            <w:r>
              <w:rPr/>
              <w:t>Meaning</w:t>
            </w:r>
          </w:p>
        </w:tc>
        <w:tc>
          <w:tcPr>
            <w:tcW w:w="4567" w:type="dxa"/>
            <w:tcBorders/>
            <w:vAlign w:val="center"/>
          </w:tcPr>
          <w:p>
            <w:pPr>
              <w:pStyle w:val="TableHeading"/>
              <w:suppressLineNumbers/>
              <w:shd w:fill="0D3B66" w:val="clear"/>
              <w:bidi w:val="0"/>
              <w:spacing w:before="0" w:after="140"/>
              <w:jc w:val="left"/>
              <w:rPr/>
            </w:pPr>
            <w:r>
              <w:rPr/>
              <w:t>Example tested</w:t>
            </w:r>
          </w:p>
        </w:tc>
      </w:tr>
      <w:tr>
        <w:trPr/>
        <w:tc>
          <w:tcPr>
            <w:tcW w:w="1393" w:type="dxa"/>
            <w:tcBorders/>
            <w:vAlign w:val="center"/>
          </w:tcPr>
          <w:p>
            <w:pPr>
              <w:pStyle w:val="TableContents"/>
              <w:bidi w:val="0"/>
              <w:spacing w:before="0" w:after="140"/>
              <w:jc w:val="left"/>
              <w:rPr/>
            </w:pPr>
            <w:r>
              <w:rPr/>
              <w:t>200, 201, 204</w:t>
            </w:r>
          </w:p>
        </w:tc>
        <w:tc>
          <w:tcPr>
            <w:tcW w:w="3556" w:type="dxa"/>
            <w:tcBorders/>
            <w:vAlign w:val="center"/>
          </w:tcPr>
          <w:p>
            <w:pPr>
              <w:pStyle w:val="TableContents"/>
              <w:bidi w:val="0"/>
              <w:spacing w:before="0" w:after="140"/>
              <w:jc w:val="left"/>
              <w:rPr/>
            </w:pPr>
            <w:r>
              <w:rPr/>
              <w:t>Success, created, deleted</w:t>
            </w:r>
          </w:p>
        </w:tc>
        <w:tc>
          <w:tcPr>
            <w:tcW w:w="4567" w:type="dxa"/>
            <w:tcBorders/>
            <w:vAlign w:val="center"/>
          </w:tcPr>
          <w:p>
            <w:pPr>
              <w:pStyle w:val="TableContents"/>
              <w:bidi w:val="0"/>
              <w:spacing w:before="0" w:after="140"/>
              <w:jc w:val="left"/>
              <w:rPr/>
            </w:pPr>
            <w:r>
              <w:rPr/>
              <w:t>Full create → update → delete lifecycle for home H950</w:t>
            </w:r>
          </w:p>
        </w:tc>
      </w:tr>
      <w:tr>
        <w:trPr/>
        <w:tc>
          <w:tcPr>
            <w:tcW w:w="1393" w:type="dxa"/>
            <w:tcBorders/>
            <w:vAlign w:val="center"/>
          </w:tcPr>
          <w:p>
            <w:pPr>
              <w:pStyle w:val="TableContents"/>
              <w:bidi w:val="0"/>
              <w:spacing w:before="0" w:after="140"/>
              <w:jc w:val="left"/>
              <w:rPr/>
            </w:pPr>
            <w:r>
              <w:rPr/>
              <w:t>400</w:t>
            </w:r>
          </w:p>
        </w:tc>
        <w:tc>
          <w:tcPr>
            <w:tcW w:w="3556" w:type="dxa"/>
            <w:tcBorders/>
            <w:vAlign w:val="center"/>
          </w:tcPr>
          <w:p>
            <w:pPr>
              <w:pStyle w:val="TableContents"/>
              <w:bidi w:val="0"/>
              <w:spacing w:before="0" w:after="140"/>
              <w:jc w:val="left"/>
              <w:rPr/>
            </w:pPr>
            <w:r>
              <w:rPr/>
              <w:t>Invalid input or failed schema validation</w:t>
            </w:r>
          </w:p>
        </w:tc>
        <w:tc>
          <w:tcPr>
            <w:tcW w:w="4567" w:type="dxa"/>
            <w:tcBorders/>
            <w:vAlign w:val="center"/>
          </w:tcPr>
          <w:p>
            <w:pPr>
              <w:pStyle w:val="TableContents"/>
              <w:bidi w:val="0"/>
              <w:spacing w:before="0" w:after="140"/>
              <w:jc w:val="left"/>
              <w:rPr/>
            </w:pPr>
            <w:r>
              <w:rPr>
                <w:rStyle w:val="SourceText"/>
              </w:rPr>
              <w:t>{"error":"value 999 outside -20..60"}</w:t>
            </w:r>
          </w:p>
        </w:tc>
      </w:tr>
      <w:tr>
        <w:trPr/>
        <w:tc>
          <w:tcPr>
            <w:tcW w:w="1393" w:type="dxa"/>
            <w:tcBorders/>
            <w:vAlign w:val="center"/>
          </w:tcPr>
          <w:p>
            <w:pPr>
              <w:pStyle w:val="TableContents"/>
              <w:bidi w:val="0"/>
              <w:spacing w:before="0" w:after="140"/>
              <w:jc w:val="left"/>
              <w:rPr/>
            </w:pPr>
            <w:r>
              <w:rPr/>
              <w:t>401</w:t>
            </w:r>
          </w:p>
        </w:tc>
        <w:tc>
          <w:tcPr>
            <w:tcW w:w="3556" w:type="dxa"/>
            <w:tcBorders/>
            <w:vAlign w:val="center"/>
          </w:tcPr>
          <w:p>
            <w:pPr>
              <w:pStyle w:val="TableContents"/>
              <w:bidi w:val="0"/>
              <w:spacing w:before="0" w:after="140"/>
              <w:jc w:val="left"/>
              <w:rPr/>
            </w:pPr>
            <w:r>
              <w:rPr/>
              <w:t>Missing or wrong API key</w:t>
            </w:r>
          </w:p>
        </w:tc>
        <w:tc>
          <w:tcPr>
            <w:tcW w:w="4567" w:type="dxa"/>
            <w:tcBorders/>
            <w:vAlign w:val="center"/>
          </w:tcPr>
          <w:p>
            <w:pPr>
              <w:pStyle w:val="TableContents"/>
              <w:bidi w:val="0"/>
              <w:spacing w:before="0" w:after="140"/>
              <w:jc w:val="left"/>
              <w:rPr/>
            </w:pPr>
            <w:r>
              <w:rPr>
                <w:rStyle w:val="SourceText"/>
              </w:rPr>
              <w:t>{"error":"missing or invalid x-api-key header"}</w:t>
            </w:r>
          </w:p>
        </w:tc>
      </w:tr>
      <w:tr>
        <w:trPr/>
        <w:tc>
          <w:tcPr>
            <w:tcW w:w="1393" w:type="dxa"/>
            <w:tcBorders/>
            <w:vAlign w:val="center"/>
          </w:tcPr>
          <w:p>
            <w:pPr>
              <w:pStyle w:val="TableContents"/>
              <w:bidi w:val="0"/>
              <w:spacing w:before="0" w:after="140"/>
              <w:jc w:val="left"/>
              <w:rPr/>
            </w:pPr>
            <w:r>
              <w:rPr/>
              <w:t>404</w:t>
            </w:r>
          </w:p>
        </w:tc>
        <w:tc>
          <w:tcPr>
            <w:tcW w:w="3556" w:type="dxa"/>
            <w:tcBorders/>
            <w:vAlign w:val="center"/>
          </w:tcPr>
          <w:p>
            <w:pPr>
              <w:pStyle w:val="TableContents"/>
              <w:bidi w:val="0"/>
              <w:spacing w:before="0" w:after="140"/>
              <w:jc w:val="left"/>
              <w:rPr/>
            </w:pPr>
            <w:r>
              <w:rPr/>
              <w:t>Unknown resource</w:t>
            </w:r>
          </w:p>
        </w:tc>
        <w:tc>
          <w:tcPr>
            <w:tcW w:w="4567" w:type="dxa"/>
            <w:tcBorders/>
            <w:vAlign w:val="center"/>
          </w:tcPr>
          <w:p>
            <w:pPr>
              <w:pStyle w:val="TableContents"/>
              <w:bidi w:val="0"/>
              <w:spacing w:before="0" w:after="140"/>
              <w:jc w:val="left"/>
              <w:rPr/>
            </w:pPr>
            <w:r>
              <w:rPr/>
              <w:t xml:space="preserve">Unknown </w:t>
            </w:r>
            <w:r>
              <w:rPr>
                <w:rStyle w:val="SourceText"/>
              </w:rPr>
              <w:t>homeId</w:t>
            </w:r>
          </w:p>
        </w:tc>
      </w:tr>
      <w:tr>
        <w:trPr/>
        <w:tc>
          <w:tcPr>
            <w:tcW w:w="1393" w:type="dxa"/>
            <w:tcBorders/>
            <w:vAlign w:val="center"/>
          </w:tcPr>
          <w:p>
            <w:pPr>
              <w:pStyle w:val="TableContents"/>
              <w:bidi w:val="0"/>
              <w:spacing w:before="0" w:after="140"/>
              <w:jc w:val="left"/>
              <w:rPr/>
            </w:pPr>
            <w:r>
              <w:rPr/>
              <w:t>409</w:t>
            </w:r>
          </w:p>
        </w:tc>
        <w:tc>
          <w:tcPr>
            <w:tcW w:w="3556" w:type="dxa"/>
            <w:tcBorders/>
            <w:vAlign w:val="center"/>
          </w:tcPr>
          <w:p>
            <w:pPr>
              <w:pStyle w:val="TableContents"/>
              <w:bidi w:val="0"/>
              <w:spacing w:before="0" w:after="140"/>
              <w:jc w:val="left"/>
              <w:rPr/>
            </w:pPr>
            <w:r>
              <w:rPr/>
              <w:t>Duplicate identifier</w:t>
            </w:r>
          </w:p>
        </w:tc>
        <w:tc>
          <w:tcPr>
            <w:tcW w:w="4567" w:type="dxa"/>
            <w:tcBorders/>
            <w:vAlign w:val="center"/>
          </w:tcPr>
          <w:p>
            <w:pPr>
              <w:pStyle w:val="TableContents"/>
              <w:bidi w:val="0"/>
              <w:spacing w:before="0" w:after="140"/>
              <w:jc w:val="left"/>
              <w:rPr/>
            </w:pPr>
            <w:r>
              <w:rPr>
                <w:rStyle w:val="SourceText"/>
              </w:rPr>
              <w:t>{"error":"duplicate key","details":{"homeId":"H001"}}</w:t>
            </w:r>
          </w:p>
        </w:tc>
      </w:tr>
      <w:tr>
        <w:trPr/>
        <w:tc>
          <w:tcPr>
            <w:tcW w:w="1393" w:type="dxa"/>
            <w:tcBorders/>
            <w:vAlign w:val="center"/>
          </w:tcPr>
          <w:p>
            <w:pPr>
              <w:pStyle w:val="TableContents"/>
              <w:bidi w:val="0"/>
              <w:spacing w:before="0" w:after="140"/>
              <w:jc w:val="left"/>
              <w:rPr/>
            </w:pPr>
            <w:r>
              <w:rPr/>
              <w:t>503</w:t>
            </w:r>
          </w:p>
        </w:tc>
        <w:tc>
          <w:tcPr>
            <w:tcW w:w="3556" w:type="dxa"/>
            <w:tcBorders/>
            <w:vAlign w:val="center"/>
          </w:tcPr>
          <w:p>
            <w:pPr>
              <w:pStyle w:val="TableContents"/>
              <w:bidi w:val="0"/>
              <w:spacing w:before="0" w:after="140"/>
              <w:jc w:val="left"/>
              <w:rPr/>
            </w:pPr>
            <w:r>
              <w:rPr/>
              <w:t>Database unavailable</w:t>
            </w:r>
          </w:p>
        </w:tc>
        <w:tc>
          <w:tcPr>
            <w:tcW w:w="4567" w:type="dxa"/>
            <w:tcBorders/>
            <w:vAlign w:val="center"/>
          </w:tcPr>
          <w:p>
            <w:pPr>
              <w:pStyle w:val="TableContents"/>
              <w:bidi w:val="0"/>
              <w:spacing w:before="0" w:after="140"/>
              <w:jc w:val="left"/>
              <w:rPr/>
            </w:pPr>
            <w:r>
              <w:rPr/>
              <w:t xml:space="preserve">Returned by </w:t>
            </w:r>
            <w:r>
              <w:rPr>
                <w:rStyle w:val="SourceText"/>
              </w:rPr>
              <w:t>/health</w:t>
            </w:r>
            <w:r>
              <w:rPr/>
              <w:t xml:space="preserve"> if no primary can be reached</w:t>
            </w:r>
          </w:p>
        </w:tc>
      </w:tr>
    </w:tbl>
    <w:p>
      <w:pPr>
        <w:pStyle w:val="Heading3"/>
        <w:bidi w:val="0"/>
        <w:jc w:val="left"/>
        <w:rPr/>
      </w:pPr>
      <w:r>
        <w:rPr/>
        <w:t>5.3 Turning data into feedback</w:t>
      </w:r>
    </w:p>
    <w:p>
      <w:pPr>
        <w:pStyle w:val="TextBody"/>
        <w:bidi w:val="0"/>
        <w:spacing w:before="0" w:after="140"/>
        <w:jc w:val="both"/>
        <w:rPr/>
      </w:pPr>
      <w:r>
        <w:rPr/>
        <w:t>The analytics endpoints address IoThings' three business goals directly.</w:t>
      </w:r>
    </w:p>
    <w:p>
      <w:pPr>
        <w:pStyle w:val="TextBody"/>
        <w:bidi w:val="0"/>
        <w:spacing w:before="0" w:after="140"/>
        <w:jc w:val="both"/>
        <w:rPr/>
      </w:pPr>
      <w:r>
        <w:rPr>
          <w:rStyle w:val="StrongEmphasis"/>
        </w:rPr>
        <w:t xml:space="preserve">Prediction: </w:t>
      </w:r>
      <w:r>
        <w:rPr>
          <w:rStyle w:val="SourceText"/>
        </w:rPr>
        <w:t>routine</w:t>
      </w:r>
      <w:r>
        <w:rPr>
          <w:rStyle w:val="StrongEmphasis"/>
        </w:rPr>
        <w:t>.</w:t>
      </w:r>
      <w:r>
        <w:rPr/>
        <w:t xml:space="preserve"> For each day, this endpoint finds the first motion after 04:00 (wake-up) and the first and last front-door openings (leave and return). It then takes the </w:t>
      </w:r>
      <w:r>
        <w:rPr>
          <w:rStyle w:val="StrongEmphasis"/>
        </w:rPr>
        <w:t>median</w:t>
      </w:r>
      <w:r>
        <w:rPr/>
        <w:t xml:space="preserve"> over 28 days, separately for weekdays and weekends. The median is robust to an occasional late night or day off.</w:t>
      </w:r>
    </w:p>
    <w:p>
      <w:pPr>
        <w:pStyle w:val="TextBody"/>
        <w:bidi w:val="0"/>
        <w:spacing w:before="0" w:after="140"/>
        <w:jc w:val="both"/>
        <w:rPr/>
      </w:pPr>
      <w:r>
        <w:rPr>
          <w:rStyle w:val="StrongEmphasis"/>
        </w:rPr>
        <w:t>Validation against ground truth.</w:t>
      </w:r>
      <w:r>
        <w:rPr/>
        <w:t xml:space="preserve"> Home H005 was generated as a commuter who wakes between 06:15 and 07:30, leaves 50–80 minutes later, and returns between 17:00 and 18:30. The API predicted a weekday wake-up at </w:t>
      </w:r>
      <w:r>
        <w:rPr>
          <w:rStyle w:val="StrongEmphasis"/>
        </w:rPr>
        <w:t>06:53</w:t>
      </w:r>
      <w:r>
        <w:rPr/>
        <w:t xml:space="preserve">, leaving at </w:t>
      </w:r>
      <w:r>
        <w:rPr>
          <w:rStyle w:val="StrongEmphasis"/>
        </w:rPr>
        <w:t>08:07</w:t>
      </w:r>
      <w:r>
        <w:rPr/>
        <w:t xml:space="preserve"> and returning at </w:t>
      </w:r>
      <w:r>
        <w:rPr>
          <w:rStyle w:val="StrongEmphasis"/>
        </w:rPr>
        <w:t>17:52</w:t>
      </w:r>
      <w:r>
        <w:rPr/>
        <w:t>, all inside the generated ranges. For weekends it correctly predicted a later wake-up (</w:t>
      </w:r>
      <w:r>
        <w:rPr>
          <w:rStyle w:val="StrongEmphasis"/>
        </w:rPr>
        <w:t>08:28</w:t>
      </w:r>
      <w:r>
        <w:rPr/>
        <w:t>). The analytics therefore recover the real pattern in the data, the property that a heating schedule or security feature would rely on.</w:t>
      </w:r>
    </w:p>
    <w:p>
      <w:pPr>
        <w:pStyle w:val="TextBody"/>
        <w:bidi w:val="0"/>
        <w:spacing w:before="0" w:after="140"/>
        <w:jc w:val="both"/>
        <w:rPr/>
      </w:pPr>
      <w:r>
        <w:rPr>
          <w:rStyle w:val="StrongEmphasis"/>
        </w:rPr>
        <w:t xml:space="preserve">Recommendation: </w:t>
      </w:r>
      <w:r>
        <w:rPr>
          <w:rStyle w:val="SourceText"/>
        </w:rPr>
        <w:t>usage</w:t>
      </w:r>
      <w:r>
        <w:rPr>
          <w:rStyle w:val="StrongEmphasis"/>
        </w:rPr>
        <w:t xml:space="preserve"> and </w:t>
      </w:r>
      <w:r>
        <w:rPr>
          <w:rStyle w:val="SourceText"/>
        </w:rPr>
        <w:t>recommendations</w:t>
      </w:r>
      <w:r>
        <w:rPr>
          <w:rStyle w:val="StrongEmphasis"/>
        </w:rPr>
        <w:t>.</w:t>
      </w:r>
      <w:r>
        <w:rPr/>
        <w:t xml:space="preserve"> </w:t>
      </w:r>
      <w:r>
        <w:rPr>
          <w:rStyle w:val="SourceText"/>
        </w:rPr>
        <w:t>usage</w:t>
      </w:r>
      <w:r>
        <w:rPr/>
        <w:t xml:space="preserve"> pairs each event with the next event from the same device, using the </w:t>
      </w:r>
      <w:r>
        <w:rPr>
          <w:rStyle w:val="SourceText"/>
        </w:rPr>
        <w:t>$shift</w:t>
      </w:r>
      <w:r>
        <w:rPr/>
        <w:t xml:space="preserve"> window operator. This gives how long each light or heater stayed on, and turns smart-plug wattage into kilowatt-hours. </w:t>
      </w:r>
      <w:r>
        <w:rPr>
          <w:rStyle w:val="SourceText"/>
        </w:rPr>
        <w:t>recommendations</w:t>
      </w:r>
      <w:r>
        <w:rPr/>
        <w:t xml:space="preserve"> applies simple, explainable rules to those results, such as lights on for more than 4 hours a day, rooms above the owner's preferred temperature, heating for more than 8 hours a day, low batteries and unacknowledged alerts.</w:t>
      </w:r>
    </w:p>
    <w:p>
      <w:pPr>
        <w:pStyle w:val="TextBody"/>
        <w:bidi w:val="0"/>
        <w:spacing w:before="0" w:after="140"/>
        <w:jc w:val="both"/>
        <w:rPr/>
      </w:pPr>
      <w:r>
        <w:rPr>
          <w:rStyle w:val="StrongEmphasis"/>
        </w:rPr>
        <w:t xml:space="preserve">Safety: </w:t>
      </w:r>
      <w:r>
        <w:rPr>
          <w:rStyle w:val="SourceText"/>
        </w:rPr>
        <w:t>alerts</w:t>
      </w:r>
      <w:r>
        <w:rPr>
          <w:rStyle w:val="StrongEmphasis"/>
        </w:rPr>
        <w:t xml:space="preserve"> and the notifications topic.</w:t>
      </w:r>
      <w:r>
        <w:rPr/>
        <w:t xml:space="preserve"> Alerts are raised as soon as the triggering message is processed, before the event itself is batched (Figure 7). They stay unacknowledged until the owner or a monitoring centre confirms them.</w:t>
      </w:r>
    </w:p>
    <w:p>
      <w:pPr>
        <w:pStyle w:val="PreformattedText"/>
        <w:pBdr/>
        <w:shd w:fill="F1F3F5" w:val="clear"/>
        <w:bidi w:val="0"/>
        <w:spacing w:lineRule="auto" w:line="324" w:before="160" w:after="40"/>
        <w:ind w:left="160" w:right="160" w:hanging="0"/>
        <w:jc w:val="left"/>
        <w:rPr/>
      </w:pPr>
      <w:r>
        <w:rPr>
          <w:rStyle w:val="SourceText"/>
        </w:rPr>
        <w:t>GET /api/v1/analytics/homes/H005/routine</w:t>
      </w:r>
    </w:p>
    <w:p>
      <w:pPr>
        <w:pStyle w:val="PreformattedText"/>
        <w:pBdr/>
        <w:shd w:fill="F1F3F5" w:val="clear"/>
        <w:bidi w:val="0"/>
        <w:spacing w:lineRule="auto" w:line="324" w:before="160" w:after="40"/>
        <w:ind w:left="160" w:right="160" w:hanging="0"/>
        <w:jc w:val="left"/>
        <w:rPr/>
      </w:pPr>
      <w:r>
        <w:rPr>
          <w:rStyle w:val="SourceText"/>
        </w:rPr>
        <w:t>{"homeId":"H005","basedOn":"median of the last 28 days",</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"predicted":{"weekday":{"days":20,"wakeUp":"06:53","leave":"08:07","return":"17:52"},</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"weekend":{"days":8,"wakeUp":"08:28","leave":"13:51","return":"14:41"}}}</w:t>
      </w:r>
    </w:p>
    <w:p>
      <w:pPr>
        <w:pStyle w:val="PreformattedText"/>
        <w:pBdr/>
        <w:shd w:fill="F1F3F5" w:val="clear"/>
        <w:bidi w:val="0"/>
        <w:spacing w:lineRule="auto" w:line="324" w:before="160" w:after="40"/>
        <w:ind w:left="160" w:right="160" w:hanging="0"/>
        <w:jc w:val="left"/>
        <w:rPr/>
      </w:pPr>
      <w:r>
        <w:rPr/>
      </w:r>
    </w:p>
    <w:p>
      <w:pPr>
        <w:pStyle w:val="PreformattedText"/>
        <w:pBdr/>
        <w:shd w:fill="F1F3F5" w:val="clear"/>
        <w:bidi w:val="0"/>
        <w:spacing w:lineRule="auto" w:line="324" w:before="160" w:after="40"/>
        <w:ind w:left="160" w:right="160" w:hanging="0"/>
        <w:jc w:val="left"/>
        <w:rPr/>
      </w:pPr>
      <w:r>
        <w:rPr>
          <w:rStyle w:val="SourceText"/>
        </w:rPr>
        <w:t>GET /api/v1/analytics/homes/H005/usage          (totals, last 7 days)</w:t>
      </w:r>
    </w:p>
    <w:p>
      <w:pPr>
        <w:pStyle w:val="PreformattedText"/>
        <w:pBdr/>
        <w:shd w:fill="F1F3F5" w:val="clear"/>
        <w:bidi w:val="0"/>
        <w:spacing w:lineRule="auto" w:line="324" w:before="160" w:after="40"/>
        <w:ind w:left="160" w:right="160" w:hanging="0"/>
        <w:jc w:val="left"/>
        <w:rPr/>
      </w:pPr>
      <w:r>
        <w:rPr>
          <w:rStyle w:val="SourceText"/>
        </w:rPr>
        <w:t>{"activations":444,"lightHoursPerDay":5,"heatingHoursPerDay":9,"kWh":3.68}</w:t>
      </w:r>
    </w:p>
    <w:p>
      <w:pPr>
        <w:pStyle w:val="PreformattedText"/>
        <w:pBdr/>
        <w:shd w:fill="F1F3F5" w:val="clear"/>
        <w:bidi w:val="0"/>
        <w:spacing w:lineRule="auto" w:line="324" w:before="160" w:after="40"/>
        <w:ind w:left="160" w:right="160" w:hanging="0"/>
        <w:jc w:val="left"/>
        <w:rPr/>
      </w:pPr>
      <w:r>
        <w:rPr/>
      </w:r>
    </w:p>
    <w:p>
      <w:pPr>
        <w:pStyle w:val="PreformattedText"/>
        <w:pBdr/>
        <w:shd w:fill="F1F3F5" w:val="clear"/>
        <w:bidi w:val="0"/>
        <w:spacing w:lineRule="auto" w:line="324" w:before="160" w:after="40"/>
        <w:ind w:left="160" w:right="160" w:hanging="0"/>
        <w:jc w:val="left"/>
        <w:rPr/>
      </w:pPr>
      <w:r>
        <w:rPr>
          <w:rStyle w:val="SourceText"/>
        </w:rPr>
        <w:t>GET /api/v1/analytics/homes/H003/recommendations</w:t>
      </w:r>
    </w:p>
    <w:p>
      <w:pPr>
        <w:pStyle w:val="PreformattedText"/>
        <w:pBdr/>
        <w:shd w:fill="F1F3F5" w:val="clear"/>
        <w:bidi w:val="0"/>
        <w:spacing w:lineRule="auto" w:line="324" w:before="160" w:after="40"/>
        <w:ind w:left="160" w:right="160" w:hanging="0"/>
        <w:jc w:val="left"/>
        <w:rPr/>
      </w:pPr>
      <w:r>
        <w:rPr>
          <w:rStyle w:val="SourceText"/>
        </w:rPr>
        <w:t>[{"category":"comfort","room":"living_room","message":"living_room peaked at 22°C, above</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your 19°C preference - lower the thermostat setpoint or close blinds on sunny days"},</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{"category":"energy","message":"Heating runs 13.5 h/day - a 1°C lower setpoint saves</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roughly 10% on heating"},</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{"category":"energy","message":"Smart plugs used 4.1 kWh in this period"},</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{"category":"safety","message":"5 unacknowledged safety alert(s)"}]</w:t>
      </w:r>
    </w:p>
    <w:p>
      <w:pPr>
        <w:pStyle w:val="PreformattedText"/>
        <w:pBdr/>
        <w:shd w:fill="F1F3F5" w:val="clear"/>
        <w:bidi w:val="0"/>
        <w:spacing w:lineRule="auto" w:line="324" w:before="160" w:after="40"/>
        <w:ind w:left="160" w:right="160" w:hanging="0"/>
        <w:jc w:val="left"/>
        <w:rPr/>
      </w:pPr>
      <w:r>
        <w:rPr/>
      </w:r>
    </w:p>
    <w:p>
      <w:pPr>
        <w:pStyle w:val="PreformattedText"/>
        <w:pBdr/>
        <w:shd w:fill="F1F3F5" w:val="clear"/>
        <w:bidi w:val="0"/>
        <w:spacing w:lineRule="auto" w:line="324" w:before="160" w:after="40"/>
        <w:ind w:left="160" w:right="160" w:hanging="0"/>
        <w:jc w:val="left"/>
        <w:rPr/>
      </w:pPr>
      <w:r>
        <w:rPr>
          <w:rStyle w:val="SourceText"/>
        </w:rPr>
        <w:t>GET /api/v1/homes            (no API key)   -&gt; 401 {"error":"missing or invalid x-api-key header"}</w:t>
      </w:r>
    </w:p>
    <w:p>
      <w:pPr>
        <w:pStyle w:val="PreformattedText"/>
        <w:pBdr/>
        <w:shd w:fill="F1F3F5" w:val="clear"/>
        <w:bidi w:val="0"/>
        <w:spacing w:lineRule="auto" w:line="324" w:before="160" w:after="40"/>
        <w:ind w:left="160" w:right="160" w:hanging="0"/>
        <w:jc w:val="left"/>
        <w:rPr/>
      </w:pPr>
      <w:r>
        <w:rPr>
          <w:rStyle w:val="SourceText"/>
        </w:rPr>
        <w:t>POST /api/v1/homes {"homeId":"H001",...}    -&gt; 409 {"error":"duplicate key","details":{"homeId":"H001"}}</w:t>
      </w:r>
    </w:p>
    <w:p>
      <w:pPr>
        <w:pStyle w:val="TextBodycaption"/>
        <w:bidi w:val="0"/>
        <w:spacing w:before="0" w:after="200"/>
        <w:jc w:val="left"/>
        <w:rPr/>
      </w:pPr>
      <w:r>
        <w:rPr/>
        <w:t>Figure 11: Example API responses captured from the running system.</w:t>
      </w:r>
    </w:p>
    <w:p>
      <w:pPr>
        <w:pStyle w:val="TextBody"/>
        <w:bidi w:val="0"/>
        <w:spacing w:before="0" w:after="140"/>
        <w:jc w:val="both"/>
        <w:rPr/>
      </w:pPr>
      <w:r>
        <w:rPr/>
        <w:drawing>
          <wp:inline distT="0" distB="0" distL="0" distR="0">
            <wp:extent cx="5715000" cy="217170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715000" cy="2171700"/>
                    </a:xfrm>
                    <a:prstGeom prst="rect">
                      <a:avLst/>
                    </a:prstGeom>
                  </pic:spPr>
                </pic:pic>
              </a:graphicData>
            </a:graphic>
          </wp:inline>
        </w:drawing>
      </w:r>
      <w:r>
        <w:rPr/>
        <w:t xml:space="preserve">Figure 12: Occupancy pattern for home H005 returned by the activity-by-hour endpoint. The morning routine, the empty house during working hours and the evening peak are clearly visible. </w:t>
      </w:r>
    </w:p>
    <w:p>
      <w:pPr>
        <w:pStyle w:val="TextBody"/>
        <w:bidi w:val="0"/>
        <w:spacing w:before="0" w:after="140"/>
        <w:jc w:val="both"/>
        <w:rPr/>
      </w:pPr>
      <w:r>
        <w:rPr>
          <w:rStyle w:val="StrongEmphasis"/>
        </w:rPr>
        <w:t>Response times.</w:t>
      </w:r>
      <w:r>
        <w:rPr/>
        <w:t xml:space="preserve"> Measured on the running system:</w:t>
      </w:r>
    </w:p>
    <w:tbl>
      <w:tblPr>
        <w:tblW w:w="4592" w:type="dxa"/>
        <w:jc w:val="left"/>
        <w:tblInd w:w="0" w:type="dxa"/>
        <w:tblLayout w:type="fixed"/>
        <w:tblCellMar>
          <w:top w:w="28" w:type="dxa"/>
          <w:left w:w="28" w:type="dxa"/>
          <w:bottom w:w="28" w:type="dxa"/>
          <w:right w:w="28" w:type="dxa"/>
        </w:tblCellMar>
      </w:tblPr>
      <w:tblGrid>
        <w:gridCol w:w="2431"/>
        <w:gridCol w:w="2161"/>
      </w:tblGrid>
      <w:tr>
        <w:trPr>
          <w:tblHeader w:val="true"/>
        </w:trPr>
        <w:tc>
          <w:tcPr>
            <w:tcW w:w="2431" w:type="dxa"/>
            <w:tcBorders/>
            <w:vAlign w:val="center"/>
          </w:tcPr>
          <w:p>
            <w:pPr>
              <w:pStyle w:val="TableHeading"/>
              <w:suppressLineNumbers/>
              <w:shd w:fill="0D3B66" w:val="clear"/>
              <w:bidi w:val="0"/>
              <w:spacing w:before="0" w:after="140"/>
              <w:jc w:val="left"/>
              <w:rPr/>
            </w:pPr>
            <w:r>
              <w:rPr/>
              <w:t>Endpoint</w:t>
            </w:r>
          </w:p>
        </w:tc>
        <w:tc>
          <w:tcPr>
            <w:tcW w:w="2161" w:type="dxa"/>
            <w:tcBorders/>
            <w:vAlign w:val="center"/>
          </w:tcPr>
          <w:p>
            <w:pPr>
              <w:pStyle w:val="TableHeading"/>
              <w:suppressLineNumbers/>
              <w:shd w:fill="0D3B66" w:val="clear"/>
              <w:bidi w:val="0"/>
              <w:spacing w:before="0" w:after="140"/>
              <w:jc w:val="left"/>
              <w:rPr/>
            </w:pPr>
            <w:r>
              <w:rPr/>
              <w:t>Response time</w:t>
            </w:r>
          </w:p>
        </w:tc>
      </w:tr>
      <w:tr>
        <w:trPr/>
        <w:tc>
          <w:tcPr>
            <w:tcW w:w="2431" w:type="dxa"/>
            <w:tcBorders/>
            <w:vAlign w:val="center"/>
          </w:tcPr>
          <w:p>
            <w:pPr>
              <w:pStyle w:val="TableContents"/>
              <w:bidi w:val="0"/>
              <w:spacing w:before="0" w:after="140"/>
              <w:jc w:val="left"/>
              <w:rPr/>
            </w:pPr>
            <w:r>
              <w:rPr/>
              <w:t xml:space="preserve">Home </w:t>
            </w:r>
            <w:r>
              <w:rPr>
                <w:rStyle w:val="SourceText"/>
              </w:rPr>
              <w:t>usage</w:t>
            </w:r>
          </w:p>
        </w:tc>
        <w:tc>
          <w:tcPr>
            <w:tcW w:w="2161" w:type="dxa"/>
            <w:tcBorders/>
            <w:vAlign w:val="center"/>
          </w:tcPr>
          <w:p>
            <w:pPr>
              <w:pStyle w:val="TableContents"/>
              <w:bidi w:val="0"/>
              <w:spacing w:before="0" w:after="140"/>
              <w:jc w:val="left"/>
              <w:rPr/>
            </w:pPr>
            <w:r>
              <w:rPr/>
              <w:t>3.5 ms</w:t>
            </w:r>
          </w:p>
        </w:tc>
      </w:tr>
      <w:tr>
        <w:trPr/>
        <w:tc>
          <w:tcPr>
            <w:tcW w:w="2431" w:type="dxa"/>
            <w:tcBorders/>
            <w:vAlign w:val="center"/>
          </w:tcPr>
          <w:p>
            <w:pPr>
              <w:pStyle w:val="TableContents"/>
              <w:bidi w:val="0"/>
              <w:spacing w:before="0" w:after="140"/>
              <w:jc w:val="left"/>
              <w:rPr/>
            </w:pPr>
            <w:r>
              <w:rPr>
                <w:rStyle w:val="SourceText"/>
              </w:rPr>
              <w:t>events</w:t>
            </w:r>
            <w:r>
              <w:rPr/>
              <w:t xml:space="preserve"> (100 events)</w:t>
            </w:r>
          </w:p>
        </w:tc>
        <w:tc>
          <w:tcPr>
            <w:tcW w:w="2161" w:type="dxa"/>
            <w:tcBorders/>
            <w:vAlign w:val="center"/>
          </w:tcPr>
          <w:p>
            <w:pPr>
              <w:pStyle w:val="TableContents"/>
              <w:bidi w:val="0"/>
              <w:spacing w:before="0" w:after="140"/>
              <w:jc w:val="left"/>
              <w:rPr/>
            </w:pPr>
            <w:r>
              <w:rPr/>
              <w:t>6.8 ms</w:t>
            </w:r>
          </w:p>
        </w:tc>
      </w:tr>
      <w:tr>
        <w:trPr/>
        <w:tc>
          <w:tcPr>
            <w:tcW w:w="2431" w:type="dxa"/>
            <w:tcBorders/>
            <w:vAlign w:val="center"/>
          </w:tcPr>
          <w:p>
            <w:pPr>
              <w:pStyle w:val="TableContents"/>
              <w:bidi w:val="0"/>
              <w:spacing w:before="0" w:after="140"/>
              <w:jc w:val="left"/>
              <w:rPr/>
            </w:pPr>
            <w:r>
              <w:rPr>
                <w:rStyle w:val="SourceText"/>
              </w:rPr>
              <w:t>routine</w:t>
            </w:r>
            <w:r>
              <w:rPr/>
              <w:t xml:space="preserve"> (28 days)</w:t>
            </w:r>
          </w:p>
        </w:tc>
        <w:tc>
          <w:tcPr>
            <w:tcW w:w="2161" w:type="dxa"/>
            <w:tcBorders/>
            <w:vAlign w:val="center"/>
          </w:tcPr>
          <w:p>
            <w:pPr>
              <w:pStyle w:val="TableContents"/>
              <w:bidi w:val="0"/>
              <w:spacing w:before="0" w:after="140"/>
              <w:jc w:val="left"/>
              <w:rPr/>
            </w:pPr>
            <w:r>
              <w:rPr/>
              <w:t>11.8 ms</w:t>
            </w:r>
          </w:p>
        </w:tc>
      </w:tr>
      <w:tr>
        <w:trPr/>
        <w:tc>
          <w:tcPr>
            <w:tcW w:w="2431" w:type="dxa"/>
            <w:tcBorders/>
            <w:vAlign w:val="center"/>
          </w:tcPr>
          <w:p>
            <w:pPr>
              <w:pStyle w:val="TableContents"/>
              <w:bidi w:val="0"/>
              <w:spacing w:before="0" w:after="140"/>
              <w:jc w:val="left"/>
              <w:rPr/>
            </w:pPr>
            <w:r>
              <w:rPr/>
              <w:t xml:space="preserve">Estate-wide </w:t>
            </w:r>
            <w:r>
              <w:rPr>
                <w:rStyle w:val="SourceText"/>
              </w:rPr>
              <w:t>overview</w:t>
            </w:r>
          </w:p>
        </w:tc>
        <w:tc>
          <w:tcPr>
            <w:tcW w:w="2161" w:type="dxa"/>
            <w:tcBorders/>
            <w:vAlign w:val="center"/>
          </w:tcPr>
          <w:p>
            <w:pPr>
              <w:pStyle w:val="TableContents"/>
              <w:bidi w:val="0"/>
              <w:spacing w:before="0" w:after="140"/>
              <w:jc w:val="left"/>
              <w:rPr/>
            </w:pPr>
            <w:r>
              <w:rPr/>
              <w:t>224 ms</w:t>
            </w:r>
          </w:p>
        </w:tc>
      </w:tr>
    </w:tbl>
    <w:p>
      <w:pPr>
        <w:pStyle w:val="TextBody"/>
        <w:bidi w:val="0"/>
        <w:spacing w:before="0" w:after="140"/>
        <w:jc w:val="both"/>
        <w:rPr/>
      </w:pPr>
      <w:r>
        <w:rPr/>
        <w:t xml:space="preserve">The </w:t>
      </w:r>
      <w:r>
        <w:rPr>
          <w:rStyle w:val="SourceText"/>
        </w:rPr>
        <w:t>overview</w:t>
      </w:r>
      <w:r>
        <w:rPr/>
        <w:t xml:space="preserve"> endpoint scans a week of events for every home. At a larger scale it should be served from a pre-aggregated summary collection, refreshed periodically, rather than computed on each request.</w:t>
      </w:r>
    </w:p>
    <w:p>
      <w:pPr>
        <w:pStyle w:val="Heading2pb"/>
        <w:bidi w:val="0"/>
        <w:jc w:val="left"/>
        <w:rPr/>
      </w:pPr>
      <w:r>
        <w:rPr/>
        <w:t>6. Summary and Conclusion</w:t>
      </w:r>
    </w:p>
    <w:p>
      <w:pPr>
        <w:pStyle w:val="TextBody"/>
        <w:bidi w:val="0"/>
        <w:spacing w:before="0" w:after="140"/>
        <w:jc w:val="both"/>
        <w:rPr/>
      </w:pPr>
      <w:r>
        <w:rPr/>
        <w:t>This project delivered a working NoSQL sensor platform that meets every requirement in the brief:</w:t>
      </w:r>
    </w:p>
    <w:p>
      <w:pPr>
        <w:pStyle w:val="TextBody"/>
        <w:numPr>
          <w:ilvl w:val="0"/>
          <w:numId w:val="22"/>
        </w:numPr>
        <w:tabs>
          <w:tab w:val="clear" w:pos="1134"/>
          <w:tab w:val="left" w:pos="709" w:leader="none"/>
        </w:tabs>
        <w:bidi w:val="0"/>
        <w:spacing w:before="0" w:after="0"/>
        <w:ind w:left="709" w:hanging="283"/>
        <w:rPr/>
      </w:pPr>
      <w:r>
        <w:rPr>
          <w:rStyle w:val="StrongEmphasis"/>
        </w:rPr>
        <w:t>Three-member MongoDB replica set:</w:t>
      </w:r>
      <w:r>
        <w:rPr/>
        <w:t xml:space="preserve"> survived five abrupt primary failures, electing a new primary in 13.4 seconds on average without losing any acknowledged write. </w:t>
      </w:r>
    </w:p>
    <w:p>
      <w:pPr>
        <w:pStyle w:val="TextBody"/>
        <w:numPr>
          <w:ilvl w:val="0"/>
          <w:numId w:val="22"/>
        </w:numPr>
        <w:tabs>
          <w:tab w:val="clear" w:pos="1134"/>
          <w:tab w:val="left" w:pos="709" w:leader="none"/>
        </w:tabs>
        <w:bidi w:val="0"/>
        <w:spacing w:before="0" w:after="0"/>
        <w:ind w:left="709" w:hanging="283"/>
        <w:rPr/>
      </w:pPr>
      <w:r>
        <w:rPr>
          <w:rStyle w:val="StrongEmphasis"/>
        </w:rPr>
        <w:t>Layered security:</w:t>
      </w:r>
      <w:r>
        <w:rPr/>
        <w:t xml:space="preserve"> keyfile authentication, least-privilege users, an authenticated MQTT broker, validated messages and an API key. </w:t>
      </w:r>
    </w:p>
    <w:p>
      <w:pPr>
        <w:pStyle w:val="TextBody"/>
        <w:numPr>
          <w:ilvl w:val="0"/>
          <w:numId w:val="22"/>
        </w:numPr>
        <w:tabs>
          <w:tab w:val="clear" w:pos="1134"/>
          <w:tab w:val="left" w:pos="709" w:leader="none"/>
        </w:tabs>
        <w:bidi w:val="0"/>
        <w:spacing w:before="0" w:after="0"/>
        <w:ind w:left="709" w:hanging="283"/>
        <w:rPr/>
      </w:pPr>
      <w:r>
        <w:rPr>
          <w:rStyle w:val="StrongEmphasis"/>
        </w:rPr>
        <w:t>Schema design:</w:t>
      </w:r>
      <w:r>
        <w:rPr/>
        <w:t xml:space="preserve"> optimised by experiment to store sensor events in 21 bytes each. </w:t>
      </w:r>
    </w:p>
    <w:p>
      <w:pPr>
        <w:pStyle w:val="TextBody"/>
        <w:numPr>
          <w:ilvl w:val="0"/>
          <w:numId w:val="22"/>
        </w:numPr>
        <w:tabs>
          <w:tab w:val="clear" w:pos="1134"/>
          <w:tab w:val="left" w:pos="709" w:leader="none"/>
        </w:tabs>
        <w:bidi w:val="0"/>
        <w:spacing w:before="0" w:after="0"/>
        <w:ind w:left="709" w:hanging="283"/>
        <w:rPr/>
      </w:pPr>
      <w:r>
        <w:rPr>
          <w:rStyle w:val="StrongEmphasis"/>
        </w:rPr>
        <w:t>Node.js ingest service:</w:t>
      </w:r>
      <w:r>
        <w:rPr/>
        <w:t xml:space="preserve"> stored more than 47,000 events per second in testing. </w:t>
      </w:r>
    </w:p>
    <w:p>
      <w:pPr>
        <w:pStyle w:val="TextBody"/>
        <w:numPr>
          <w:ilvl w:val="0"/>
          <w:numId w:val="22"/>
        </w:numPr>
        <w:tabs>
          <w:tab w:val="clear" w:pos="1134"/>
          <w:tab w:val="left" w:pos="709" w:leader="none"/>
        </w:tabs>
        <w:bidi w:val="0"/>
        <w:ind w:left="709" w:hanging="283"/>
        <w:rPr/>
      </w:pPr>
      <w:r>
        <w:rPr>
          <w:rStyle w:val="StrongEmphasis"/>
        </w:rPr>
        <w:t>REST API:</w:t>
      </w:r>
      <w:r>
        <w:rPr/>
        <w:t xml:space="preserve"> documented and turns raw activations into predictions, recommendations and safety alerts. </w:t>
      </w:r>
    </w:p>
    <w:p>
      <w:pPr>
        <w:pStyle w:val="TextBody"/>
        <w:bidi w:val="0"/>
        <w:rPr/>
      </w:pPr>
      <w:r>
        <w:rPr/>
        <w:t xml:space="preserve">The critical comparison in section 3 concluded that relational and document databases are complementary. </w:t>
      </w:r>
      <w:r>
        <w:rPr>
          <w:rStyle w:val="StrongEmphasis"/>
        </w:rPr>
        <w:t>IoThings should invest in the NoSQL sensor store</w:t>
      </w:r>
      <w:r>
        <w:rPr/>
        <w:t xml:space="preserve"> for these reasons:</w:t>
      </w:r>
    </w:p>
    <w:p>
      <w:pPr>
        <w:pStyle w:val="TextBody"/>
        <w:numPr>
          <w:ilvl w:val="0"/>
          <w:numId w:val="23"/>
        </w:numPr>
        <w:tabs>
          <w:tab w:val="clear" w:pos="1134"/>
          <w:tab w:val="left" w:pos="709" w:leader="none"/>
        </w:tabs>
        <w:bidi w:val="0"/>
        <w:spacing w:before="0" w:after="0"/>
        <w:ind w:left="709" w:hanging="283"/>
        <w:rPr/>
      </w:pPr>
      <w:r>
        <w:rPr>
          <w:rStyle w:val="StrongEmphasis"/>
        </w:rPr>
        <w:t>It fits the data.</w:t>
      </w:r>
      <w:r>
        <w:rPr/>
        <w:t xml:space="preserve"> Sensor messages are already JSON documents with varied structures. New device types can be added without schema migrations, while validation still protects data quality. </w:t>
      </w:r>
    </w:p>
    <w:p>
      <w:pPr>
        <w:pStyle w:val="TextBody"/>
        <w:numPr>
          <w:ilvl w:val="0"/>
          <w:numId w:val="23"/>
        </w:numPr>
        <w:tabs>
          <w:tab w:val="clear" w:pos="1134"/>
          <w:tab w:val="left" w:pos="709" w:leader="none"/>
        </w:tabs>
        <w:bidi w:val="0"/>
        <w:spacing w:before="0" w:after="0"/>
        <w:ind w:left="709" w:hanging="283"/>
        <w:rPr/>
      </w:pPr>
      <w:r>
        <w:rPr>
          <w:rStyle w:val="StrongEmphasis"/>
        </w:rPr>
        <w:t>It is resilient.</w:t>
      </w:r>
      <w:r>
        <w:rPr/>
        <w:t xml:space="preserve"> The replica set removes the single point of failure that a lone database server would be, directly addressing the company's concern about its data. </w:t>
      </w:r>
    </w:p>
    <w:p>
      <w:pPr>
        <w:pStyle w:val="TextBody"/>
        <w:numPr>
          <w:ilvl w:val="0"/>
          <w:numId w:val="23"/>
        </w:numPr>
        <w:tabs>
          <w:tab w:val="clear" w:pos="1134"/>
          <w:tab w:val="left" w:pos="709" w:leader="none"/>
        </w:tabs>
        <w:bidi w:val="0"/>
        <w:spacing w:before="0" w:after="0"/>
        <w:ind w:left="709" w:hanging="283"/>
        <w:rPr/>
      </w:pPr>
      <w:r>
        <w:rPr>
          <w:rStyle w:val="StrongEmphasis"/>
        </w:rPr>
        <w:t>It is economical.</w:t>
      </w:r>
      <w:r>
        <w:rPr/>
        <w:t xml:space="preserve"> Time-series compression cut storage 22-fold compared with the untuned design, and one modest cluster covers the estimated needs of 10,000 homes. </w:t>
      </w:r>
    </w:p>
    <w:p>
      <w:pPr>
        <w:pStyle w:val="TextBody"/>
        <w:numPr>
          <w:ilvl w:val="0"/>
          <w:numId w:val="23"/>
        </w:numPr>
        <w:tabs>
          <w:tab w:val="clear" w:pos="1134"/>
          <w:tab w:val="left" w:pos="709" w:leader="none"/>
        </w:tabs>
        <w:bidi w:val="0"/>
        <w:spacing w:before="0" w:after="0"/>
        <w:ind w:left="709" w:hanging="283"/>
        <w:rPr/>
      </w:pPr>
      <w:r>
        <w:rPr>
          <w:rStyle w:val="StrongEmphasis"/>
        </w:rPr>
        <w:t>It creates value.</w:t>
      </w:r>
      <w:r>
        <w:rPr/>
        <w:t xml:space="preserve"> The same data powers customer-facing features: routine prediction, energy and comfort advice, and instant safety alerts. These can differentiate IoThings' product and support marketing. </w:t>
      </w:r>
    </w:p>
    <w:p>
      <w:pPr>
        <w:pStyle w:val="TextBody"/>
        <w:numPr>
          <w:ilvl w:val="0"/>
          <w:numId w:val="23"/>
        </w:numPr>
        <w:tabs>
          <w:tab w:val="clear" w:pos="1134"/>
          <w:tab w:val="left" w:pos="709" w:leader="none"/>
        </w:tabs>
        <w:bidi w:val="0"/>
        <w:ind w:left="709" w:hanging="283"/>
        <w:rPr/>
      </w:pPr>
      <w:r>
        <w:rPr>
          <w:rStyle w:val="StrongEmphasis"/>
        </w:rPr>
        <w:t>It protects existing investment.</w:t>
      </w:r>
      <w:r>
        <w:rPr/>
        <w:t xml:space="preserve"> The ERP, CRM and financial systems stay relational and untouched, linked by a customer reference. </w:t>
      </w:r>
    </w:p>
    <w:p>
      <w:pPr>
        <w:pStyle w:val="Heading3"/>
        <w:bidi w:val="0"/>
        <w:jc w:val="left"/>
        <w:rPr/>
      </w:pPr>
      <w:r>
        <w:rPr/>
        <w:t>6.1 Limitations</w:t>
      </w:r>
    </w:p>
    <w:p>
      <w:pPr>
        <w:pStyle w:val="TextBody"/>
        <w:numPr>
          <w:ilvl w:val="0"/>
          <w:numId w:val="24"/>
        </w:numPr>
        <w:tabs>
          <w:tab w:val="clear" w:pos="1134"/>
          <w:tab w:val="left" w:pos="709" w:leader="none"/>
        </w:tabs>
        <w:bidi w:val="0"/>
        <w:spacing w:before="0" w:after="0"/>
        <w:ind w:left="709" w:hanging="283"/>
        <w:rPr/>
      </w:pPr>
      <w:r>
        <w:rPr>
          <w:rStyle w:val="StrongEmphasis"/>
        </w:rPr>
        <w:t>One host.</w:t>
      </w:r>
      <w:r>
        <w:rPr/>
        <w:t xml:space="preserve"> All three replica-set members ran on one machine. The failover test proves the software behaviour, but not protection against hardware, power or site failure. In production, each member must run on a separate server, ideally in separate availability zones or data centres. </w:t>
      </w:r>
    </w:p>
    <w:p>
      <w:pPr>
        <w:pStyle w:val="TextBody"/>
        <w:numPr>
          <w:ilvl w:val="0"/>
          <w:numId w:val="24"/>
        </w:numPr>
        <w:tabs>
          <w:tab w:val="clear" w:pos="1134"/>
          <w:tab w:val="left" w:pos="709" w:leader="none"/>
        </w:tabs>
        <w:bidi w:val="0"/>
        <w:spacing w:before="0" w:after="0"/>
        <w:ind w:left="709" w:hanging="283"/>
        <w:rPr/>
      </w:pPr>
      <w:r>
        <w:rPr>
          <w:rStyle w:val="StrongEmphasis"/>
        </w:rPr>
        <w:t>Synthetic data.</w:t>
      </w:r>
      <w:r>
        <w:rPr/>
        <w:t xml:space="preserve"> Real sensor data is noisier, so compression ratios and prediction accuracy should be re-measured on a consented pilot group. </w:t>
      </w:r>
    </w:p>
    <w:p>
      <w:pPr>
        <w:pStyle w:val="TextBody"/>
        <w:numPr>
          <w:ilvl w:val="0"/>
          <w:numId w:val="24"/>
        </w:numPr>
        <w:tabs>
          <w:tab w:val="clear" w:pos="1134"/>
          <w:tab w:val="left" w:pos="709" w:leader="none"/>
        </w:tabs>
        <w:bidi w:val="0"/>
        <w:spacing w:before="0" w:after="0"/>
        <w:ind w:left="709" w:hanging="283"/>
        <w:rPr/>
      </w:pPr>
      <w:r>
        <w:rPr>
          <w:rStyle w:val="StrongEmphasis"/>
        </w:rPr>
        <w:t>No encryption yet.</w:t>
      </w:r>
      <w:r>
        <w:rPr/>
        <w:t xml:space="preserve"> Neither TLS in transit nor encryption at rest has been enabled (section 4.4). </w:t>
      </w:r>
    </w:p>
    <w:p>
      <w:pPr>
        <w:pStyle w:val="TextBody"/>
        <w:numPr>
          <w:ilvl w:val="0"/>
          <w:numId w:val="24"/>
        </w:numPr>
        <w:tabs>
          <w:tab w:val="clear" w:pos="1134"/>
          <w:tab w:val="left" w:pos="709" w:leader="none"/>
        </w:tabs>
        <w:bidi w:val="0"/>
        <w:spacing w:before="0" w:after="0"/>
        <w:ind w:left="709" w:hanging="283"/>
        <w:rPr/>
      </w:pPr>
      <w:r>
        <w:rPr>
          <w:rStyle w:val="StrongEmphasis"/>
        </w:rPr>
        <w:t>One shared API key.</w:t>
      </w:r>
      <w:r>
        <w:rPr/>
        <w:t xml:space="preserve"> It identifies an application, not a customer, so any key-holder can read any home. </w:t>
      </w:r>
    </w:p>
    <w:p>
      <w:pPr>
        <w:pStyle w:val="TextBody"/>
        <w:numPr>
          <w:ilvl w:val="0"/>
          <w:numId w:val="24"/>
        </w:numPr>
        <w:tabs>
          <w:tab w:val="clear" w:pos="1134"/>
          <w:tab w:val="left" w:pos="709" w:leader="none"/>
        </w:tabs>
        <w:bidi w:val="0"/>
        <w:spacing w:before="0" w:after="0"/>
        <w:ind w:left="709" w:hanging="283"/>
        <w:rPr/>
      </w:pPr>
      <w:r>
        <w:rPr>
          <w:rStyle w:val="StrongEmphasis"/>
        </w:rPr>
        <w:t>Possible duplicates after a failed batch.</w:t>
      </w:r>
      <w:r>
        <w:rPr/>
        <w:t xml:space="preserve"> If a batch insert fails part-way, the ingest service re-queues the whole batch, which can produce duplicate events. An idempotency key per message would prevent this. </w:t>
      </w:r>
    </w:p>
    <w:p>
      <w:pPr>
        <w:pStyle w:val="TextBody"/>
        <w:numPr>
          <w:ilvl w:val="0"/>
          <w:numId w:val="24"/>
        </w:numPr>
        <w:tabs>
          <w:tab w:val="clear" w:pos="1134"/>
          <w:tab w:val="left" w:pos="709" w:leader="none"/>
        </w:tabs>
        <w:bidi w:val="0"/>
        <w:ind w:left="709" w:hanging="283"/>
        <w:rPr/>
      </w:pPr>
      <w:r>
        <w:rPr>
          <w:rStyle w:val="StrongEmphasis"/>
        </w:rPr>
        <w:t>Simple analytics.</w:t>
      </w:r>
      <w:r>
        <w:rPr/>
        <w:t xml:space="preserve"> The prediction is a robust statistic (the median), not a learned model. </w:t>
      </w:r>
    </w:p>
    <w:p>
      <w:pPr>
        <w:pStyle w:val="Heading3"/>
        <w:bidi w:val="0"/>
        <w:jc w:val="left"/>
        <w:rPr/>
      </w:pPr>
      <w:r>
        <w:rPr/>
        <w:t>6.2 Future work</w:t>
      </w:r>
    </w:p>
    <w:p>
      <w:pPr>
        <w:pStyle w:val="TextBody"/>
        <w:numPr>
          <w:ilvl w:val="0"/>
          <w:numId w:val="25"/>
        </w:numPr>
        <w:tabs>
          <w:tab w:val="clear" w:pos="1134"/>
          <w:tab w:val="left" w:pos="709" w:leader="none"/>
        </w:tabs>
        <w:bidi w:val="0"/>
        <w:spacing w:before="0" w:after="0"/>
        <w:ind w:left="709" w:hanging="283"/>
        <w:rPr/>
      </w:pPr>
      <w:r>
        <w:rPr>
          <w:rStyle w:val="StrongEmphasis"/>
        </w:rPr>
        <w:t>Customer front end.</w:t>
      </w:r>
      <w:r>
        <w:rPr/>
        <w:t xml:space="preserve"> A web and mobile dashboard built on the existing </w:t>
      </w:r>
      <w:r>
        <w:rPr>
          <w:rStyle w:val="SourceText"/>
        </w:rPr>
        <w:t>/analytics</w:t>
      </w:r>
      <w:r>
        <w:rPr/>
        <w:t xml:space="preserve"> endpoints, visualising each home's usage, routine, climate and alerts, with push notifications driven by the MQTT notifications topic. </w:t>
      </w:r>
    </w:p>
    <w:p>
      <w:pPr>
        <w:pStyle w:val="TextBody"/>
        <w:numPr>
          <w:ilvl w:val="0"/>
          <w:numId w:val="25"/>
        </w:numPr>
        <w:tabs>
          <w:tab w:val="clear" w:pos="1134"/>
          <w:tab w:val="left" w:pos="709" w:leader="none"/>
        </w:tabs>
        <w:bidi w:val="0"/>
        <w:spacing w:before="0" w:after="0"/>
        <w:ind w:left="709" w:hanging="283"/>
        <w:rPr/>
      </w:pPr>
      <w:r>
        <w:rPr>
          <w:rStyle w:val="StrongEmphasis"/>
        </w:rPr>
        <w:t>Transport and storage security.</w:t>
      </w:r>
      <w:r>
        <w:rPr/>
        <w:t xml:space="preserve"> TLS for MongoDB, MQTT over TLS (port 8883) and HTTPS for the API; encryption at rest; client-side field-level encryption for any sensitive fields. </w:t>
      </w:r>
    </w:p>
    <w:p>
      <w:pPr>
        <w:pStyle w:val="TextBody"/>
        <w:numPr>
          <w:ilvl w:val="0"/>
          <w:numId w:val="25"/>
        </w:numPr>
        <w:tabs>
          <w:tab w:val="clear" w:pos="1134"/>
          <w:tab w:val="left" w:pos="709" w:leader="none"/>
        </w:tabs>
        <w:bidi w:val="0"/>
        <w:spacing w:before="0" w:after="0"/>
        <w:ind w:left="709" w:hanging="283"/>
        <w:rPr/>
      </w:pPr>
      <w:r>
        <w:rPr>
          <w:rStyle w:val="StrongEmphasis"/>
        </w:rPr>
        <w:t>Per-customer authentication.</w:t>
      </w:r>
      <w:r>
        <w:rPr/>
        <w:t xml:space="preserve"> OAuth 2.0 / OpenID Connect tokens scoped to a customer's own homes, with per-device MQTT credentials or certificates and topic-level access control lists in the broker. </w:t>
      </w:r>
    </w:p>
    <w:p>
      <w:pPr>
        <w:pStyle w:val="TextBody"/>
        <w:numPr>
          <w:ilvl w:val="0"/>
          <w:numId w:val="25"/>
        </w:numPr>
        <w:tabs>
          <w:tab w:val="clear" w:pos="1134"/>
          <w:tab w:val="left" w:pos="709" w:leader="none"/>
        </w:tabs>
        <w:bidi w:val="0"/>
        <w:spacing w:before="0" w:after="0"/>
        <w:ind w:left="709" w:hanging="283"/>
        <w:rPr/>
      </w:pPr>
      <w:r>
        <w:rPr>
          <w:rStyle w:val="StrongEmphasis"/>
        </w:rPr>
        <w:t>Production topology and operations.</w:t>
      </w:r>
      <w:r>
        <w:rPr/>
        <w:t xml:space="preserve"> Members on separate hosts or zones; automated backups with point-in-time recovery; monitoring and alerting (for example Prometheus and Grafana) for replication lag, elections and ingest rates. </w:t>
      </w:r>
    </w:p>
    <w:p>
      <w:pPr>
        <w:pStyle w:val="TextBody"/>
        <w:numPr>
          <w:ilvl w:val="0"/>
          <w:numId w:val="25"/>
        </w:numPr>
        <w:tabs>
          <w:tab w:val="clear" w:pos="1134"/>
          <w:tab w:val="left" w:pos="709" w:leader="none"/>
        </w:tabs>
        <w:bidi w:val="0"/>
        <w:spacing w:before="0" w:after="0"/>
        <w:ind w:left="709" w:hanging="283"/>
        <w:rPr/>
      </w:pPr>
      <w:r>
        <w:rPr>
          <w:rStyle w:val="StrongEmphasis"/>
        </w:rPr>
        <w:t>Scaling.</w:t>
      </w:r>
      <w:r>
        <w:rPr/>
        <w:t xml:space="preserve"> Pre-aggregated daily summaries for estate-wide dashboards and, beyond a single replica set, sharding </w:t>
      </w:r>
      <w:r>
        <w:rPr>
          <w:rStyle w:val="SourceText"/>
        </w:rPr>
        <w:t>sensor_events</w:t>
      </w:r>
      <w:r>
        <w:rPr/>
        <w:t xml:space="preserve"> on </w:t>
      </w:r>
      <w:r>
        <w:rPr>
          <w:rStyle w:val="SourceText"/>
        </w:rPr>
        <w:t>meta.homeId</w:t>
      </w:r>
      <w:r>
        <w:rPr/>
        <w:t xml:space="preserve">, so that each home's data stays together. </w:t>
      </w:r>
    </w:p>
    <w:p>
      <w:pPr>
        <w:pStyle w:val="TextBody"/>
        <w:numPr>
          <w:ilvl w:val="0"/>
          <w:numId w:val="25"/>
        </w:numPr>
        <w:tabs>
          <w:tab w:val="clear" w:pos="1134"/>
          <w:tab w:val="left" w:pos="709" w:leader="none"/>
        </w:tabs>
        <w:bidi w:val="0"/>
        <w:spacing w:before="0" w:after="0"/>
        <w:ind w:left="709" w:hanging="283"/>
        <w:rPr/>
      </w:pPr>
      <w:r>
        <w:rPr>
          <w:rStyle w:val="StrongEmphasis"/>
        </w:rPr>
        <w:t>Machine learning.</w:t>
      </w:r>
      <w:r>
        <w:rPr/>
        <w:t xml:space="preserve"> Models trained on the stored events for activity prediction, anomaly detection (for example an elderly occupant not moving in the morning) and predictive maintenance (battery and device failure). </w:t>
      </w:r>
    </w:p>
    <w:p>
      <w:pPr>
        <w:pStyle w:val="TextBody"/>
        <w:numPr>
          <w:ilvl w:val="0"/>
          <w:numId w:val="25"/>
        </w:numPr>
        <w:tabs>
          <w:tab w:val="clear" w:pos="1134"/>
          <w:tab w:val="left" w:pos="709" w:leader="none"/>
        </w:tabs>
        <w:bidi w:val="0"/>
        <w:ind w:left="709" w:hanging="283"/>
        <w:rPr/>
      </w:pPr>
      <w:r>
        <w:rPr>
          <w:rStyle w:val="StrongEmphasis"/>
        </w:rPr>
        <w:t>Integration.</w:t>
      </w:r>
      <w:r>
        <w:rPr/>
        <w:t xml:space="preserve"> Linking sensor insights with the CRM for customer support, and with the order-processing system for automatic replacement of failing devices. </w:t>
      </w:r>
    </w:p>
    <w:p>
      <w:pPr>
        <w:pStyle w:val="Heading2pb"/>
        <w:bidi w:val="0"/>
        <w:jc w:val="left"/>
        <w:rPr/>
      </w:pPr>
      <w:r>
        <w:rPr/>
        <w:t>7. References</w:t>
      </w:r>
    </w:p>
    <w:p>
      <w:pPr>
        <w:pStyle w:val="TextBody"/>
        <w:bidi w:val="0"/>
        <w:spacing w:before="0" w:after="140"/>
        <w:jc w:val="both"/>
        <w:rPr/>
      </w:pPr>
      <w:r>
        <w:rPr/>
        <w:t xml:space="preserve">Abadi, D. (2012) 'Consistency tradeoffs in modern distributed database system design: CAP is only part of the story', </w:t>
      </w:r>
      <w:r>
        <w:rPr>
          <w:rStyle w:val="Emphasis"/>
        </w:rPr>
        <w:t>Computer</w:t>
      </w:r>
      <w:r>
        <w:rPr/>
        <w:t>, 45(2), pp. 37–42.</w:t>
      </w:r>
    </w:p>
    <w:p>
      <w:pPr>
        <w:pStyle w:val="TextBody"/>
        <w:bidi w:val="0"/>
        <w:spacing w:before="0" w:after="140"/>
        <w:jc w:val="both"/>
        <w:rPr/>
      </w:pPr>
      <w:r>
        <w:rPr/>
        <w:t xml:space="preserve">Angles, R. and Gutierrez, C. (2008) 'Survey of graph database models', </w:t>
      </w:r>
      <w:r>
        <w:rPr>
          <w:rStyle w:val="Emphasis"/>
        </w:rPr>
        <w:t>ACM Computing Surveys</w:t>
      </w:r>
      <w:r>
        <w:rPr/>
        <w:t>, 40(1), pp. 1–39.</w:t>
      </w:r>
    </w:p>
    <w:p>
      <w:pPr>
        <w:pStyle w:val="TextBody"/>
        <w:bidi w:val="0"/>
        <w:spacing w:before="0" w:after="140"/>
        <w:jc w:val="both"/>
        <w:rPr/>
      </w:pPr>
      <w:r>
        <w:rPr/>
        <w:t xml:space="preserve">Brewer, E. (2012) 'CAP twelve years later: how the "rules" have changed', </w:t>
      </w:r>
      <w:r>
        <w:rPr>
          <w:rStyle w:val="Emphasis"/>
        </w:rPr>
        <w:t>Computer</w:t>
      </w:r>
      <w:r>
        <w:rPr/>
        <w:t>, 45(2), pp. 23–29.</w:t>
      </w:r>
    </w:p>
    <w:p>
      <w:pPr>
        <w:pStyle w:val="TextBody"/>
        <w:bidi w:val="0"/>
        <w:spacing w:before="0" w:after="140"/>
        <w:jc w:val="both"/>
        <w:rPr/>
      </w:pPr>
      <w:r>
        <w:rPr/>
        <w:t xml:space="preserve">Cattell, R. (2011) 'Scalable SQL and NoSQL data stores', </w:t>
      </w:r>
      <w:r>
        <w:rPr>
          <w:rStyle w:val="Emphasis"/>
        </w:rPr>
        <w:t>ACM SIGMOD Record</w:t>
      </w:r>
      <w:r>
        <w:rPr/>
        <w:t>, 39(4), pp. 12–27.</w:t>
      </w:r>
    </w:p>
    <w:p>
      <w:pPr>
        <w:pStyle w:val="TextBody"/>
        <w:bidi w:val="0"/>
        <w:spacing w:before="0" w:after="140"/>
        <w:jc w:val="both"/>
        <w:rPr/>
      </w:pPr>
      <w:r>
        <w:rPr/>
        <w:t xml:space="preserve">Chang, F., Dean, J., Ghemawat, S., Hsieh, W.C., Wallach, D.A., Burrows, M., Chandra, T., Fikes, A. and Gruber, R.E. (2006) 'Bigtable: a distributed storage system for structured data', in </w:t>
      </w:r>
      <w:r>
        <w:rPr>
          <w:rStyle w:val="Emphasis"/>
        </w:rPr>
        <w:t>Proceedings of the 7th USENIX Symposium on Operating Systems Design and Implementation (OSDI '06)</w:t>
      </w:r>
      <w:r>
        <w:rPr/>
        <w:t>. Seattle, WA: USENIX, pp. 205–218.</w:t>
      </w:r>
    </w:p>
    <w:p>
      <w:pPr>
        <w:pStyle w:val="TextBody"/>
        <w:bidi w:val="0"/>
        <w:spacing w:before="0" w:after="140"/>
        <w:jc w:val="both"/>
        <w:rPr/>
      </w:pPr>
      <w:r>
        <w:rPr/>
        <w:t xml:space="preserve">Codd, E.F. (1970) 'A relational model of data for large shared data banks', </w:t>
      </w:r>
      <w:r>
        <w:rPr>
          <w:rStyle w:val="Emphasis"/>
        </w:rPr>
        <w:t>Communications of the ACM</w:t>
      </w:r>
      <w:r>
        <w:rPr/>
        <w:t>, 13(6), pp. 377–387.</w:t>
      </w:r>
    </w:p>
    <w:p>
      <w:pPr>
        <w:pStyle w:val="TextBody"/>
        <w:bidi w:val="0"/>
        <w:spacing w:before="0" w:after="140"/>
        <w:jc w:val="both"/>
        <w:rPr/>
      </w:pPr>
      <w:r>
        <w:rPr/>
        <w:t xml:space="preserve">DeCandia, G., Hastorun, D., Jampani, M., Kakulapati, G., Lakshman, A., Pilchin, A., Sivasubramanian, S., Vosshall, P. and Vogels, W. (2007) 'Dynamo: Amazon's highly available key-value store', in </w:t>
      </w:r>
      <w:r>
        <w:rPr>
          <w:rStyle w:val="Emphasis"/>
        </w:rPr>
        <w:t>Proceedings of the 21st ACM Symposium on Operating Systems Principles (SOSP '07)</w:t>
      </w:r>
      <w:r>
        <w:rPr/>
        <w:t>. New York: ACM, pp. 205–220.</w:t>
      </w:r>
    </w:p>
    <w:p>
      <w:pPr>
        <w:pStyle w:val="TextBody"/>
        <w:bidi w:val="0"/>
        <w:spacing w:before="0" w:after="140"/>
        <w:jc w:val="both"/>
        <w:rPr/>
      </w:pPr>
      <w:r>
        <w:rPr/>
        <w:t xml:space="preserve">Eclipse Foundation (n.d.) </w:t>
      </w:r>
      <w:r>
        <w:rPr>
          <w:rStyle w:val="Emphasis"/>
        </w:rPr>
        <w:t>mosquitto.conf – the configuration file for Mosquitto</w:t>
      </w:r>
      <w:r>
        <w:rPr/>
        <w:t>. Available at: https://mosquitto.org/man/mosquitto-conf-5.html (Accessed: 30 September 2026).</w:t>
      </w:r>
    </w:p>
    <w:p>
      <w:pPr>
        <w:pStyle w:val="TextBody"/>
        <w:bidi w:val="0"/>
        <w:spacing w:before="0" w:after="140"/>
        <w:jc w:val="both"/>
        <w:rPr/>
      </w:pPr>
      <w:r>
        <w:rPr/>
        <w:t xml:space="preserve">Fowler, M. (2011) </w:t>
      </w:r>
      <w:r>
        <w:rPr>
          <w:rStyle w:val="Emphasis"/>
        </w:rPr>
        <w:t>PolyglotPersistence</w:t>
      </w:r>
      <w:r>
        <w:rPr/>
        <w:t>. Available at: https://martinfowler.com/bliki/PolyglotPersistence.html (Accessed: 30 September 2026).</w:t>
      </w:r>
    </w:p>
    <w:p>
      <w:pPr>
        <w:pStyle w:val="TextBody"/>
        <w:bidi w:val="0"/>
        <w:spacing w:before="0" w:after="140"/>
        <w:jc w:val="both"/>
        <w:rPr/>
      </w:pPr>
      <w:r>
        <w:rPr/>
        <w:t xml:space="preserve">Gilbert, S. and Lynch, N. (2002) 'Brewer's conjecture and the feasibility of consistent, available, partition-tolerant web services', </w:t>
      </w:r>
      <w:r>
        <w:rPr>
          <w:rStyle w:val="Emphasis"/>
        </w:rPr>
        <w:t>ACM SIGACT News</w:t>
      </w:r>
      <w:r>
        <w:rPr/>
        <w:t>, 33(2), pp. 51–59.</w:t>
      </w:r>
    </w:p>
    <w:p>
      <w:pPr>
        <w:pStyle w:val="TextBody"/>
        <w:bidi w:val="0"/>
        <w:spacing w:before="0" w:after="140"/>
        <w:jc w:val="both"/>
        <w:rPr/>
      </w:pPr>
      <w:r>
        <w:rPr/>
        <w:t xml:space="preserve">Haerder, T. and Reuter, A. (1983) 'Principles of transaction-oriented database recovery', </w:t>
      </w:r>
      <w:r>
        <w:rPr>
          <w:rStyle w:val="Emphasis"/>
        </w:rPr>
        <w:t>ACM Computing Surveys</w:t>
      </w:r>
      <w:r>
        <w:rPr/>
        <w:t>, 15(4), pp. 287–317.</w:t>
      </w:r>
    </w:p>
    <w:p>
      <w:pPr>
        <w:pStyle w:val="TextBody"/>
        <w:bidi w:val="0"/>
        <w:spacing w:before="0" w:after="140"/>
        <w:jc w:val="both"/>
        <w:rPr/>
      </w:pPr>
      <w:r>
        <w:rPr/>
        <w:t xml:space="preserve">ICO (Information Commissioner's Office) (2023) </w:t>
      </w:r>
      <w:r>
        <w:rPr>
          <w:rStyle w:val="Emphasis"/>
        </w:rPr>
        <w:t>Guide to the UK General Data Protection Regulation (UK GDPR): the principles</w:t>
      </w:r>
      <w:r>
        <w:rPr/>
        <w:t>. Available at: https://ico.org.uk/for-organisations/uk-gdpr-guidance-and-resources/data-protection-principles/ (Accessed: 30 September 2026).</w:t>
      </w:r>
    </w:p>
    <w:p>
      <w:pPr>
        <w:pStyle w:val="TextBody"/>
        <w:bidi w:val="0"/>
        <w:spacing w:before="0" w:after="140"/>
        <w:jc w:val="both"/>
        <w:rPr/>
      </w:pPr>
      <w:r>
        <w:rPr/>
        <w:t xml:space="preserve">Lakshman, A. and Malik, P. (2010) 'Cassandra: a decentralized structured storage system', </w:t>
      </w:r>
      <w:r>
        <w:rPr>
          <w:rStyle w:val="Emphasis"/>
        </w:rPr>
        <w:t>ACM SIGOPS Operating Systems Review</w:t>
      </w:r>
      <w:r>
        <w:rPr/>
        <w:t>, 44(2), pp. 35–40.</w:t>
      </w:r>
    </w:p>
    <w:p>
      <w:pPr>
        <w:pStyle w:val="TextBody"/>
        <w:bidi w:val="0"/>
        <w:spacing w:before="0" w:after="140"/>
        <w:jc w:val="both"/>
        <w:rPr/>
      </w:pPr>
      <w:r>
        <w:rPr/>
        <w:t xml:space="preserve">MongoDB Inc. (n.d.) </w:t>
      </w:r>
      <w:r>
        <w:rPr>
          <w:rStyle w:val="Emphasis"/>
        </w:rPr>
        <w:t>MongoDB Manual: Replication; Time Series Collections; Schema Validation; Write Concern; Role-Based Access Control</w:t>
      </w:r>
      <w:r>
        <w:rPr/>
        <w:t>. Available at: https://www.mongodb.com/docs/manual/ (Accessed: 30 September 2026).</w:t>
      </w:r>
    </w:p>
    <w:p>
      <w:pPr>
        <w:pStyle w:val="TextBody"/>
        <w:bidi w:val="0"/>
        <w:spacing w:before="0" w:after="140"/>
        <w:jc w:val="both"/>
        <w:rPr/>
      </w:pPr>
      <w:r>
        <w:rPr/>
        <w:t xml:space="preserve">OASIS (2014) </w:t>
      </w:r>
      <w:r>
        <w:rPr>
          <w:rStyle w:val="Emphasis"/>
        </w:rPr>
        <w:t>MQTT Version 3.1.1</w:t>
      </w:r>
      <w:r>
        <w:rPr/>
        <w:t>. OASIS Standard. Edited by A. Banks and R. Gupta. Available at: https://docs.oasis-open.org/mqtt/mqtt/v3.1.1/mqtt-v3.1.1.html (Accessed: 30 September 2026).</w:t>
      </w:r>
    </w:p>
    <w:p>
      <w:pPr>
        <w:pStyle w:val="TextBody"/>
        <w:bidi w:val="0"/>
        <w:spacing w:before="0" w:after="140"/>
        <w:jc w:val="both"/>
        <w:rPr/>
      </w:pPr>
      <w:r>
        <w:rPr/>
        <w:t xml:space="preserve">Ongaro, D. and Ousterhout, J. (2014) 'In search of an understandable consensus algorithm', in </w:t>
      </w:r>
      <w:r>
        <w:rPr>
          <w:rStyle w:val="Emphasis"/>
        </w:rPr>
        <w:t>Proceedings of the 2014 USENIX Annual Technical Conference (USENIX ATC '14)</w:t>
      </w:r>
      <w:r>
        <w:rPr/>
        <w:t>. Philadelphia, PA: USENIX, pp. 305–319.</w:t>
      </w:r>
    </w:p>
    <w:p>
      <w:pPr>
        <w:pStyle w:val="TextBody"/>
        <w:bidi w:val="0"/>
        <w:spacing w:before="0" w:after="140"/>
        <w:jc w:val="both"/>
        <w:rPr/>
      </w:pPr>
      <w:r>
        <w:rPr/>
        <w:t xml:space="preserve">OpenAPI Initiative (2017) </w:t>
      </w:r>
      <w:r>
        <w:rPr>
          <w:rStyle w:val="Emphasis"/>
        </w:rPr>
        <w:t>OpenAPI Specification, Version 3.0.0</w:t>
      </w:r>
      <w:r>
        <w:rPr/>
        <w:t>. Available at: https://spec.openapis.org/oas/v3.0.0 (Accessed: 30 September 2026).</w:t>
      </w:r>
    </w:p>
    <w:p>
      <w:pPr>
        <w:pStyle w:val="TextBody"/>
        <w:bidi w:val="0"/>
        <w:spacing w:before="0" w:after="140"/>
        <w:jc w:val="both"/>
        <w:rPr/>
      </w:pPr>
      <w:r>
        <w:rPr/>
        <w:t xml:space="preserve">Pritchett, D. (2008) 'BASE: an ACID alternative', </w:t>
      </w:r>
      <w:r>
        <w:rPr>
          <w:rStyle w:val="Emphasis"/>
        </w:rPr>
        <w:t>ACM Queue</w:t>
      </w:r>
      <w:r>
        <w:rPr/>
        <w:t>, 6(3), pp. 48–55.</w:t>
      </w:r>
    </w:p>
    <w:p>
      <w:pPr>
        <w:pStyle w:val="TextBody"/>
        <w:bidi w:val="0"/>
        <w:spacing w:before="0" w:after="140"/>
        <w:jc w:val="both"/>
        <w:rPr/>
      </w:pPr>
      <w:r>
        <w:rPr/>
        <w:t xml:space="preserve">Robinson, I., Webber, J. and Eifrem, E. (2015) </w:t>
      </w:r>
      <w:r>
        <w:rPr>
          <w:rStyle w:val="Emphasis"/>
        </w:rPr>
        <w:t>Graph Databases</w:t>
      </w:r>
      <w:r>
        <w:rPr/>
        <w:t>. 2nd edn. Sebastopol, CA: O'Reilly Media.</w:t>
      </w:r>
    </w:p>
    <w:p>
      <w:pPr>
        <w:pStyle w:val="TextBody"/>
        <w:bidi w:val="0"/>
        <w:spacing w:before="0" w:after="140"/>
        <w:jc w:val="both"/>
        <w:rPr/>
      </w:pPr>
      <w:r>
        <w:rPr/>
        <w:t xml:space="preserve">Sadalage, P.J. and Fowler, M. (2012) </w:t>
      </w:r>
      <w:r>
        <w:rPr>
          <w:rStyle w:val="Emphasis"/>
        </w:rPr>
        <w:t>NoSQL Distilled: A Brief Guide to the Emerging World of Polyglot Persistence</w:t>
      </w:r>
      <w:r>
        <w:rPr/>
        <w:t>. Upper Saddle River, NJ: Addison-Wesley.</w:t>
      </w:r>
    </w:p>
    <w:p>
      <w:pPr>
        <w:pStyle w:val="TextBody"/>
        <w:bidi w:val="0"/>
        <w:spacing w:before="0" w:after="140"/>
        <w:jc w:val="both"/>
        <w:rPr/>
      </w:pPr>
      <w:r>
        <w:rPr/>
        <w:t xml:space="preserve">Stonebraker, M. (2010) 'SQL databases v. NoSQL databases', </w:t>
      </w:r>
      <w:r>
        <w:rPr>
          <w:rStyle w:val="Emphasis"/>
        </w:rPr>
        <w:t>Communications of the ACM</w:t>
      </w:r>
      <w:r>
        <w:rPr/>
        <w:t>, 53(4), pp. 10–11.</w:t>
      </w:r>
    </w:p>
    <w:p>
      <w:pPr>
        <w:pStyle w:val="TextBody"/>
        <w:bidi w:val="0"/>
        <w:spacing w:before="0" w:after="140"/>
        <w:jc w:val="both"/>
        <w:rPr/>
      </w:pPr>
      <w:r>
        <w:rPr/>
        <w:t xml:space="preserve">Zhou, S., Mu, S., Wu, Y. et al. (2021) 'Fault-tolerant replication with pull-based consensus in MongoDB', in </w:t>
      </w:r>
      <w:r>
        <w:rPr>
          <w:rStyle w:val="Emphasis"/>
        </w:rPr>
        <w:t>Proceedings of the 18th USENIX Symposium on Networked Systems Design and Implementation (NSDI '21)</w:t>
      </w:r>
      <w:r>
        <w:rPr/>
        <w:t>. USENIX, pp. 687–703.</w:t>
      </w:r>
    </w:p>
    <w:p>
      <w:pPr>
        <w:pStyle w:val="Heading2pb"/>
        <w:bidi w:val="0"/>
        <w:jc w:val="left"/>
        <w:rPr/>
      </w:pPr>
      <w:r>
        <w:rPr/>
        <w:t>Appendix A: Dataset Used for Testing</w:t>
      </w:r>
    </w:p>
    <w:p>
      <w:pPr>
        <w:pStyle w:val="Heading3"/>
        <w:bidi w:val="0"/>
        <w:jc w:val="left"/>
        <w:rPr/>
      </w:pPr>
      <w:r>
        <w:rPr/>
        <w:t>A.1 Source and method</w:t>
      </w:r>
    </w:p>
    <w:p>
      <w:pPr>
        <w:pStyle w:val="TextBody"/>
        <w:numPr>
          <w:ilvl w:val="0"/>
          <w:numId w:val="26"/>
        </w:numPr>
        <w:tabs>
          <w:tab w:val="clear" w:pos="1134"/>
          <w:tab w:val="left" w:pos="709" w:leader="none"/>
        </w:tabs>
        <w:bidi w:val="0"/>
        <w:spacing w:before="0" w:after="0"/>
        <w:ind w:left="709" w:hanging="283"/>
        <w:rPr/>
      </w:pPr>
      <w:r>
        <w:rPr>
          <w:rStyle w:val="StrongEmphasis"/>
        </w:rPr>
        <w:t>Source.</w:t>
      </w:r>
      <w:r>
        <w:rPr/>
        <w:t xml:space="preserve"> The data is synthetic, generated by </w:t>
      </w:r>
      <w:r>
        <w:rPr>
          <w:rStyle w:val="SourceText"/>
        </w:rPr>
        <w:t>scripts/seed.js</w:t>
      </w:r>
      <w:r>
        <w:rPr/>
        <w:t xml:space="preserve"> from the behavioural model in </w:t>
      </w:r>
      <w:r>
        <w:rPr>
          <w:rStyle w:val="SourceText"/>
        </w:rPr>
        <w:t>src/behaviour.js</w:t>
      </w:r>
      <w:r>
        <w:rPr/>
        <w:t xml:space="preserve">. Real IoThings data could not be used because of UK GDPR. </w:t>
      </w:r>
    </w:p>
    <w:p>
      <w:pPr>
        <w:pStyle w:val="TextBody"/>
        <w:numPr>
          <w:ilvl w:val="0"/>
          <w:numId w:val="26"/>
        </w:numPr>
        <w:tabs>
          <w:tab w:val="clear" w:pos="1134"/>
          <w:tab w:val="left" w:pos="709" w:leader="none"/>
        </w:tabs>
        <w:bidi w:val="0"/>
        <w:spacing w:before="0" w:after="0"/>
        <w:ind w:left="709" w:hanging="283"/>
        <w:rPr/>
      </w:pPr>
      <w:r>
        <w:rPr>
          <w:rStyle w:val="StrongEmphasis"/>
        </w:rPr>
        <w:t>Reproducibility.</w:t>
      </w:r>
      <w:r>
        <w:rPr/>
        <w:t xml:space="preserve"> A seeded pseudo-random generator (mulberry32) seeded by home and date makes the dataset identical on every run. Command: </w:t>
      </w:r>
      <w:r>
        <w:rPr>
          <w:rStyle w:val="SourceText"/>
        </w:rPr>
        <w:t>node scripts/seed.js --homes 20 --days 30 --reset --export</w:t>
      </w:r>
      <w:r>
        <w:rPr/>
        <w:t xml:space="preserve">. </w:t>
      </w:r>
    </w:p>
    <w:p>
      <w:pPr>
        <w:pStyle w:val="TextBody"/>
        <w:numPr>
          <w:ilvl w:val="0"/>
          <w:numId w:val="26"/>
        </w:numPr>
        <w:tabs>
          <w:tab w:val="clear" w:pos="1134"/>
          <w:tab w:val="left" w:pos="709" w:leader="none"/>
        </w:tabs>
        <w:bidi w:val="0"/>
        <w:ind w:left="709" w:hanging="283"/>
        <w:rPr/>
      </w:pPr>
      <w:r>
        <w:rPr>
          <w:rStyle w:val="StrongEmphasis"/>
        </w:rPr>
        <w:t>Validation.</w:t>
      </w:r>
      <w:r>
        <w:rPr/>
        <w:t xml:space="preserve"> Every generated message passes through the same validation (</w:t>
      </w:r>
      <w:r>
        <w:rPr>
          <w:rStyle w:val="SourceText"/>
        </w:rPr>
        <w:t>validatePayload</w:t>
      </w:r>
      <w:r>
        <w:rPr/>
        <w:t>) and alert rules (</w:t>
      </w:r>
      <w:r>
        <w:rPr>
          <w:rStyle w:val="SourceText"/>
        </w:rPr>
        <w:t>detectAlert</w:t>
      </w:r>
      <w:r>
        <w:rPr/>
        <w:t xml:space="preserve">) as live MQTT traffic. None was rejected. </w:t>
      </w:r>
    </w:p>
    <w:p>
      <w:pPr>
        <w:pStyle w:val="Heading3"/>
        <w:bidi w:val="0"/>
        <w:jc w:val="left"/>
        <w:rPr/>
      </w:pPr>
      <w:r>
        <w:rPr/>
        <w:t>A.2 Composition</w:t>
      </w:r>
    </w:p>
    <w:tbl>
      <w:tblPr>
        <w:tblW w:w="9516" w:type="dxa"/>
        <w:jc w:val="left"/>
        <w:tblInd w:w="0" w:type="dxa"/>
        <w:tblLayout w:type="fixed"/>
        <w:tblCellMar>
          <w:top w:w="28" w:type="dxa"/>
          <w:left w:w="28" w:type="dxa"/>
          <w:bottom w:w="28" w:type="dxa"/>
          <w:right w:w="28" w:type="dxa"/>
        </w:tblCellMar>
      </w:tblPr>
      <w:tblGrid>
        <w:gridCol w:w="1970"/>
        <w:gridCol w:w="7546"/>
      </w:tblGrid>
      <w:tr>
        <w:trPr>
          <w:tblHeader w:val="true"/>
        </w:trPr>
        <w:tc>
          <w:tcPr>
            <w:tcW w:w="1970" w:type="dxa"/>
            <w:tcBorders/>
            <w:vAlign w:val="center"/>
          </w:tcPr>
          <w:p>
            <w:pPr>
              <w:pStyle w:val="TableHeading"/>
              <w:suppressLineNumbers/>
              <w:shd w:fill="0D3B66" w:val="clear"/>
              <w:bidi w:val="0"/>
              <w:spacing w:before="0" w:after="140"/>
              <w:jc w:val="left"/>
              <w:rPr/>
            </w:pPr>
            <w:r>
              <w:rPr/>
              <w:t>Property</w:t>
            </w:r>
          </w:p>
        </w:tc>
        <w:tc>
          <w:tcPr>
            <w:tcW w:w="7546" w:type="dxa"/>
            <w:tcBorders/>
            <w:vAlign w:val="center"/>
          </w:tcPr>
          <w:p>
            <w:pPr>
              <w:pStyle w:val="TableHeading"/>
              <w:suppressLineNumbers/>
              <w:shd w:fill="0D3B66" w:val="clear"/>
              <w:bidi w:val="0"/>
              <w:spacing w:before="0" w:after="140"/>
              <w:jc w:val="left"/>
              <w:rPr/>
            </w:pPr>
            <w:r>
              <w:rPr/>
              <w:t>Value</w:t>
            </w:r>
          </w:p>
        </w:tc>
      </w:tr>
      <w:tr>
        <w:trPr/>
        <w:tc>
          <w:tcPr>
            <w:tcW w:w="1970" w:type="dxa"/>
            <w:tcBorders/>
            <w:vAlign w:val="center"/>
          </w:tcPr>
          <w:p>
            <w:pPr>
              <w:pStyle w:val="TableContents"/>
              <w:bidi w:val="0"/>
              <w:spacing w:before="0" w:after="140"/>
              <w:jc w:val="left"/>
              <w:rPr/>
            </w:pPr>
            <w:r>
              <w:rPr/>
              <w:t>Homes</w:t>
            </w:r>
          </w:p>
        </w:tc>
        <w:tc>
          <w:tcPr>
            <w:tcW w:w="7546" w:type="dxa"/>
            <w:tcBorders/>
            <w:vAlign w:val="center"/>
          </w:tcPr>
          <w:p>
            <w:pPr>
              <w:pStyle w:val="TableContents"/>
              <w:bidi w:val="0"/>
              <w:spacing w:before="0" w:after="140"/>
              <w:jc w:val="left"/>
              <w:rPr/>
            </w:pPr>
            <w:r>
              <w:rPr/>
              <w:t>20: H001–H020</w:t>
            </w:r>
          </w:p>
        </w:tc>
      </w:tr>
      <w:tr>
        <w:trPr/>
        <w:tc>
          <w:tcPr>
            <w:tcW w:w="1970" w:type="dxa"/>
            <w:tcBorders/>
            <w:vAlign w:val="center"/>
          </w:tcPr>
          <w:p>
            <w:pPr>
              <w:pStyle w:val="TableContents"/>
              <w:bidi w:val="0"/>
              <w:spacing w:before="0" w:after="140"/>
              <w:jc w:val="left"/>
              <w:rPr/>
            </w:pPr>
            <w:r>
              <w:rPr/>
              <w:t>Cities</w:t>
            </w:r>
          </w:p>
        </w:tc>
        <w:tc>
          <w:tcPr>
            <w:tcW w:w="7546" w:type="dxa"/>
            <w:tcBorders/>
            <w:vAlign w:val="center"/>
          </w:tcPr>
          <w:p>
            <w:pPr>
              <w:pStyle w:val="TableContents"/>
              <w:bidi w:val="0"/>
              <w:spacing w:before="0" w:after="140"/>
              <w:jc w:val="left"/>
              <w:rPr/>
            </w:pPr>
            <w:r>
              <w:rPr/>
              <w:t>Bristol, Coventry, Leicester, Liverpool, London, Manchester, Nottingham, Sheffield</w:t>
            </w:r>
          </w:p>
        </w:tc>
      </w:tr>
      <w:tr>
        <w:trPr/>
        <w:tc>
          <w:tcPr>
            <w:tcW w:w="1970" w:type="dxa"/>
            <w:tcBorders/>
            <w:vAlign w:val="center"/>
          </w:tcPr>
          <w:p>
            <w:pPr>
              <w:pStyle w:val="TableContents"/>
              <w:bidi w:val="0"/>
              <w:spacing w:before="0" w:after="140"/>
              <w:jc w:val="left"/>
              <w:rPr/>
            </w:pPr>
            <w:r>
              <w:rPr/>
              <w:t>Occupant profiles</w:t>
            </w:r>
          </w:p>
        </w:tc>
        <w:tc>
          <w:tcPr>
            <w:tcW w:w="7546" w:type="dxa"/>
            <w:tcBorders/>
            <w:vAlign w:val="center"/>
          </w:tcPr>
          <w:p>
            <w:pPr>
              <w:pStyle w:val="TableContents"/>
              <w:bidi w:val="0"/>
              <w:spacing w:before="0" w:after="140"/>
              <w:jc w:val="left"/>
              <w:rPr/>
            </w:pPr>
            <w:r>
              <w:rPr/>
              <w:t>Commuter 9, remote worker 7, shift worker 4</w:t>
            </w:r>
          </w:p>
        </w:tc>
      </w:tr>
      <w:tr>
        <w:trPr/>
        <w:tc>
          <w:tcPr>
            <w:tcW w:w="1970" w:type="dxa"/>
            <w:tcBorders/>
            <w:vAlign w:val="center"/>
          </w:tcPr>
          <w:p>
            <w:pPr>
              <w:pStyle w:val="TableContents"/>
              <w:bidi w:val="0"/>
              <w:spacing w:before="0" w:after="140"/>
              <w:jc w:val="left"/>
              <w:rPr/>
            </w:pPr>
            <w:r>
              <w:rPr/>
              <w:t>Rooms per home</w:t>
            </w:r>
          </w:p>
        </w:tc>
        <w:tc>
          <w:tcPr>
            <w:tcW w:w="7546" w:type="dxa"/>
            <w:tcBorders/>
            <w:vAlign w:val="center"/>
          </w:tcPr>
          <w:p>
            <w:pPr>
              <w:pStyle w:val="TableContents"/>
              <w:bidi w:val="0"/>
              <w:spacing w:before="0" w:after="140"/>
              <w:jc w:val="left"/>
              <w:rPr/>
            </w:pPr>
            <w:r>
              <w:rPr/>
              <w:t>Hallway, living room, kitchen, bedroom, bathroom</w:t>
            </w:r>
          </w:p>
        </w:tc>
      </w:tr>
      <w:tr>
        <w:trPr/>
        <w:tc>
          <w:tcPr>
            <w:tcW w:w="1970" w:type="dxa"/>
            <w:tcBorders/>
            <w:vAlign w:val="center"/>
          </w:tcPr>
          <w:p>
            <w:pPr>
              <w:pStyle w:val="TableContents"/>
              <w:bidi w:val="0"/>
              <w:spacing w:before="0" w:after="140"/>
              <w:jc w:val="left"/>
              <w:rPr/>
            </w:pPr>
            <w:r>
              <w:rPr/>
              <w:t>Devices</w:t>
            </w:r>
          </w:p>
        </w:tc>
        <w:tc>
          <w:tcPr>
            <w:tcW w:w="7546" w:type="dxa"/>
            <w:tcBorders/>
            <w:vAlign w:val="center"/>
          </w:tcPr>
          <w:p>
            <w:pPr>
              <w:pStyle w:val="TableContents"/>
              <w:bidi w:val="0"/>
              <w:spacing w:before="0" w:after="140"/>
              <w:jc w:val="left"/>
              <w:rPr/>
            </w:pPr>
            <w:r>
              <w:rPr/>
              <w:t>480 (24 per home), 11 types</w:t>
            </w:r>
          </w:p>
        </w:tc>
      </w:tr>
      <w:tr>
        <w:trPr/>
        <w:tc>
          <w:tcPr>
            <w:tcW w:w="1970" w:type="dxa"/>
            <w:tcBorders/>
            <w:vAlign w:val="center"/>
          </w:tcPr>
          <w:p>
            <w:pPr>
              <w:pStyle w:val="TableContents"/>
              <w:bidi w:val="0"/>
              <w:spacing w:before="0" w:after="140"/>
              <w:jc w:val="left"/>
              <w:rPr/>
            </w:pPr>
            <w:r>
              <w:rPr/>
              <w:t>Period</w:t>
            </w:r>
          </w:p>
        </w:tc>
        <w:tc>
          <w:tcPr>
            <w:tcW w:w="7546" w:type="dxa"/>
            <w:tcBorders/>
            <w:vAlign w:val="center"/>
          </w:tcPr>
          <w:p>
            <w:pPr>
              <w:pStyle w:val="TableContents"/>
              <w:bidi w:val="0"/>
              <w:spacing w:before="0" w:after="140"/>
              <w:jc w:val="left"/>
              <w:rPr/>
            </w:pPr>
            <w:r>
              <w:rPr/>
              <w:t>31 August – 29 September 2026 (30 days)</w:t>
            </w:r>
          </w:p>
        </w:tc>
      </w:tr>
      <w:tr>
        <w:trPr/>
        <w:tc>
          <w:tcPr>
            <w:tcW w:w="1970" w:type="dxa"/>
            <w:tcBorders/>
            <w:vAlign w:val="center"/>
          </w:tcPr>
          <w:p>
            <w:pPr>
              <w:pStyle w:val="TableContents"/>
              <w:bidi w:val="0"/>
              <w:spacing w:before="0" w:after="140"/>
              <w:jc w:val="left"/>
              <w:rPr/>
            </w:pPr>
            <w:r>
              <w:rPr/>
              <w:t>Events</w:t>
            </w:r>
          </w:p>
        </w:tc>
        <w:tc>
          <w:tcPr>
            <w:tcW w:w="7546" w:type="dxa"/>
            <w:tcBorders/>
            <w:vAlign w:val="center"/>
          </w:tcPr>
          <w:p>
            <w:pPr>
              <w:pStyle w:val="TableContents"/>
              <w:bidi w:val="0"/>
              <w:spacing w:before="0" w:after="140"/>
              <w:jc w:val="left"/>
              <w:rPr/>
            </w:pPr>
            <w:r>
              <w:rPr/>
              <w:t>289,602</w:t>
            </w:r>
          </w:p>
        </w:tc>
      </w:tr>
      <w:tr>
        <w:trPr/>
        <w:tc>
          <w:tcPr>
            <w:tcW w:w="1970" w:type="dxa"/>
            <w:tcBorders/>
            <w:vAlign w:val="center"/>
          </w:tcPr>
          <w:p>
            <w:pPr>
              <w:pStyle w:val="TableContents"/>
              <w:bidi w:val="0"/>
              <w:spacing w:before="0" w:after="140"/>
              <w:jc w:val="left"/>
              <w:rPr/>
            </w:pPr>
            <w:r>
              <w:rPr/>
              <w:t>Alerts</w:t>
            </w:r>
          </w:p>
        </w:tc>
        <w:tc>
          <w:tcPr>
            <w:tcW w:w="7546" w:type="dxa"/>
            <w:tcBorders/>
            <w:vAlign w:val="center"/>
          </w:tcPr>
          <w:p>
            <w:pPr>
              <w:pStyle w:val="TableContents"/>
              <w:bidi w:val="0"/>
              <w:spacing w:before="0" w:after="140"/>
              <w:jc w:val="left"/>
              <w:rPr/>
            </w:pPr>
            <w:r>
              <w:rPr/>
              <w:t>64</w:t>
            </w:r>
          </w:p>
        </w:tc>
      </w:tr>
    </w:tbl>
    <w:tbl>
      <w:tblPr>
        <w:tblW w:w="5404" w:type="dxa"/>
        <w:jc w:val="left"/>
        <w:tblInd w:w="0" w:type="dxa"/>
        <w:tblLayout w:type="fixed"/>
        <w:tblCellMar>
          <w:top w:w="28" w:type="dxa"/>
          <w:left w:w="28" w:type="dxa"/>
          <w:bottom w:w="28" w:type="dxa"/>
          <w:right w:w="28" w:type="dxa"/>
        </w:tblCellMar>
      </w:tblPr>
      <w:tblGrid>
        <w:gridCol w:w="1651"/>
        <w:gridCol w:w="1081"/>
        <w:gridCol w:w="1726"/>
        <w:gridCol w:w="946"/>
      </w:tblGrid>
      <w:tr>
        <w:trPr>
          <w:tblHeader w:val="true"/>
        </w:trPr>
        <w:tc>
          <w:tcPr>
            <w:tcW w:w="1651" w:type="dxa"/>
            <w:tcBorders/>
            <w:vAlign w:val="center"/>
          </w:tcPr>
          <w:p>
            <w:pPr>
              <w:pStyle w:val="TableHeading"/>
              <w:suppressLineNumbers/>
              <w:shd w:fill="0D3B66" w:val="clear"/>
              <w:bidi w:val="0"/>
              <w:spacing w:before="0" w:after="140"/>
              <w:jc w:val="left"/>
              <w:rPr/>
            </w:pPr>
            <w:r>
              <w:rPr/>
              <w:t>Event type</w:t>
            </w:r>
          </w:p>
        </w:tc>
        <w:tc>
          <w:tcPr>
            <w:tcW w:w="1081" w:type="dxa"/>
            <w:tcBorders/>
            <w:vAlign w:val="center"/>
          </w:tcPr>
          <w:p>
            <w:pPr>
              <w:pStyle w:val="TableHeading"/>
              <w:suppressLineNumbers/>
              <w:shd w:fill="0D3B66" w:val="clear"/>
              <w:bidi w:val="0"/>
              <w:spacing w:before="0" w:after="140"/>
              <w:jc w:val="left"/>
              <w:rPr/>
            </w:pPr>
            <w:r>
              <w:rPr/>
              <w:t>Count</w:t>
            </w:r>
          </w:p>
        </w:tc>
        <w:tc>
          <w:tcPr>
            <w:tcW w:w="1726" w:type="dxa"/>
            <w:tcBorders/>
            <w:vAlign w:val="center"/>
          </w:tcPr>
          <w:p>
            <w:pPr>
              <w:pStyle w:val="TableHeading"/>
              <w:suppressLineNumbers/>
              <w:shd w:fill="0D3B66" w:val="clear"/>
              <w:bidi w:val="0"/>
              <w:spacing w:before="0" w:after="140"/>
              <w:jc w:val="left"/>
              <w:rPr/>
            </w:pPr>
            <w:r>
              <w:rPr/>
              <w:t>Event type</w:t>
            </w:r>
          </w:p>
        </w:tc>
        <w:tc>
          <w:tcPr>
            <w:tcW w:w="946" w:type="dxa"/>
            <w:tcBorders/>
            <w:vAlign w:val="center"/>
          </w:tcPr>
          <w:p>
            <w:pPr>
              <w:pStyle w:val="TableHeading"/>
              <w:suppressLineNumbers/>
              <w:shd w:fill="0D3B66" w:val="clear"/>
              <w:bidi w:val="0"/>
              <w:spacing w:before="0" w:after="140"/>
              <w:jc w:val="left"/>
              <w:rPr/>
            </w:pPr>
            <w:r>
              <w:rPr/>
              <w:t>Count</w:t>
            </w:r>
          </w:p>
        </w:tc>
      </w:tr>
      <w:tr>
        <w:trPr/>
        <w:tc>
          <w:tcPr>
            <w:tcW w:w="1651" w:type="dxa"/>
            <w:tcBorders/>
            <w:vAlign w:val="center"/>
          </w:tcPr>
          <w:p>
            <w:pPr>
              <w:pStyle w:val="TableContents"/>
              <w:bidi w:val="0"/>
              <w:spacing w:before="0" w:after="140"/>
              <w:jc w:val="left"/>
              <w:rPr/>
            </w:pPr>
            <w:r>
              <w:rPr/>
              <w:t>temperature</w:t>
            </w:r>
          </w:p>
        </w:tc>
        <w:tc>
          <w:tcPr>
            <w:tcW w:w="1081" w:type="dxa"/>
            <w:tcBorders/>
            <w:vAlign w:val="center"/>
          </w:tcPr>
          <w:p>
            <w:pPr>
              <w:pStyle w:val="TableContents"/>
              <w:bidi w:val="0"/>
              <w:spacing w:before="0" w:after="140"/>
              <w:jc w:val="left"/>
              <w:rPr/>
            </w:pPr>
            <w:r>
              <w:rPr/>
              <w:t>172,800</w:t>
            </w:r>
          </w:p>
        </w:tc>
        <w:tc>
          <w:tcPr>
            <w:tcW w:w="1726" w:type="dxa"/>
            <w:tcBorders/>
            <w:vAlign w:val="center"/>
          </w:tcPr>
          <w:p>
            <w:pPr>
              <w:pStyle w:val="TableContents"/>
              <w:bidi w:val="0"/>
              <w:spacing w:before="0" w:after="140"/>
              <w:jc w:val="left"/>
              <w:rPr/>
            </w:pPr>
            <w:r>
              <w:rPr/>
              <w:t>door_lock</w:t>
            </w:r>
          </w:p>
        </w:tc>
        <w:tc>
          <w:tcPr>
            <w:tcW w:w="946" w:type="dxa"/>
            <w:tcBorders/>
            <w:vAlign w:val="center"/>
          </w:tcPr>
          <w:p>
            <w:pPr>
              <w:pStyle w:val="TableContents"/>
              <w:bidi w:val="0"/>
              <w:spacing w:before="0" w:after="140"/>
              <w:jc w:val="left"/>
              <w:rPr/>
            </w:pPr>
            <w:r>
              <w:rPr/>
              <w:t>2,386</w:t>
            </w:r>
          </w:p>
        </w:tc>
      </w:tr>
      <w:tr>
        <w:trPr/>
        <w:tc>
          <w:tcPr>
            <w:tcW w:w="1651" w:type="dxa"/>
            <w:tcBorders/>
            <w:vAlign w:val="center"/>
          </w:tcPr>
          <w:p>
            <w:pPr>
              <w:pStyle w:val="TableContents"/>
              <w:bidi w:val="0"/>
              <w:spacing w:before="0" w:after="140"/>
              <w:jc w:val="left"/>
              <w:rPr/>
            </w:pPr>
            <w:r>
              <w:rPr/>
              <w:t>humidity</w:t>
            </w:r>
          </w:p>
        </w:tc>
        <w:tc>
          <w:tcPr>
            <w:tcW w:w="1081" w:type="dxa"/>
            <w:tcBorders/>
            <w:vAlign w:val="center"/>
          </w:tcPr>
          <w:p>
            <w:pPr>
              <w:pStyle w:val="TableContents"/>
              <w:bidi w:val="0"/>
              <w:spacing w:before="0" w:after="140"/>
              <w:jc w:val="left"/>
              <w:rPr/>
            </w:pPr>
            <w:r>
              <w:rPr/>
              <w:t>57,600</w:t>
            </w:r>
          </w:p>
        </w:tc>
        <w:tc>
          <w:tcPr>
            <w:tcW w:w="1726" w:type="dxa"/>
            <w:tcBorders/>
            <w:vAlign w:val="center"/>
          </w:tcPr>
          <w:p>
            <w:pPr>
              <w:pStyle w:val="TableContents"/>
              <w:bidi w:val="0"/>
              <w:spacing w:before="0" w:after="140"/>
              <w:jc w:val="left"/>
              <w:rPr/>
            </w:pPr>
            <w:r>
              <w:rPr/>
              <w:t>door_contact</w:t>
            </w:r>
          </w:p>
        </w:tc>
        <w:tc>
          <w:tcPr>
            <w:tcW w:w="946" w:type="dxa"/>
            <w:tcBorders/>
            <w:vAlign w:val="center"/>
          </w:tcPr>
          <w:p>
            <w:pPr>
              <w:pStyle w:val="TableContents"/>
              <w:bidi w:val="0"/>
              <w:spacing w:before="0" w:after="140"/>
              <w:jc w:val="left"/>
              <w:rPr/>
            </w:pPr>
            <w:r>
              <w:rPr/>
              <w:t>1,786</w:t>
            </w:r>
          </w:p>
        </w:tc>
      </w:tr>
      <w:tr>
        <w:trPr/>
        <w:tc>
          <w:tcPr>
            <w:tcW w:w="1651" w:type="dxa"/>
            <w:tcBorders/>
            <w:vAlign w:val="center"/>
          </w:tcPr>
          <w:p>
            <w:pPr>
              <w:pStyle w:val="TableContents"/>
              <w:bidi w:val="0"/>
              <w:spacing w:before="0" w:after="140"/>
              <w:jc w:val="left"/>
              <w:rPr/>
            </w:pPr>
            <w:r>
              <w:rPr/>
              <w:t>motion</w:t>
            </w:r>
          </w:p>
        </w:tc>
        <w:tc>
          <w:tcPr>
            <w:tcW w:w="1081" w:type="dxa"/>
            <w:tcBorders/>
            <w:vAlign w:val="center"/>
          </w:tcPr>
          <w:p>
            <w:pPr>
              <w:pStyle w:val="TableContents"/>
              <w:bidi w:val="0"/>
              <w:spacing w:before="0" w:after="140"/>
              <w:jc w:val="left"/>
              <w:rPr/>
            </w:pPr>
            <w:r>
              <w:rPr/>
              <w:t>41,116</w:t>
            </w:r>
          </w:p>
        </w:tc>
        <w:tc>
          <w:tcPr>
            <w:tcW w:w="1726" w:type="dxa"/>
            <w:tcBorders/>
            <w:vAlign w:val="center"/>
          </w:tcPr>
          <w:p>
            <w:pPr>
              <w:pStyle w:val="TableContents"/>
              <w:bidi w:val="0"/>
              <w:spacing w:before="0" w:after="140"/>
              <w:jc w:val="left"/>
              <w:rPr/>
            </w:pPr>
            <w:r>
              <w:rPr/>
              <w:t>thermostat</w:t>
            </w:r>
          </w:p>
        </w:tc>
        <w:tc>
          <w:tcPr>
            <w:tcW w:w="946" w:type="dxa"/>
            <w:tcBorders/>
            <w:vAlign w:val="center"/>
          </w:tcPr>
          <w:p>
            <w:pPr>
              <w:pStyle w:val="TableContents"/>
              <w:bidi w:val="0"/>
              <w:spacing w:before="0" w:after="140"/>
              <w:jc w:val="left"/>
              <w:rPr/>
            </w:pPr>
            <w:r>
              <w:rPr/>
              <w:t>1,596</w:t>
            </w:r>
          </w:p>
        </w:tc>
      </w:tr>
      <w:tr>
        <w:trPr/>
        <w:tc>
          <w:tcPr>
            <w:tcW w:w="1651" w:type="dxa"/>
            <w:tcBorders/>
            <w:vAlign w:val="center"/>
          </w:tcPr>
          <w:p>
            <w:pPr>
              <w:pStyle w:val="TableContents"/>
              <w:bidi w:val="0"/>
              <w:spacing w:before="0" w:after="140"/>
              <w:jc w:val="left"/>
              <w:rPr/>
            </w:pPr>
            <w:r>
              <w:rPr/>
              <w:t>light</w:t>
            </w:r>
          </w:p>
        </w:tc>
        <w:tc>
          <w:tcPr>
            <w:tcW w:w="1081" w:type="dxa"/>
            <w:tcBorders/>
            <w:vAlign w:val="center"/>
          </w:tcPr>
          <w:p>
            <w:pPr>
              <w:pStyle w:val="TableContents"/>
              <w:bidi w:val="0"/>
              <w:spacing w:before="0" w:after="140"/>
              <w:jc w:val="left"/>
              <w:rPr/>
            </w:pPr>
            <w:r>
              <w:rPr/>
              <w:t>7,408</w:t>
            </w:r>
          </w:p>
        </w:tc>
        <w:tc>
          <w:tcPr>
            <w:tcW w:w="1726" w:type="dxa"/>
            <w:tcBorders/>
            <w:vAlign w:val="center"/>
          </w:tcPr>
          <w:p>
            <w:pPr>
              <w:pStyle w:val="TableContents"/>
              <w:bidi w:val="0"/>
              <w:spacing w:before="0" w:after="140"/>
              <w:jc w:val="left"/>
              <w:rPr/>
            </w:pPr>
            <w:r>
              <w:rPr/>
              <w:t>smoke_alarm</w:t>
            </w:r>
          </w:p>
        </w:tc>
        <w:tc>
          <w:tcPr>
            <w:tcW w:w="946" w:type="dxa"/>
            <w:tcBorders/>
            <w:vAlign w:val="center"/>
          </w:tcPr>
          <w:p>
            <w:pPr>
              <w:pStyle w:val="TableContents"/>
              <w:bidi w:val="0"/>
              <w:spacing w:before="0" w:after="140"/>
              <w:jc w:val="left"/>
              <w:rPr/>
            </w:pPr>
            <w:r>
              <w:rPr/>
              <w:t>111</w:t>
            </w:r>
          </w:p>
        </w:tc>
      </w:tr>
      <w:tr>
        <w:trPr/>
        <w:tc>
          <w:tcPr>
            <w:tcW w:w="1651" w:type="dxa"/>
            <w:tcBorders/>
            <w:vAlign w:val="center"/>
          </w:tcPr>
          <w:p>
            <w:pPr>
              <w:pStyle w:val="TableContents"/>
              <w:bidi w:val="0"/>
              <w:spacing w:before="0" w:after="140"/>
              <w:jc w:val="left"/>
              <w:rPr/>
            </w:pPr>
            <w:r>
              <w:rPr/>
              <w:t>blind</w:t>
            </w:r>
          </w:p>
        </w:tc>
        <w:tc>
          <w:tcPr>
            <w:tcW w:w="1081" w:type="dxa"/>
            <w:tcBorders/>
            <w:vAlign w:val="center"/>
          </w:tcPr>
          <w:p>
            <w:pPr>
              <w:pStyle w:val="TableContents"/>
              <w:bidi w:val="0"/>
              <w:spacing w:before="0" w:after="140"/>
              <w:jc w:val="left"/>
              <w:rPr/>
            </w:pPr>
            <w:r>
              <w:rPr/>
              <w:t>2,400</w:t>
            </w:r>
          </w:p>
        </w:tc>
        <w:tc>
          <w:tcPr>
            <w:tcW w:w="1726" w:type="dxa"/>
            <w:tcBorders/>
            <w:vAlign w:val="center"/>
          </w:tcPr>
          <w:p>
            <w:pPr>
              <w:pStyle w:val="TableContents"/>
              <w:bidi w:val="0"/>
              <w:spacing w:before="0" w:after="140"/>
              <w:jc w:val="left"/>
              <w:rPr/>
            </w:pPr>
            <w:r>
              <w:rPr/>
              <w:t>smart_plug</w:t>
            </w:r>
          </w:p>
        </w:tc>
        <w:tc>
          <w:tcPr>
            <w:tcW w:w="946" w:type="dxa"/>
            <w:tcBorders/>
            <w:vAlign w:val="center"/>
          </w:tcPr>
          <w:p>
            <w:pPr>
              <w:pStyle w:val="TableContents"/>
              <w:bidi w:val="0"/>
              <w:spacing w:before="0" w:after="140"/>
              <w:jc w:val="left"/>
              <w:rPr/>
            </w:pPr>
            <w:r>
              <w:rPr/>
              <w:t>2,400</w:t>
            </w:r>
          </w:p>
        </w:tc>
      </w:tr>
    </w:tbl>
    <w:tbl>
      <w:tblPr>
        <w:tblW w:w="6108" w:type="dxa"/>
        <w:jc w:val="left"/>
        <w:tblInd w:w="0" w:type="dxa"/>
        <w:tblLayout w:type="fixed"/>
        <w:tblCellMar>
          <w:top w:w="28" w:type="dxa"/>
          <w:left w:w="28" w:type="dxa"/>
          <w:bottom w:w="28" w:type="dxa"/>
          <w:right w:w="28" w:type="dxa"/>
        </w:tblCellMar>
      </w:tblPr>
      <w:tblGrid>
        <w:gridCol w:w="3931"/>
        <w:gridCol w:w="1231"/>
        <w:gridCol w:w="946"/>
      </w:tblGrid>
      <w:tr>
        <w:trPr>
          <w:tblHeader w:val="true"/>
        </w:trPr>
        <w:tc>
          <w:tcPr>
            <w:tcW w:w="3931" w:type="dxa"/>
            <w:tcBorders/>
            <w:vAlign w:val="center"/>
          </w:tcPr>
          <w:p>
            <w:pPr>
              <w:pStyle w:val="TableHeading"/>
              <w:suppressLineNumbers/>
              <w:shd w:fill="0D3B66" w:val="clear"/>
              <w:bidi w:val="0"/>
              <w:spacing w:before="0" w:after="140"/>
              <w:jc w:val="left"/>
              <w:rPr/>
            </w:pPr>
            <w:r>
              <w:rPr/>
              <w:t>Alert kind</w:t>
            </w:r>
          </w:p>
        </w:tc>
        <w:tc>
          <w:tcPr>
            <w:tcW w:w="1231" w:type="dxa"/>
            <w:tcBorders/>
            <w:vAlign w:val="center"/>
          </w:tcPr>
          <w:p>
            <w:pPr>
              <w:pStyle w:val="TableHeading"/>
              <w:suppressLineNumbers/>
              <w:shd w:fill="0D3B66" w:val="clear"/>
              <w:bidi w:val="0"/>
              <w:spacing w:before="0" w:after="140"/>
              <w:jc w:val="left"/>
              <w:rPr/>
            </w:pPr>
            <w:r>
              <w:rPr/>
              <w:t>Severity</w:t>
            </w:r>
          </w:p>
        </w:tc>
        <w:tc>
          <w:tcPr>
            <w:tcW w:w="946" w:type="dxa"/>
            <w:tcBorders/>
            <w:vAlign w:val="center"/>
          </w:tcPr>
          <w:p>
            <w:pPr>
              <w:pStyle w:val="TableHeading"/>
              <w:suppressLineNumbers/>
              <w:shd w:fill="0D3B66" w:val="clear"/>
              <w:bidi w:val="0"/>
              <w:spacing w:before="0" w:after="140"/>
              <w:jc w:val="left"/>
              <w:rPr/>
            </w:pPr>
            <w:r>
              <w:rPr/>
              <w:t>Count</w:t>
            </w:r>
          </w:p>
        </w:tc>
      </w:tr>
      <w:tr>
        <w:trPr/>
        <w:tc>
          <w:tcPr>
            <w:tcW w:w="3931" w:type="dxa"/>
            <w:tcBorders/>
            <w:vAlign w:val="center"/>
          </w:tcPr>
          <w:p>
            <w:pPr>
              <w:pStyle w:val="TableContents"/>
              <w:bidi w:val="0"/>
              <w:spacing w:before="0" w:after="140"/>
              <w:jc w:val="left"/>
              <w:rPr/>
            </w:pPr>
            <w:r>
              <w:rPr/>
              <w:t>smoke (burnt dinners)</w:t>
            </w:r>
          </w:p>
        </w:tc>
        <w:tc>
          <w:tcPr>
            <w:tcW w:w="1231" w:type="dxa"/>
            <w:tcBorders/>
            <w:vAlign w:val="center"/>
          </w:tcPr>
          <w:p>
            <w:pPr>
              <w:pStyle w:val="TableContents"/>
              <w:bidi w:val="0"/>
              <w:spacing w:before="0" w:after="140"/>
              <w:jc w:val="left"/>
              <w:rPr/>
            </w:pPr>
            <w:r>
              <w:rPr/>
              <w:t>critical</w:t>
            </w:r>
          </w:p>
        </w:tc>
        <w:tc>
          <w:tcPr>
            <w:tcW w:w="946" w:type="dxa"/>
            <w:tcBorders/>
            <w:vAlign w:val="center"/>
          </w:tcPr>
          <w:p>
            <w:pPr>
              <w:pStyle w:val="TableContents"/>
              <w:bidi w:val="0"/>
              <w:spacing w:before="0" w:after="140"/>
              <w:jc w:val="left"/>
              <w:rPr/>
            </w:pPr>
            <w:r>
              <w:rPr/>
              <w:t>22</w:t>
            </w:r>
          </w:p>
        </w:tc>
      </w:tr>
      <w:tr>
        <w:trPr/>
        <w:tc>
          <w:tcPr>
            <w:tcW w:w="3931" w:type="dxa"/>
            <w:tcBorders/>
            <w:vAlign w:val="center"/>
          </w:tcPr>
          <w:p>
            <w:pPr>
              <w:pStyle w:val="TableContents"/>
              <w:bidi w:val="0"/>
              <w:spacing w:before="0" w:after="140"/>
              <w:jc w:val="left"/>
              <w:rPr/>
            </w:pPr>
            <w:r>
              <w:rPr/>
              <w:t>intrusion (door opened at night)</w:t>
            </w:r>
          </w:p>
        </w:tc>
        <w:tc>
          <w:tcPr>
            <w:tcW w:w="1231" w:type="dxa"/>
            <w:tcBorders/>
            <w:vAlign w:val="center"/>
          </w:tcPr>
          <w:p>
            <w:pPr>
              <w:pStyle w:val="TableContents"/>
              <w:bidi w:val="0"/>
              <w:spacing w:before="0" w:after="140"/>
              <w:jc w:val="left"/>
              <w:rPr/>
            </w:pPr>
            <w:r>
              <w:rPr/>
              <w:t>warning</w:t>
            </w:r>
          </w:p>
        </w:tc>
        <w:tc>
          <w:tcPr>
            <w:tcW w:w="946" w:type="dxa"/>
            <w:tcBorders/>
            <w:vAlign w:val="center"/>
          </w:tcPr>
          <w:p>
            <w:pPr>
              <w:pStyle w:val="TableContents"/>
              <w:bidi w:val="0"/>
              <w:spacing w:before="0" w:after="140"/>
              <w:jc w:val="left"/>
              <w:rPr/>
            </w:pPr>
            <w:r>
              <w:rPr/>
              <w:t>21</w:t>
            </w:r>
          </w:p>
        </w:tc>
      </w:tr>
      <w:tr>
        <w:trPr/>
        <w:tc>
          <w:tcPr>
            <w:tcW w:w="3931" w:type="dxa"/>
            <w:tcBorders/>
            <w:vAlign w:val="center"/>
          </w:tcPr>
          <w:p>
            <w:pPr>
              <w:pStyle w:val="TableContents"/>
              <w:bidi w:val="0"/>
              <w:spacing w:before="0" w:after="140"/>
              <w:jc w:val="left"/>
              <w:rPr/>
            </w:pPr>
            <w:r>
              <w:rPr/>
              <w:t>door_unlocked (at night)</w:t>
            </w:r>
          </w:p>
        </w:tc>
        <w:tc>
          <w:tcPr>
            <w:tcW w:w="1231" w:type="dxa"/>
            <w:tcBorders/>
            <w:vAlign w:val="center"/>
          </w:tcPr>
          <w:p>
            <w:pPr>
              <w:pStyle w:val="TableContents"/>
              <w:bidi w:val="0"/>
              <w:spacing w:before="0" w:after="140"/>
              <w:jc w:val="left"/>
              <w:rPr/>
            </w:pPr>
            <w:r>
              <w:rPr/>
              <w:t>warning</w:t>
            </w:r>
          </w:p>
        </w:tc>
        <w:tc>
          <w:tcPr>
            <w:tcW w:w="946" w:type="dxa"/>
            <w:tcBorders/>
            <w:vAlign w:val="center"/>
          </w:tcPr>
          <w:p>
            <w:pPr>
              <w:pStyle w:val="TableContents"/>
              <w:bidi w:val="0"/>
              <w:spacing w:before="0" w:after="140"/>
              <w:jc w:val="left"/>
              <w:rPr/>
            </w:pPr>
            <w:r>
              <w:rPr/>
              <w:t>21</w:t>
            </w:r>
          </w:p>
        </w:tc>
      </w:tr>
    </w:tbl>
    <w:p>
      <w:pPr>
        <w:pStyle w:val="Heading3"/>
        <w:bidi w:val="0"/>
        <w:jc w:val="left"/>
        <w:rPr/>
      </w:pPr>
      <w:r>
        <w:rPr/>
        <w:t>A.3 Behaviour simulated</w:t>
      </w:r>
    </w:p>
    <w:tbl>
      <w:tblPr>
        <w:tblW w:w="9516" w:type="dxa"/>
        <w:jc w:val="left"/>
        <w:tblInd w:w="0" w:type="dxa"/>
        <w:tblLayout w:type="fixed"/>
        <w:tblCellMar>
          <w:top w:w="28" w:type="dxa"/>
          <w:left w:w="28" w:type="dxa"/>
          <w:bottom w:w="28" w:type="dxa"/>
          <w:right w:w="28" w:type="dxa"/>
        </w:tblCellMar>
      </w:tblPr>
      <w:tblGrid>
        <w:gridCol w:w="1764"/>
        <w:gridCol w:w="7752"/>
      </w:tblGrid>
      <w:tr>
        <w:trPr>
          <w:tblHeader w:val="true"/>
        </w:trPr>
        <w:tc>
          <w:tcPr>
            <w:tcW w:w="1764" w:type="dxa"/>
            <w:tcBorders/>
            <w:vAlign w:val="center"/>
          </w:tcPr>
          <w:p>
            <w:pPr>
              <w:pStyle w:val="TableHeading"/>
              <w:suppressLineNumbers/>
              <w:shd w:fill="0D3B66" w:val="clear"/>
              <w:bidi w:val="0"/>
              <w:spacing w:before="0" w:after="140"/>
              <w:jc w:val="left"/>
              <w:rPr/>
            </w:pPr>
            <w:r>
              <w:rPr/>
              <w:t>Behaviour</w:t>
            </w:r>
          </w:p>
        </w:tc>
        <w:tc>
          <w:tcPr>
            <w:tcW w:w="7752" w:type="dxa"/>
            <w:tcBorders/>
            <w:vAlign w:val="center"/>
          </w:tcPr>
          <w:p>
            <w:pPr>
              <w:pStyle w:val="TableHeading"/>
              <w:suppressLineNumbers/>
              <w:shd w:fill="0D3B66" w:val="clear"/>
              <w:bidi w:val="0"/>
              <w:spacing w:before="0" w:after="140"/>
              <w:jc w:val="left"/>
              <w:rPr/>
            </w:pPr>
            <w:r>
              <w:rPr/>
              <w:t>Model</w:t>
            </w:r>
          </w:p>
        </w:tc>
      </w:tr>
      <w:tr>
        <w:trPr/>
        <w:tc>
          <w:tcPr>
            <w:tcW w:w="1764" w:type="dxa"/>
            <w:tcBorders/>
            <w:vAlign w:val="center"/>
          </w:tcPr>
          <w:p>
            <w:pPr>
              <w:pStyle w:val="TableContents"/>
              <w:bidi w:val="0"/>
              <w:spacing w:before="0" w:after="140"/>
              <w:jc w:val="left"/>
              <w:rPr/>
            </w:pPr>
            <w:r>
              <w:rPr/>
              <w:t>Wake-up</w:t>
            </w:r>
          </w:p>
        </w:tc>
        <w:tc>
          <w:tcPr>
            <w:tcW w:w="7752" w:type="dxa"/>
            <w:tcBorders/>
            <w:vAlign w:val="center"/>
          </w:tcPr>
          <w:p>
            <w:pPr>
              <w:pStyle w:val="TableContents"/>
              <w:bidi w:val="0"/>
              <w:spacing w:before="0" w:after="140"/>
              <w:jc w:val="left"/>
              <w:rPr/>
            </w:pPr>
            <w:r>
              <w:rPr/>
              <w:t>Weekdays 06:15–07:30 (commuter/remote) or 10:00–11:30 (shift); weekends 08:00–09:30</w:t>
            </w:r>
          </w:p>
        </w:tc>
      </w:tr>
      <w:tr>
        <w:trPr/>
        <w:tc>
          <w:tcPr>
            <w:tcW w:w="1764" w:type="dxa"/>
            <w:tcBorders/>
            <w:vAlign w:val="center"/>
          </w:tcPr>
          <w:p>
            <w:pPr>
              <w:pStyle w:val="TableContents"/>
              <w:bidi w:val="0"/>
              <w:spacing w:before="0" w:after="140"/>
              <w:jc w:val="left"/>
              <w:rPr/>
            </w:pPr>
            <w:r>
              <w:rPr/>
              <w:t>Morning routine</w:t>
            </w:r>
          </w:p>
        </w:tc>
        <w:tc>
          <w:tcPr>
            <w:tcW w:w="7752" w:type="dxa"/>
            <w:tcBorders/>
            <w:vAlign w:val="center"/>
          </w:tcPr>
          <w:p>
            <w:pPr>
              <w:pStyle w:val="TableContents"/>
              <w:bidi w:val="0"/>
              <w:spacing w:before="0" w:after="140"/>
              <w:jc w:val="left"/>
              <w:rPr/>
            </w:pPr>
            <w:r>
              <w:rPr/>
              <w:t>Bedroom → bathroom → kitchen motion; lights if dark; kettle on a smart plug; blinds open</w:t>
            </w:r>
          </w:p>
        </w:tc>
      </w:tr>
      <w:tr>
        <w:trPr/>
        <w:tc>
          <w:tcPr>
            <w:tcW w:w="1764" w:type="dxa"/>
            <w:tcBorders/>
            <w:vAlign w:val="center"/>
          </w:tcPr>
          <w:p>
            <w:pPr>
              <w:pStyle w:val="TableContents"/>
              <w:bidi w:val="0"/>
              <w:spacing w:before="0" w:after="140"/>
              <w:jc w:val="left"/>
              <w:rPr/>
            </w:pPr>
            <w:r>
              <w:rPr/>
              <w:t>Commute</w:t>
            </w:r>
          </w:p>
        </w:tc>
        <w:tc>
          <w:tcPr>
            <w:tcW w:w="7752" w:type="dxa"/>
            <w:tcBorders/>
            <w:vAlign w:val="center"/>
          </w:tcPr>
          <w:p>
            <w:pPr>
              <w:pStyle w:val="TableContents"/>
              <w:bidi w:val="0"/>
              <w:spacing w:before="0" w:after="140"/>
              <w:jc w:val="left"/>
              <w:rPr/>
            </w:pPr>
            <w:r>
              <w:rPr/>
              <w:t>Door unlock → open → close → lock; heating to 16 °C; return 17:00–18:30</w:t>
            </w:r>
          </w:p>
        </w:tc>
      </w:tr>
      <w:tr>
        <w:trPr/>
        <w:tc>
          <w:tcPr>
            <w:tcW w:w="1764" w:type="dxa"/>
            <w:tcBorders/>
            <w:vAlign w:val="center"/>
          </w:tcPr>
          <w:p>
            <w:pPr>
              <w:pStyle w:val="TableContents"/>
              <w:bidi w:val="0"/>
              <w:spacing w:before="0" w:after="140"/>
              <w:jc w:val="left"/>
              <w:rPr/>
            </w:pPr>
            <w:r>
              <w:rPr/>
              <w:t>At-home days</w:t>
            </w:r>
          </w:p>
        </w:tc>
        <w:tc>
          <w:tcPr>
            <w:tcW w:w="7752" w:type="dxa"/>
            <w:tcBorders/>
            <w:vAlign w:val="center"/>
          </w:tcPr>
          <w:p>
            <w:pPr>
              <w:pStyle w:val="TableContents"/>
              <w:bidi w:val="0"/>
              <w:spacing w:before="0" w:after="140"/>
              <w:jc w:val="left"/>
              <w:rPr/>
            </w:pPr>
            <w:r>
              <w:rPr/>
              <w:t>Living-room activity; 60% chance of an afternoon walk</w:t>
            </w:r>
          </w:p>
        </w:tc>
      </w:tr>
      <w:tr>
        <w:trPr/>
        <w:tc>
          <w:tcPr>
            <w:tcW w:w="1764" w:type="dxa"/>
            <w:tcBorders/>
            <w:vAlign w:val="center"/>
          </w:tcPr>
          <w:p>
            <w:pPr>
              <w:pStyle w:val="TableContents"/>
              <w:bidi w:val="0"/>
              <w:spacing w:before="0" w:after="140"/>
              <w:jc w:val="left"/>
              <w:rPr/>
            </w:pPr>
            <w:r>
              <w:rPr/>
              <w:t>Evening</w:t>
            </w:r>
          </w:p>
        </w:tc>
        <w:tc>
          <w:tcPr>
            <w:tcW w:w="7752" w:type="dxa"/>
            <w:tcBorders/>
            <w:vAlign w:val="center"/>
          </w:tcPr>
          <w:p>
            <w:pPr>
              <w:pStyle w:val="TableContents"/>
              <w:bidi w:val="0"/>
              <w:spacing w:before="0" w:after="140"/>
              <w:jc w:val="left"/>
              <w:rPr/>
            </w:pPr>
            <w:r>
              <w:rPr/>
              <w:t>Cooking; TV on a smart plug; blinds close; heating off; bathroom; bed 22:30–23:40</w:t>
            </w:r>
          </w:p>
        </w:tc>
      </w:tr>
      <w:tr>
        <w:trPr/>
        <w:tc>
          <w:tcPr>
            <w:tcW w:w="1764" w:type="dxa"/>
            <w:tcBorders/>
            <w:vAlign w:val="center"/>
          </w:tcPr>
          <w:p>
            <w:pPr>
              <w:pStyle w:val="TableContents"/>
              <w:bidi w:val="0"/>
              <w:spacing w:before="0" w:after="140"/>
              <w:jc w:val="left"/>
              <w:rPr/>
            </w:pPr>
            <w:r>
              <w:rPr/>
              <w:t>Climate</w:t>
            </w:r>
          </w:p>
        </w:tc>
        <w:tc>
          <w:tcPr>
            <w:tcW w:w="7752" w:type="dxa"/>
            <w:tcBorders/>
            <w:vAlign w:val="center"/>
          </w:tcPr>
          <w:p>
            <w:pPr>
              <w:pStyle w:val="TableContents"/>
              <w:bidi w:val="0"/>
              <w:spacing w:before="0" w:after="140"/>
              <w:jc w:val="left"/>
              <w:rPr/>
            </w:pPr>
            <w:r>
              <w:rPr/>
              <w:t>Temperature every 15 min in 3 rooms, following the thermostat; humidity every 30 min, with shower peaks</w:t>
            </w:r>
          </w:p>
        </w:tc>
      </w:tr>
      <w:tr>
        <w:trPr/>
        <w:tc>
          <w:tcPr>
            <w:tcW w:w="1764" w:type="dxa"/>
            <w:tcBorders/>
            <w:vAlign w:val="center"/>
          </w:tcPr>
          <w:p>
            <w:pPr>
              <w:pStyle w:val="TableContents"/>
              <w:bidi w:val="0"/>
              <w:spacing w:before="0" w:after="140"/>
              <w:jc w:val="left"/>
              <w:rPr/>
            </w:pPr>
            <w:r>
              <w:rPr/>
              <w:t>Safety events</w:t>
            </w:r>
          </w:p>
        </w:tc>
        <w:tc>
          <w:tcPr>
            <w:tcW w:w="7752" w:type="dxa"/>
            <w:tcBorders/>
            <w:vAlign w:val="center"/>
          </w:tcPr>
          <w:p>
            <w:pPr>
              <w:pStyle w:val="TableContents"/>
              <w:bidi w:val="0"/>
              <w:spacing w:before="0" w:after="140"/>
              <w:jc w:val="left"/>
              <w:rPr/>
            </w:pPr>
            <w:r>
              <w:rPr/>
              <w:t>Smoke-alarm test on the 1st of each month; 3% chance of a burnt dinner; 4% chance of late-night door use</w:t>
            </w:r>
          </w:p>
        </w:tc>
      </w:tr>
    </w:tbl>
    <w:p>
      <w:pPr>
        <w:pStyle w:val="Heading3"/>
        <w:bidi w:val="0"/>
        <w:jc w:val="left"/>
        <w:rPr/>
      </w:pPr>
      <w:r>
        <w:rPr/>
        <w:t xml:space="preserve">A.4 Sample files (in </w:t>
      </w:r>
      <w:r>
        <w:rPr>
          <w:rStyle w:val="SourceText"/>
        </w:rPr>
        <w:t>iothings/data/</w:t>
      </w:r>
      <w:r>
        <w:rPr/>
        <w:t>)</w:t>
      </w:r>
    </w:p>
    <w:p>
      <w:pPr>
        <w:pStyle w:val="TextBody"/>
        <w:numPr>
          <w:ilvl w:val="0"/>
          <w:numId w:val="27"/>
        </w:numPr>
        <w:tabs>
          <w:tab w:val="clear" w:pos="1134"/>
          <w:tab w:val="left" w:pos="709" w:leader="none"/>
        </w:tabs>
        <w:bidi w:val="0"/>
        <w:spacing w:before="0" w:after="0"/>
        <w:ind w:left="709" w:hanging="283"/>
        <w:rPr/>
      </w:pPr>
      <w:r>
        <w:rPr>
          <w:rStyle w:val="SourceText"/>
        </w:rPr>
        <w:t>sample-homes.json</w:t>
      </w:r>
      <w:r>
        <w:rPr/>
        <w:t xml:space="preserve"> and </w:t>
      </w:r>
      <w:r>
        <w:rPr>
          <w:rStyle w:val="SourceText"/>
        </w:rPr>
        <w:t>sample-devices.json</w:t>
      </w:r>
      <w:r>
        <w:rPr/>
        <w:t xml:space="preserve">: the first two homes and their 48 devices </w:t>
      </w:r>
    </w:p>
    <w:p>
      <w:pPr>
        <w:pStyle w:val="TextBody"/>
        <w:numPr>
          <w:ilvl w:val="0"/>
          <w:numId w:val="27"/>
        </w:numPr>
        <w:tabs>
          <w:tab w:val="clear" w:pos="1134"/>
          <w:tab w:val="left" w:pos="709" w:leader="none"/>
        </w:tabs>
        <w:bidi w:val="0"/>
        <w:ind w:left="709" w:hanging="283"/>
        <w:rPr/>
      </w:pPr>
      <w:r>
        <w:rPr>
          <w:rStyle w:val="SourceText"/>
        </w:rPr>
        <w:t>sample-sensor-events-one-day.csv</w:t>
      </w:r>
      <w:r>
        <w:rPr/>
        <w:t xml:space="preserve">: one day of events for H001. First rows: </w:t>
      </w:r>
    </w:p>
    <w:p>
      <w:pPr>
        <w:pStyle w:val="PreformattedText"/>
        <w:bidi w:val="0"/>
        <w:jc w:val="left"/>
        <w:rPr/>
      </w:pPr>
      <w:r>
        <w:rPr>
          <w:rStyle w:val="SourceText"/>
        </w:rPr>
        <w:t>ts,homeId,deviceId,type,room,state,value,unit</w:t>
      </w:r>
    </w:p>
    <w:p>
      <w:pPr>
        <w:pStyle w:val="PreformattedText"/>
        <w:pBdr/>
        <w:shd w:fill="F1F3F5" w:val="clear"/>
        <w:bidi w:val="0"/>
        <w:spacing w:lineRule="auto" w:line="324" w:before="160" w:after="40"/>
        <w:ind w:left="160" w:right="160" w:hanging="0"/>
        <w:jc w:val="left"/>
        <w:rPr/>
      </w:pPr>
      <w:r>
        <w:rPr>
          <w:rStyle w:val="SourceText"/>
        </w:rPr>
        <w:t>2026-08-30T23:00:05.895Z,H001,H001-kitchen-temperature,temperature,kitchen,,16.4,°C</w:t>
      </w:r>
    </w:p>
    <w:p>
      <w:pPr>
        <w:pStyle w:val="PreformattedText"/>
        <w:pBdr/>
        <w:shd w:fill="F1F3F5" w:val="clear"/>
        <w:bidi w:val="0"/>
        <w:spacing w:lineRule="auto" w:line="324" w:before="160" w:after="40"/>
        <w:ind w:left="160" w:right="160" w:hanging="0"/>
        <w:jc w:val="left"/>
        <w:rPr/>
      </w:pPr>
      <w:r>
        <w:rPr>
          <w:rStyle w:val="SourceText"/>
        </w:rPr>
        <w:t>2026-08-30T23:00:08.704Z,H001,H001-bedroom-temperature,temperature,bedroom,,15.3,°C</w:t>
      </w:r>
    </w:p>
    <w:p>
      <w:pPr>
        <w:pStyle w:val="PreformattedText"/>
        <w:pBdr/>
        <w:shd w:fill="F1F3F5" w:val="clear"/>
        <w:bidi w:val="0"/>
        <w:spacing w:lineRule="auto" w:line="324" w:before="160" w:after="40"/>
        <w:ind w:left="160" w:right="160" w:hanging="0"/>
        <w:jc w:val="left"/>
        <w:rPr/>
      </w:pPr>
      <w:r>
        <w:rPr>
          <w:rStyle w:val="SourceText"/>
        </w:rPr>
        <w:t>2026-08-30T23:00:27.227Z,H001,H001-bathroom-humidity,humidity,bathroom,,52,%</w:t>
      </w:r>
    </w:p>
    <w:p>
      <w:pPr>
        <w:pStyle w:val="PreformattedText"/>
        <w:pBdr/>
        <w:shd w:fill="F1F3F5" w:val="clear"/>
        <w:bidi w:val="0"/>
        <w:spacing w:lineRule="auto" w:line="324" w:before="160" w:after="40"/>
        <w:ind w:left="160" w:right="160" w:hanging="0"/>
        <w:jc w:val="left"/>
        <w:rPr/>
      </w:pPr>
      <w:r>
        <w:rPr>
          <w:rStyle w:val="SourceText"/>
        </w:rPr>
        <w:t>2026-08-30T23:00:40.861Z,H001,H001-living-room-temperature,temperature,living_room,,16.1,°C</w:t>
      </w:r>
    </w:p>
    <w:p>
      <w:pPr>
        <w:pStyle w:val="TextBody"/>
        <w:bidi w:val="0"/>
        <w:spacing w:before="0" w:after="140"/>
        <w:jc w:val="both"/>
        <w:rPr/>
      </w:pPr>
      <w:r>
        <w:rPr/>
        <w:t>(Timestamps are in UTC. 23:00 UTC on 30 August is midnight UK time on 31 August.)</w:t>
      </w:r>
    </w:p>
    <w:p>
      <w:pPr>
        <w:pStyle w:val="TextBody"/>
        <w:numPr>
          <w:ilvl w:val="0"/>
          <w:numId w:val="28"/>
        </w:numPr>
        <w:tabs>
          <w:tab w:val="clear" w:pos="1134"/>
          <w:tab w:val="left" w:pos="709" w:leader="none"/>
        </w:tabs>
        <w:bidi w:val="0"/>
        <w:ind w:left="709" w:hanging="283"/>
        <w:rPr/>
      </w:pPr>
      <w:r>
        <w:rPr>
          <w:rStyle w:val="SourceText"/>
        </w:rPr>
        <w:t>dataset-summary.json</w:t>
      </w:r>
      <w:r>
        <w:rPr/>
        <w:t xml:space="preserve">: totals and the date range </w:t>
      </w:r>
    </w:p>
    <w:p>
      <w:pPr>
        <w:pStyle w:val="Heading2"/>
        <w:bidi w:val="0"/>
        <w:jc w:val="left"/>
        <w:rPr/>
      </w:pPr>
      <w:r>
        <w:rPr/>
        <w:t>Appendix B: Test Data and Procedures</w:t>
      </w:r>
    </w:p>
    <w:tbl>
      <w:tblPr>
        <w:tblW w:w="9516" w:type="dxa"/>
        <w:jc w:val="left"/>
        <w:tblInd w:w="0" w:type="dxa"/>
        <w:tblLayout w:type="fixed"/>
        <w:tblCellMar>
          <w:top w:w="28" w:type="dxa"/>
          <w:left w:w="28" w:type="dxa"/>
          <w:bottom w:w="28" w:type="dxa"/>
          <w:right w:w="28" w:type="dxa"/>
        </w:tblCellMar>
      </w:tblPr>
      <w:tblGrid>
        <w:gridCol w:w="1624"/>
        <w:gridCol w:w="4074"/>
        <w:gridCol w:w="1993"/>
        <w:gridCol w:w="1825"/>
      </w:tblGrid>
      <w:tr>
        <w:trPr>
          <w:tblHeader w:val="true"/>
        </w:trPr>
        <w:tc>
          <w:tcPr>
            <w:tcW w:w="1624" w:type="dxa"/>
            <w:tcBorders/>
            <w:vAlign w:val="center"/>
          </w:tcPr>
          <w:p>
            <w:pPr>
              <w:pStyle w:val="TableHeading"/>
              <w:suppressLineNumbers/>
              <w:shd w:fill="0D3B66" w:val="clear"/>
              <w:bidi w:val="0"/>
              <w:spacing w:before="0" w:after="140"/>
              <w:jc w:val="left"/>
              <w:rPr/>
            </w:pPr>
            <w:r>
              <w:rPr/>
              <w:t>Test</w:t>
            </w:r>
          </w:p>
        </w:tc>
        <w:tc>
          <w:tcPr>
            <w:tcW w:w="4074" w:type="dxa"/>
            <w:tcBorders/>
            <w:vAlign w:val="center"/>
          </w:tcPr>
          <w:p>
            <w:pPr>
              <w:pStyle w:val="TableHeading"/>
              <w:suppressLineNumbers/>
              <w:shd w:fill="0D3B66" w:val="clear"/>
              <w:bidi w:val="0"/>
              <w:spacing w:before="0" w:after="140"/>
              <w:jc w:val="left"/>
              <w:rPr/>
            </w:pPr>
            <w:r>
              <w:rPr/>
              <w:t>Data and procedure</w:t>
            </w:r>
          </w:p>
        </w:tc>
        <w:tc>
          <w:tcPr>
            <w:tcW w:w="1993" w:type="dxa"/>
            <w:tcBorders/>
            <w:vAlign w:val="center"/>
          </w:tcPr>
          <w:p>
            <w:pPr>
              <w:pStyle w:val="TableHeading"/>
              <w:suppressLineNumbers/>
              <w:shd w:fill="0D3B66" w:val="clear"/>
              <w:bidi w:val="0"/>
              <w:spacing w:before="0" w:after="140"/>
              <w:jc w:val="left"/>
              <w:rPr/>
            </w:pPr>
            <w:r>
              <w:rPr/>
              <w:t>Expected result</w:t>
            </w:r>
          </w:p>
        </w:tc>
        <w:tc>
          <w:tcPr>
            <w:tcW w:w="1825" w:type="dxa"/>
            <w:tcBorders/>
            <w:vAlign w:val="center"/>
          </w:tcPr>
          <w:p>
            <w:pPr>
              <w:pStyle w:val="TableHeading"/>
              <w:suppressLineNumbers/>
              <w:shd w:fill="0D3B66" w:val="clear"/>
              <w:bidi w:val="0"/>
              <w:spacing w:before="0" w:after="140"/>
              <w:jc w:val="left"/>
              <w:rPr/>
            </w:pPr>
            <w:r>
              <w:rPr/>
              <w:t>Result</w:t>
            </w:r>
          </w:p>
        </w:tc>
      </w:tr>
      <w:tr>
        <w:trPr/>
        <w:tc>
          <w:tcPr>
            <w:tcW w:w="1624" w:type="dxa"/>
            <w:tcBorders/>
            <w:vAlign w:val="center"/>
          </w:tcPr>
          <w:p>
            <w:pPr>
              <w:pStyle w:val="TableContents"/>
              <w:bidi w:val="0"/>
              <w:spacing w:before="0" w:after="140"/>
              <w:jc w:val="left"/>
              <w:rPr/>
            </w:pPr>
            <w:r>
              <w:rPr/>
              <w:t>CRUD in the shell</w:t>
            </w:r>
          </w:p>
        </w:tc>
        <w:tc>
          <w:tcPr>
            <w:tcW w:w="4074" w:type="dxa"/>
            <w:tcBorders/>
            <w:vAlign w:val="center"/>
          </w:tcPr>
          <w:p>
            <w:pPr>
              <w:pStyle w:val="TableContents"/>
              <w:bidi w:val="0"/>
              <w:spacing w:before="0" w:after="140"/>
              <w:jc w:val="left"/>
              <w:rPr/>
            </w:pPr>
            <w:r>
              <w:rPr>
                <w:rStyle w:val="SourceText"/>
              </w:rPr>
              <w:t>mongo/demo-queries.js</w:t>
            </w:r>
            <w:r>
              <w:rPr/>
              <w:t>: creates home H900 and device H900-kitchen-smoke-alarm, one event; reads, updates, aggregates; deletes all three</w:t>
            </w:r>
          </w:p>
        </w:tc>
        <w:tc>
          <w:tcPr>
            <w:tcW w:w="1993" w:type="dxa"/>
            <w:tcBorders/>
            <w:vAlign w:val="center"/>
          </w:tcPr>
          <w:p>
            <w:pPr>
              <w:pStyle w:val="TableContents"/>
              <w:bidi w:val="0"/>
              <w:spacing w:before="0" w:after="140"/>
              <w:jc w:val="left"/>
              <w:rPr/>
            </w:pPr>
            <w:r>
              <w:rPr/>
              <w:t>All operations succeed; invalid device rejected; index used</w:t>
            </w:r>
          </w:p>
        </w:tc>
        <w:tc>
          <w:tcPr>
            <w:tcW w:w="1825" w:type="dxa"/>
            <w:tcBorders/>
            <w:vAlign w:val="center"/>
          </w:tcPr>
          <w:p>
            <w:pPr>
              <w:pStyle w:val="TableContents"/>
              <w:bidi w:val="0"/>
              <w:spacing w:before="0" w:after="140"/>
              <w:jc w:val="left"/>
              <w:rPr/>
            </w:pPr>
            <w:r>
              <w:rPr/>
              <w:t>Pass (Figure 8)</w:t>
            </w:r>
          </w:p>
        </w:tc>
      </w:tr>
      <w:tr>
        <w:trPr/>
        <w:tc>
          <w:tcPr>
            <w:tcW w:w="1624" w:type="dxa"/>
            <w:tcBorders/>
            <w:vAlign w:val="center"/>
          </w:tcPr>
          <w:p>
            <w:pPr>
              <w:pStyle w:val="TableContents"/>
              <w:bidi w:val="0"/>
              <w:spacing w:before="0" w:after="140"/>
              <w:jc w:val="left"/>
              <w:rPr/>
            </w:pPr>
            <w:r>
              <w:rPr/>
              <w:t>CRUD through the API</w:t>
            </w:r>
          </w:p>
        </w:tc>
        <w:tc>
          <w:tcPr>
            <w:tcW w:w="4074" w:type="dxa"/>
            <w:tcBorders/>
            <w:vAlign w:val="center"/>
          </w:tcPr>
          <w:p>
            <w:pPr>
              <w:pStyle w:val="TableContents"/>
              <w:bidi w:val="0"/>
              <w:spacing w:before="0" w:after="140"/>
              <w:jc w:val="left"/>
              <w:rPr/>
            </w:pPr>
            <w:r>
              <w:rPr/>
              <w:t>Home H950 and device H950-kitchen-light: POST → POST event → PATCH → DELETE</w:t>
            </w:r>
          </w:p>
        </w:tc>
        <w:tc>
          <w:tcPr>
            <w:tcW w:w="1993" w:type="dxa"/>
            <w:tcBorders/>
            <w:vAlign w:val="center"/>
          </w:tcPr>
          <w:p>
            <w:pPr>
              <w:pStyle w:val="TableContents"/>
              <w:bidi w:val="0"/>
              <w:spacing w:before="0" w:after="140"/>
              <w:jc w:val="left"/>
              <w:rPr/>
            </w:pPr>
            <w:r>
              <w:rPr/>
              <w:t>201, 201, 200, 200 with deletion counts</w:t>
            </w:r>
          </w:p>
        </w:tc>
        <w:tc>
          <w:tcPr>
            <w:tcW w:w="1825" w:type="dxa"/>
            <w:tcBorders/>
            <w:vAlign w:val="center"/>
          </w:tcPr>
          <w:p>
            <w:pPr>
              <w:pStyle w:val="TableContents"/>
              <w:bidi w:val="0"/>
              <w:spacing w:before="0" w:after="140"/>
              <w:jc w:val="left"/>
              <w:rPr/>
            </w:pPr>
            <w:r>
              <w:rPr/>
              <w:t>Pass</w:t>
            </w:r>
          </w:p>
        </w:tc>
      </w:tr>
      <w:tr>
        <w:trPr/>
        <w:tc>
          <w:tcPr>
            <w:tcW w:w="1624" w:type="dxa"/>
            <w:tcBorders/>
            <w:vAlign w:val="center"/>
          </w:tcPr>
          <w:p>
            <w:pPr>
              <w:pStyle w:val="TableContents"/>
              <w:bidi w:val="0"/>
              <w:spacing w:before="0" w:after="140"/>
              <w:jc w:val="left"/>
              <w:rPr/>
            </w:pPr>
            <w:r>
              <w:rPr/>
              <w:t>Schema validation</w:t>
            </w:r>
          </w:p>
        </w:tc>
        <w:tc>
          <w:tcPr>
            <w:tcW w:w="4074" w:type="dxa"/>
            <w:tcBorders/>
            <w:vAlign w:val="center"/>
          </w:tcPr>
          <w:p>
            <w:pPr>
              <w:pStyle w:val="TableContents"/>
              <w:bidi w:val="0"/>
              <w:spacing w:before="0" w:after="140"/>
              <w:jc w:val="left"/>
              <w:rPr/>
            </w:pPr>
            <w:r>
              <w:rPr/>
              <w:t xml:space="preserve">Device of type </w:t>
            </w:r>
            <w:r>
              <w:rPr>
                <w:rStyle w:val="SourceText"/>
              </w:rPr>
              <w:t>toaster</w:t>
            </w:r>
            <w:r>
              <w:rPr/>
              <w:t xml:space="preserve">; home with ID </w:t>
            </w:r>
            <w:r>
              <w:rPr>
                <w:rStyle w:val="SourceText"/>
              </w:rPr>
              <w:t>bad</w:t>
            </w:r>
            <w:r>
              <w:rPr/>
              <w:t xml:space="preserve"> and no postcode</w:t>
            </w:r>
          </w:p>
        </w:tc>
        <w:tc>
          <w:tcPr>
            <w:tcW w:w="1993" w:type="dxa"/>
            <w:tcBorders/>
            <w:vAlign w:val="center"/>
          </w:tcPr>
          <w:p>
            <w:pPr>
              <w:pStyle w:val="TableContents"/>
              <w:bidi w:val="0"/>
              <w:spacing w:before="0" w:after="140"/>
              <w:jc w:val="left"/>
              <w:rPr/>
            </w:pPr>
            <w:r>
              <w:rPr/>
              <w:t>Rejected by the validator</w:t>
            </w:r>
          </w:p>
        </w:tc>
        <w:tc>
          <w:tcPr>
            <w:tcW w:w="1825" w:type="dxa"/>
            <w:tcBorders/>
            <w:vAlign w:val="center"/>
          </w:tcPr>
          <w:p>
            <w:pPr>
              <w:pStyle w:val="TableContents"/>
              <w:bidi w:val="0"/>
              <w:spacing w:before="0" w:after="140"/>
              <w:jc w:val="left"/>
              <w:rPr/>
            </w:pPr>
            <w:r>
              <w:rPr/>
              <w:t>Pass (400 with details)</w:t>
            </w:r>
          </w:p>
        </w:tc>
      </w:tr>
      <w:tr>
        <w:trPr/>
        <w:tc>
          <w:tcPr>
            <w:tcW w:w="1624" w:type="dxa"/>
            <w:tcBorders/>
            <w:vAlign w:val="center"/>
          </w:tcPr>
          <w:p>
            <w:pPr>
              <w:pStyle w:val="TableContents"/>
              <w:bidi w:val="0"/>
              <w:spacing w:before="0" w:after="140"/>
              <w:jc w:val="left"/>
              <w:rPr/>
            </w:pPr>
            <w:r>
              <w:rPr/>
              <w:t>API error handling</w:t>
            </w:r>
          </w:p>
        </w:tc>
        <w:tc>
          <w:tcPr>
            <w:tcW w:w="4074" w:type="dxa"/>
            <w:tcBorders/>
            <w:vAlign w:val="center"/>
          </w:tcPr>
          <w:p>
            <w:pPr>
              <w:pStyle w:val="TableContents"/>
              <w:bidi w:val="0"/>
              <w:spacing w:before="0" w:after="140"/>
              <w:jc w:val="left"/>
              <w:rPr/>
            </w:pPr>
            <w:r>
              <w:rPr/>
              <w:t xml:space="preserve">No key; duplicate </w:t>
            </w:r>
            <w:r>
              <w:rPr>
                <w:rStyle w:val="SourceText"/>
              </w:rPr>
              <w:t>homeId</w:t>
            </w:r>
            <w:r>
              <w:rPr/>
              <w:t>; value 999; events query without a filter</w:t>
            </w:r>
          </w:p>
        </w:tc>
        <w:tc>
          <w:tcPr>
            <w:tcW w:w="1993" w:type="dxa"/>
            <w:tcBorders/>
            <w:vAlign w:val="center"/>
          </w:tcPr>
          <w:p>
            <w:pPr>
              <w:pStyle w:val="TableContents"/>
              <w:bidi w:val="0"/>
              <w:spacing w:before="0" w:after="140"/>
              <w:jc w:val="left"/>
              <w:rPr/>
            </w:pPr>
            <w:r>
              <w:rPr/>
              <w:t>401, 409, 400, 400</w:t>
            </w:r>
          </w:p>
        </w:tc>
        <w:tc>
          <w:tcPr>
            <w:tcW w:w="1825" w:type="dxa"/>
            <w:tcBorders/>
            <w:vAlign w:val="center"/>
          </w:tcPr>
          <w:p>
            <w:pPr>
              <w:pStyle w:val="TableContents"/>
              <w:bidi w:val="0"/>
              <w:spacing w:before="0" w:after="140"/>
              <w:jc w:val="left"/>
              <w:rPr/>
            </w:pPr>
            <w:r>
              <w:rPr/>
              <w:t>Pass (Figure 11)</w:t>
            </w:r>
          </w:p>
        </w:tc>
      </w:tr>
      <w:tr>
        <w:trPr/>
        <w:tc>
          <w:tcPr>
            <w:tcW w:w="1624" w:type="dxa"/>
            <w:tcBorders/>
            <w:vAlign w:val="center"/>
          </w:tcPr>
          <w:p>
            <w:pPr>
              <w:pStyle w:val="TableContents"/>
              <w:bidi w:val="0"/>
              <w:spacing w:before="0" w:after="140"/>
              <w:jc w:val="left"/>
              <w:rPr/>
            </w:pPr>
            <w:r>
              <w:rPr/>
              <w:t>RBAC</w:t>
            </w:r>
          </w:p>
        </w:tc>
        <w:tc>
          <w:tcPr>
            <w:tcW w:w="4074" w:type="dxa"/>
            <w:tcBorders/>
            <w:vAlign w:val="center"/>
          </w:tcPr>
          <w:p>
            <w:pPr>
              <w:pStyle w:val="TableContents"/>
              <w:bidi w:val="0"/>
              <w:spacing w:before="0" w:after="140"/>
              <w:jc w:val="left"/>
              <w:rPr/>
            </w:pPr>
            <w:r>
              <w:rPr>
                <w:rStyle w:val="SourceText"/>
              </w:rPr>
              <w:t>iothings_analyst</w:t>
            </w:r>
            <w:r>
              <w:rPr/>
              <w:t xml:space="preserve"> reads homes, then attempts </w:t>
            </w:r>
            <w:r>
              <w:rPr>
                <w:rStyle w:val="SourceText"/>
              </w:rPr>
              <w:t>deleteMany</w:t>
            </w:r>
          </w:p>
        </w:tc>
        <w:tc>
          <w:tcPr>
            <w:tcW w:w="1993" w:type="dxa"/>
            <w:tcBorders/>
            <w:vAlign w:val="center"/>
          </w:tcPr>
          <w:p>
            <w:pPr>
              <w:pStyle w:val="TableContents"/>
              <w:bidi w:val="0"/>
              <w:spacing w:before="0" w:after="140"/>
              <w:jc w:val="left"/>
              <w:rPr/>
            </w:pPr>
            <w:r>
              <w:rPr/>
              <w:t>Read allowed, delete refused</w:t>
            </w:r>
          </w:p>
        </w:tc>
        <w:tc>
          <w:tcPr>
            <w:tcW w:w="1825" w:type="dxa"/>
            <w:tcBorders/>
            <w:vAlign w:val="center"/>
          </w:tcPr>
          <w:p>
            <w:pPr>
              <w:pStyle w:val="TableContents"/>
              <w:bidi w:val="0"/>
              <w:spacing w:before="0" w:after="140"/>
              <w:jc w:val="left"/>
              <w:rPr/>
            </w:pPr>
            <w:r>
              <w:rPr/>
              <w:t>Pass (Figure 6)</w:t>
            </w:r>
          </w:p>
        </w:tc>
      </w:tr>
      <w:tr>
        <w:trPr/>
        <w:tc>
          <w:tcPr>
            <w:tcW w:w="1624" w:type="dxa"/>
            <w:tcBorders/>
            <w:vAlign w:val="center"/>
          </w:tcPr>
          <w:p>
            <w:pPr>
              <w:pStyle w:val="TableContents"/>
              <w:bidi w:val="0"/>
              <w:spacing w:before="0" w:after="140"/>
              <w:jc w:val="left"/>
              <w:rPr/>
            </w:pPr>
            <w:r>
              <w:rPr/>
              <w:t>MQTT validation</w:t>
            </w:r>
          </w:p>
        </w:tc>
        <w:tc>
          <w:tcPr>
            <w:tcW w:w="4074" w:type="dxa"/>
            <w:tcBorders/>
            <w:vAlign w:val="center"/>
          </w:tcPr>
          <w:p>
            <w:pPr>
              <w:pStyle w:val="TableContents"/>
              <w:bidi w:val="0"/>
              <w:spacing w:before="0" w:after="140"/>
              <w:jc w:val="left"/>
              <w:rPr/>
            </w:pPr>
            <w:r>
              <w:rPr/>
              <w:t>Value 999; state "banana"; unknown device; non-JSON text</w:t>
            </w:r>
          </w:p>
        </w:tc>
        <w:tc>
          <w:tcPr>
            <w:tcW w:w="1993" w:type="dxa"/>
            <w:tcBorders/>
            <w:vAlign w:val="center"/>
          </w:tcPr>
          <w:p>
            <w:pPr>
              <w:pStyle w:val="TableContents"/>
              <w:bidi w:val="0"/>
              <w:spacing w:before="0" w:after="140"/>
              <w:jc w:val="left"/>
              <w:rPr/>
            </w:pPr>
            <w:r>
              <w:rPr/>
              <w:t>All 4 rejected and logged</w:t>
            </w:r>
          </w:p>
        </w:tc>
        <w:tc>
          <w:tcPr>
            <w:tcW w:w="1825" w:type="dxa"/>
            <w:tcBorders/>
            <w:vAlign w:val="center"/>
          </w:tcPr>
          <w:p>
            <w:pPr>
              <w:pStyle w:val="TableContents"/>
              <w:bidi w:val="0"/>
              <w:spacing w:before="0" w:after="140"/>
              <w:jc w:val="left"/>
              <w:rPr/>
            </w:pPr>
            <w:r>
              <w:rPr/>
              <w:t>Pass (Figure 7)</w:t>
            </w:r>
          </w:p>
        </w:tc>
      </w:tr>
      <w:tr>
        <w:trPr/>
        <w:tc>
          <w:tcPr>
            <w:tcW w:w="1624" w:type="dxa"/>
            <w:tcBorders/>
            <w:vAlign w:val="center"/>
          </w:tcPr>
          <w:p>
            <w:pPr>
              <w:pStyle w:val="TableContents"/>
              <w:bidi w:val="0"/>
              <w:spacing w:before="0" w:after="140"/>
              <w:jc w:val="left"/>
              <w:rPr/>
            </w:pPr>
            <w:r>
              <w:rPr/>
              <w:t>Safety alert</w:t>
            </w:r>
          </w:p>
        </w:tc>
        <w:tc>
          <w:tcPr>
            <w:tcW w:w="4074" w:type="dxa"/>
            <w:tcBorders/>
            <w:vAlign w:val="center"/>
          </w:tcPr>
          <w:p>
            <w:pPr>
              <w:pStyle w:val="TableContents"/>
              <w:bidi w:val="0"/>
              <w:spacing w:before="0" w:after="140"/>
              <w:jc w:val="left"/>
              <w:rPr/>
            </w:pPr>
            <w:r>
              <w:rPr/>
              <w:t>Smoke event for H007</w:t>
            </w:r>
          </w:p>
        </w:tc>
        <w:tc>
          <w:tcPr>
            <w:tcW w:w="1993" w:type="dxa"/>
            <w:tcBorders/>
            <w:vAlign w:val="center"/>
          </w:tcPr>
          <w:p>
            <w:pPr>
              <w:pStyle w:val="TableContents"/>
              <w:bidi w:val="0"/>
              <w:spacing w:before="0" w:after="140"/>
              <w:jc w:val="left"/>
              <w:rPr/>
            </w:pPr>
            <w:r>
              <w:rPr/>
              <w:t>Critical alert stored and notification published</w:t>
            </w:r>
          </w:p>
        </w:tc>
        <w:tc>
          <w:tcPr>
            <w:tcW w:w="1825" w:type="dxa"/>
            <w:tcBorders/>
            <w:vAlign w:val="center"/>
          </w:tcPr>
          <w:p>
            <w:pPr>
              <w:pStyle w:val="TableContents"/>
              <w:bidi w:val="0"/>
              <w:spacing w:before="0" w:after="140"/>
              <w:jc w:val="left"/>
              <w:rPr/>
            </w:pPr>
            <w:r>
              <w:rPr/>
              <w:t>Pass (Figure 7)</w:t>
            </w:r>
          </w:p>
        </w:tc>
      </w:tr>
      <w:tr>
        <w:trPr/>
        <w:tc>
          <w:tcPr>
            <w:tcW w:w="1624" w:type="dxa"/>
            <w:tcBorders/>
            <w:vAlign w:val="center"/>
          </w:tcPr>
          <w:p>
            <w:pPr>
              <w:pStyle w:val="TableContents"/>
              <w:bidi w:val="0"/>
              <w:spacing w:before="0" w:after="140"/>
              <w:jc w:val="left"/>
              <w:rPr/>
            </w:pPr>
            <w:r>
              <w:rPr/>
              <w:t>Failover</w:t>
            </w:r>
          </w:p>
        </w:tc>
        <w:tc>
          <w:tcPr>
            <w:tcW w:w="4074" w:type="dxa"/>
            <w:tcBorders/>
            <w:vAlign w:val="center"/>
          </w:tcPr>
          <w:p>
            <w:pPr>
              <w:pStyle w:val="TableContents"/>
              <w:bidi w:val="0"/>
              <w:spacing w:before="0" w:after="140"/>
              <w:jc w:val="left"/>
              <w:rPr/>
            </w:pPr>
            <w:r>
              <w:rPr>
                <w:rStyle w:val="SourceText"/>
              </w:rPr>
              <w:t>docker kill</w:t>
            </w:r>
            <w:r>
              <w:rPr/>
              <w:t xml:space="preserve"> on the primary; write during the outage; restart</w:t>
            </w:r>
          </w:p>
        </w:tc>
        <w:tc>
          <w:tcPr>
            <w:tcW w:w="1993" w:type="dxa"/>
            <w:tcBorders/>
            <w:vAlign w:val="center"/>
          </w:tcPr>
          <w:p>
            <w:pPr>
              <w:pStyle w:val="TableContents"/>
              <w:bidi w:val="0"/>
              <w:spacing w:before="0" w:after="140"/>
              <w:jc w:val="left"/>
              <w:rPr/>
            </w:pPr>
            <w:r>
              <w:rPr/>
              <w:t>New primary; write accepted; member rejoins</w:t>
            </w:r>
          </w:p>
        </w:tc>
        <w:tc>
          <w:tcPr>
            <w:tcW w:w="1825" w:type="dxa"/>
            <w:tcBorders/>
            <w:vAlign w:val="center"/>
          </w:tcPr>
          <w:p>
            <w:pPr>
              <w:pStyle w:val="TableContents"/>
              <w:bidi w:val="0"/>
              <w:spacing w:before="0" w:after="140"/>
              <w:jc w:val="left"/>
              <w:rPr/>
            </w:pPr>
            <w:r>
              <w:rPr/>
              <w:t>Pass, 5/5 runs (Table 7)</w:t>
            </w:r>
          </w:p>
        </w:tc>
      </w:tr>
      <w:tr>
        <w:trPr/>
        <w:tc>
          <w:tcPr>
            <w:tcW w:w="1624" w:type="dxa"/>
            <w:tcBorders/>
            <w:vAlign w:val="center"/>
          </w:tcPr>
          <w:p>
            <w:pPr>
              <w:pStyle w:val="TableContents"/>
              <w:bidi w:val="0"/>
              <w:spacing w:before="0" w:after="140"/>
              <w:jc w:val="left"/>
              <w:rPr/>
            </w:pPr>
            <w:r>
              <w:rPr/>
              <w:t>Granularity benchmark</w:t>
            </w:r>
          </w:p>
        </w:tc>
        <w:tc>
          <w:tcPr>
            <w:tcW w:w="4074" w:type="dxa"/>
            <w:tcBorders/>
            <w:vAlign w:val="center"/>
          </w:tcPr>
          <w:p>
            <w:pPr>
              <w:pStyle w:val="TableContents"/>
              <w:bidi w:val="0"/>
              <w:spacing w:before="0" w:after="140"/>
              <w:jc w:val="left"/>
              <w:rPr/>
            </w:pPr>
            <w:r>
              <w:rPr/>
              <w:t>Same 289,602 events in 4 designs, identical indexes</w:t>
            </w:r>
          </w:p>
        </w:tc>
        <w:tc>
          <w:tcPr>
            <w:tcW w:w="1993" w:type="dxa"/>
            <w:tcBorders/>
            <w:vAlign w:val="center"/>
          </w:tcPr>
          <w:p>
            <w:pPr>
              <w:pStyle w:val="TableContents"/>
              <w:bidi w:val="0"/>
              <w:spacing w:before="0" w:after="140"/>
              <w:jc w:val="left"/>
              <w:rPr/>
            </w:pPr>
            <w:r>
              <w:rPr/>
              <w:t>Compare storage and query cost</w:t>
            </w:r>
          </w:p>
        </w:tc>
        <w:tc>
          <w:tcPr>
            <w:tcW w:w="1825" w:type="dxa"/>
            <w:tcBorders/>
            <w:vAlign w:val="center"/>
          </w:tcPr>
          <w:p>
            <w:pPr>
              <w:pStyle w:val="TableContents"/>
              <w:bidi w:val="0"/>
              <w:spacing w:before="0" w:after="140"/>
              <w:jc w:val="left"/>
              <w:rPr/>
            </w:pPr>
            <w:r>
              <w:rPr/>
              <w:t>Table 8</w:t>
            </w:r>
          </w:p>
        </w:tc>
      </w:tr>
      <w:tr>
        <w:trPr/>
        <w:tc>
          <w:tcPr>
            <w:tcW w:w="1624" w:type="dxa"/>
            <w:tcBorders/>
            <w:vAlign w:val="center"/>
          </w:tcPr>
          <w:p>
            <w:pPr>
              <w:pStyle w:val="TableContents"/>
              <w:bidi w:val="0"/>
              <w:spacing w:before="0" w:after="140"/>
              <w:jc w:val="left"/>
              <w:rPr/>
            </w:pPr>
            <w:r>
              <w:rPr/>
              <w:t>Load test</w:t>
            </w:r>
          </w:p>
        </w:tc>
        <w:tc>
          <w:tcPr>
            <w:tcW w:w="4074" w:type="dxa"/>
            <w:tcBorders/>
            <w:vAlign w:val="center"/>
          </w:tcPr>
          <w:p>
            <w:pPr>
              <w:pStyle w:val="TableContents"/>
              <w:bidi w:val="0"/>
              <w:spacing w:before="0" w:after="140"/>
              <w:jc w:val="left"/>
              <w:rPr/>
            </w:pPr>
            <w:r>
              <w:rPr/>
              <w:t>Bursts of 20k, 50k and 100k temperature readings, then cleaned up</w:t>
            </w:r>
          </w:p>
        </w:tc>
        <w:tc>
          <w:tcPr>
            <w:tcW w:w="1993" w:type="dxa"/>
            <w:tcBorders/>
            <w:vAlign w:val="center"/>
          </w:tcPr>
          <w:p>
            <w:pPr>
              <w:pStyle w:val="TableContents"/>
              <w:bidi w:val="0"/>
              <w:spacing w:before="0" w:after="140"/>
              <w:jc w:val="left"/>
              <w:rPr/>
            </w:pPr>
            <w:r>
              <w:rPr/>
              <w:t>All stored</w:t>
            </w:r>
          </w:p>
        </w:tc>
        <w:tc>
          <w:tcPr>
            <w:tcW w:w="1825" w:type="dxa"/>
            <w:tcBorders/>
            <w:vAlign w:val="center"/>
          </w:tcPr>
          <w:p>
            <w:pPr>
              <w:pStyle w:val="TableContents"/>
              <w:bidi w:val="0"/>
              <w:spacing w:before="0" w:after="140"/>
              <w:jc w:val="left"/>
              <w:rPr/>
            </w:pPr>
            <w:r>
              <w:rPr/>
              <w:t>Failed at defaults (up to 93% loss); pass after the broker fix (Table 9)</w:t>
            </w:r>
          </w:p>
        </w:tc>
      </w:tr>
    </w:tbl>
    <w:p>
      <w:pPr>
        <w:pStyle w:val="Heading2"/>
        <w:bidi w:val="0"/>
        <w:jc w:val="left"/>
        <w:rPr/>
      </w:pPr>
      <w:r>
        <w:rPr/>
        <w:t>Appendix C: Unit Tests</w:t>
      </w:r>
    </w:p>
    <w:p>
      <w:pPr>
        <w:pStyle w:val="TextBody"/>
        <w:bidi w:val="0"/>
        <w:spacing w:before="0" w:after="140"/>
        <w:jc w:val="both"/>
        <w:rPr/>
      </w:pPr>
      <w:r>
        <w:rPr>
          <w:rStyle w:val="SourceText"/>
        </w:rPr>
        <w:t>npm test</w:t>
      </w:r>
      <w:r>
        <w:rPr/>
        <w:t xml:space="preserve"> runs five tests with Node's built-in test runner:</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parses state topics</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validates payloads per device type</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night hours use UK local time</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raises alerts for safety events</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generated dataset is deterministic and valid</w:t>
      </w:r>
    </w:p>
    <w:p>
      <w:pPr>
        <w:pStyle w:val="PreformattedText"/>
        <w:pBdr/>
        <w:shd w:fill="F1F3F5" w:val="clear"/>
        <w:bidi w:val="0"/>
        <w:spacing w:lineRule="auto" w:line="324" w:before="160" w:after="40"/>
        <w:ind w:left="160" w:right="160" w:hanging="0"/>
        <w:jc w:val="left"/>
        <w:rPr/>
      </w:pPr>
      <w:r>
        <w:rPr>
          <w:rStyle w:val="SourceText"/>
        </w:rPr>
        <w:t xml:space="preserve">ℹ </w:t>
      </w:r>
      <w:r>
        <w:rPr>
          <w:rStyle w:val="SourceText"/>
        </w:rPr>
        <w:t>tests 5   ℹ pass 5   ℹ fail 0</w:t>
      </w:r>
    </w:p>
    <w:p>
      <w:pPr>
        <w:pStyle w:val="TextBody"/>
        <w:bidi w:val="0"/>
        <w:spacing w:before="0" w:after="140"/>
        <w:jc w:val="both"/>
        <w:rPr/>
      </w:pPr>
      <w:r>
        <w:rPr/>
        <w:t>The night-hours test checks that 22:30 UTC counts as night in July (23:30 BST) but not in January (22:30 GMT). This guards against a bug that would otherwise appear twice a year when the clocks change.</w:t>
      </w:r>
    </w:p>
    <w:p>
      <w:pPr>
        <w:pStyle w:val="Heading2"/>
        <w:bidi w:val="0"/>
        <w:jc w:val="left"/>
        <w:rPr/>
      </w:pPr>
      <w:r>
        <w:rPr/>
        <w:t>Appendix D: Reproducing the Results</w:t>
      </w:r>
    </w:p>
    <w:p>
      <w:pPr>
        <w:pStyle w:val="PreformattedText"/>
        <w:pBdr/>
        <w:shd w:fill="F1F3F5" w:val="clear"/>
        <w:bidi w:val="0"/>
        <w:spacing w:lineRule="auto" w:line="324" w:before="160" w:after="40"/>
        <w:ind w:left="160" w:right="160" w:hanging="0"/>
        <w:jc w:val="left"/>
        <w:rPr/>
      </w:pPr>
      <w:r>
        <w:rPr>
          <w:rStyle w:val="SourceText"/>
        </w:rPr>
        <w:t>cd iothings</w:t>
      </w:r>
    </w:p>
    <w:p>
      <w:pPr>
        <w:pStyle w:val="PreformattedText"/>
        <w:pBdr/>
        <w:shd w:fill="F1F3F5" w:val="clear"/>
        <w:bidi w:val="0"/>
        <w:spacing w:lineRule="auto" w:line="324" w:before="160" w:after="40"/>
        <w:ind w:left="160" w:right="160" w:hanging="0"/>
        <w:jc w:val="left"/>
        <w:rPr/>
      </w:pPr>
      <w:r>
        <w:rPr>
          <w:rStyle w:val="SourceText"/>
        </w:rPr>
        <w:t>./scripts/setup.sh                                          # install and configure everything</w:t>
      </w:r>
    </w:p>
    <w:p>
      <w:pPr>
        <w:pStyle w:val="PreformattedText"/>
        <w:pBdr/>
        <w:shd w:fill="F1F3F5" w:val="clear"/>
        <w:bidi w:val="0"/>
        <w:spacing w:lineRule="auto" w:line="324" w:before="160" w:after="40"/>
        <w:ind w:left="160" w:right="160" w:hanging="0"/>
        <w:jc w:val="left"/>
        <w:rPr/>
      </w:pPr>
      <w:r>
        <w:rPr>
          <w:rStyle w:val="SourceText"/>
        </w:rPr>
        <w:t>docker compose run --rm --user "$(id -u):$(id -g)" api \</w:t>
      </w:r>
    </w:p>
    <w:p>
      <w:pPr>
        <w:pStyle w:val="PreformattedText"/>
        <w:pBdr/>
        <w:shd w:fill="F1F3F5" w:val="clear"/>
        <w:bidi w:val="0"/>
        <w:spacing w:lineRule="auto" w:line="324" w:before="160" w:after="40"/>
        <w:ind w:left="160" w:right="160" w:hanging="0"/>
        <w:jc w:val="left"/>
        <w:rPr/>
      </w:pPr>
      <w:r>
        <w:rPr>
          <w:rStyle w:val="SourceText"/>
        </w:rPr>
        <w:t xml:space="preserve">    </w:t>
      </w:r>
      <w:r>
        <w:rPr>
          <w:rStyle w:val="SourceText"/>
        </w:rPr>
        <w:t>node scripts/seed.js --reset --export                   # dataset (Appendix A)</w:t>
      </w:r>
    </w:p>
    <w:p>
      <w:pPr>
        <w:pStyle w:val="PreformattedText"/>
        <w:pBdr/>
        <w:shd w:fill="F1F3F5" w:val="clear"/>
        <w:bidi w:val="0"/>
        <w:spacing w:lineRule="auto" w:line="324" w:before="160" w:after="40"/>
        <w:ind w:left="160" w:right="160" w:hanging="0"/>
        <w:jc w:val="left"/>
        <w:rPr/>
      </w:pPr>
      <w:r>
        <w:rPr>
          <w:rStyle w:val="SourceText"/>
        </w:rPr>
        <w:t>scripts/mongosh.sh admin                                    # rs.conf(), rs.status()   (Figure 2)</w:t>
      </w:r>
    </w:p>
    <w:p>
      <w:pPr>
        <w:pStyle w:val="PreformattedText"/>
        <w:pBdr/>
        <w:shd w:fill="F1F3F5" w:val="clear"/>
        <w:bidi w:val="0"/>
        <w:spacing w:lineRule="auto" w:line="324" w:before="160" w:after="40"/>
        <w:ind w:left="160" w:right="160" w:hanging="0"/>
        <w:jc w:val="left"/>
        <w:rPr/>
      </w:pPr>
      <w:r>
        <w:rPr>
          <w:rStyle w:val="SourceText"/>
        </w:rPr>
        <w:t>scripts/mongosh.sh api mongo/demo-queries.js                # CRUD demo                (Figure 8)</w:t>
      </w:r>
    </w:p>
    <w:p>
      <w:pPr>
        <w:pStyle w:val="PreformattedText"/>
        <w:pBdr/>
        <w:shd w:fill="F1F3F5" w:val="clear"/>
        <w:bidi w:val="0"/>
        <w:spacing w:lineRule="auto" w:line="324" w:before="160" w:after="40"/>
        <w:ind w:left="160" w:right="160" w:hanging="0"/>
        <w:jc w:val="left"/>
        <w:rPr/>
      </w:pPr>
      <w:r>
        <w:rPr>
          <w:rStyle w:val="SourceText"/>
        </w:rPr>
        <w:t>scripts/mongosh.sh analyst mongo/demo-rbac.js               # RBAC test                (Figure 6)</w:t>
      </w:r>
    </w:p>
    <w:p>
      <w:pPr>
        <w:pStyle w:val="PreformattedText"/>
        <w:pBdr/>
        <w:shd w:fill="F1F3F5" w:val="clear"/>
        <w:bidi w:val="0"/>
        <w:spacing w:lineRule="auto" w:line="324" w:before="160" w:after="40"/>
        <w:ind w:left="160" w:right="160" w:hanging="0"/>
        <w:jc w:val="left"/>
        <w:rPr/>
      </w:pPr>
      <w:r>
        <w:rPr>
          <w:rStyle w:val="SourceText"/>
        </w:rPr>
        <w:t>scripts/failover-demo.sh                                    # failover                 (Figure 9)</w:t>
      </w:r>
    </w:p>
    <w:p>
      <w:pPr>
        <w:pStyle w:val="PreformattedText"/>
        <w:pBdr/>
        <w:shd w:fill="F1F3F5" w:val="clear"/>
        <w:bidi w:val="0"/>
        <w:spacing w:lineRule="auto" w:line="324" w:before="160" w:after="40"/>
        <w:ind w:left="160" w:right="160" w:hanging="0"/>
        <w:jc w:val="left"/>
        <w:rPr/>
      </w:pPr>
      <w:r>
        <w:rPr>
          <w:rStyle w:val="SourceText"/>
        </w:rPr>
        <w:t>scripts/mongosh.sh admin mongo/benchmark-granularity.js     # storage benchmark        (Table 8)</w:t>
      </w:r>
    </w:p>
    <w:p>
      <w:pPr>
        <w:pStyle w:val="PreformattedText"/>
        <w:pBdr/>
        <w:shd w:fill="F1F3F5" w:val="clear"/>
        <w:bidi w:val="0"/>
        <w:spacing w:lineRule="auto" w:line="324" w:before="160" w:after="40"/>
        <w:ind w:left="160" w:right="160" w:hanging="0"/>
        <w:jc w:val="left"/>
        <w:rPr/>
      </w:pPr>
      <w:r>
        <w:rPr>
          <w:rStyle w:val="SourceText"/>
        </w:rPr>
        <w:t>docker compose --profile sim run --rm simulator node scripts/load-test.js --messages 100000</w:t>
      </w:r>
    </w:p>
    <w:p>
      <w:pPr>
        <w:pStyle w:val="PreformattedText"/>
        <w:pBdr/>
        <w:shd w:fill="F1F3F5" w:val="clear"/>
        <w:bidi w:val="0"/>
        <w:spacing w:lineRule="auto" w:line="324" w:before="160" w:after="40"/>
        <w:ind w:left="160" w:right="160" w:hanging="0"/>
        <w:jc w:val="left"/>
        <w:rPr/>
      </w:pPr>
      <w:r>
        <w:rPr>
          <w:rStyle w:val="SourceText"/>
        </w:rPr>
        <w:t>docker compose --profile sim run --rm simulator node src/simulator.js --smoke H007</w:t>
      </w:r>
    </w:p>
    <w:p>
      <w:pPr>
        <w:pStyle w:val="PreformattedText"/>
        <w:pBdr/>
        <w:shd w:fill="F1F3F5" w:val="clear"/>
        <w:bidi w:val="0"/>
        <w:spacing w:lineRule="auto" w:line="324" w:before="160" w:after="40"/>
        <w:ind w:left="160" w:right="160" w:hanging="0"/>
        <w:jc w:val="left"/>
        <w:rPr/>
      </w:pPr>
      <w:r>
        <w:rPr>
          <w:rStyle w:val="SourceText"/>
        </w:rPr>
        <w:t>open http://localhost:4000/docs                             # API documentation        (Figure 10)</w:t>
      </w:r>
    </w:p>
    <w:sectPr>
      <w:type w:val="nextPage"/>
      <w:pgSz w:w="12240" w:h="15840"/>
      <w:pgMar w:left="1134" w:right="1134" w:gutter="0" w:header="0" w:top="1247" w:footer="0" w:bottom="1247"/>
      <w:pgNumType w:fmt="decimal"/>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auto"/>
    <w:pitch w:val="default"/>
  </w:font>
  <w:font w:name="Liberation Sans Unicode MS">
    <w:charset w:val="01"/>
    <w:family w:val="auto"/>
    <w:pitch w:val="variable"/>
  </w:font>
  <w:font w:name="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none"/>
      <w:suff w:val="nothing"/>
      <w:lvlText w:val="%1"/>
      <w:lvlJc w:val="left"/>
      <w:pPr>
        <w:tabs>
          <w:tab w:val="num" w:pos="0"/>
        </w:tabs>
        <w:ind w:left="0" w:hanging="0"/>
      </w:pPr>
    </w:lvl>
    <w:lvl w:ilvl="1">
      <w:start w:val="1"/>
      <w:pStyle w:val="Heading2"/>
      <w:numFmt w:val="none"/>
      <w:suff w:val="nothing"/>
      <w:lvlText w:val="%2"/>
      <w:lvlJc w:val="left"/>
      <w:pPr>
        <w:tabs>
          <w:tab w:val="num" w:pos="0"/>
        </w:tabs>
        <w:ind w:left="0" w:hanging="0"/>
      </w:pPr>
    </w:lvl>
    <w:lvl w:ilvl="2">
      <w:start w:val="1"/>
      <w:pStyle w:val="Heading3"/>
      <w:numFmt w:val="none"/>
      <w:suff w:val="nothing"/>
      <w:lvlText w:val="%3"/>
      <w:lvlJc w:val="left"/>
      <w:pPr>
        <w:tabs>
          <w:tab w:val="num" w:pos="0"/>
        </w:tabs>
        <w:ind w:left="0" w:hanging="0"/>
      </w:pPr>
    </w:lvl>
    <w:lvl w:ilvl="3">
      <w:start w:val="1"/>
      <w:pStyle w:val="Heading4"/>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 w:hAnsi="Calibri" w:eastAsia="Calibri" w:cs="Calibri"/>
      <w:color w:val="auto"/>
      <w:sz w:val="24"/>
      <w:szCs w:val="24"/>
      <w:lang w:val="en-US" w:eastAsia="zh-CN" w:bidi="hi-IN"/>
    </w:rPr>
  </w:style>
  <w:style w:type="paragraph" w:styleId="Heading1">
    <w:name w:val="Heading 1"/>
    <w:basedOn w:val="Heading"/>
    <w:next w:val="TextBody"/>
    <w:qFormat/>
    <w:pPr>
      <w:spacing w:lineRule="auto" w:line="288" w:before="240" w:after="160"/>
    </w:pPr>
    <w:rPr>
      <w:rFonts w:ascii="Liberation Sans Unicode MS" w:hAnsi="Liberation Sans Unicode MS"/>
      <w:b/>
      <w:bCs/>
      <w:color w:val="0D3B66"/>
      <w:sz w:val="52"/>
      <w:szCs w:val="52"/>
    </w:rPr>
  </w:style>
  <w:style w:type="paragraph" w:styleId="Heading2">
    <w:name w:val="Heading 2"/>
    <w:basedOn w:val="Heading"/>
    <w:next w:val="TextBody"/>
    <w:qFormat/>
    <w:pPr>
      <w:pBdr>
        <w:bottom w:val="single" w:sz="12" w:space="3" w:color="0D3B66"/>
      </w:pBdr>
      <w:spacing w:before="360" w:after="160"/>
      <w:ind w:left="360" w:right="360" w:hanging="0"/>
      <w:outlineLvl w:val="1"/>
    </w:pPr>
    <w:rPr>
      <w:rFonts w:ascii="Liberation Serif" w:hAnsi="Liberation Serif" w:eastAsia="Noto Serif CJK SC" w:cs="Lohit Devanagari"/>
      <w:b/>
      <w:bCs/>
      <w:color w:val="0D3B66"/>
      <w:sz w:val="32"/>
      <w:szCs w:val="32"/>
    </w:rPr>
  </w:style>
  <w:style w:type="paragraph" w:styleId="Heading3">
    <w:name w:val="Heading 3"/>
    <w:basedOn w:val="Heading"/>
    <w:next w:val="TextBody"/>
    <w:qFormat/>
    <w:pPr>
      <w:spacing w:before="280" w:after="80"/>
      <w:ind w:left="280" w:right="280" w:hanging="0"/>
      <w:outlineLvl w:val="2"/>
    </w:pPr>
    <w:rPr>
      <w:rFonts w:ascii="Liberation Serif" w:hAnsi="Liberation Serif" w:eastAsia="Noto Serif CJK SC" w:cs="Lohit Devanagari"/>
      <w:b/>
      <w:bCs/>
      <w:color w:val="144E86"/>
      <w:sz w:val="26"/>
      <w:szCs w:val="26"/>
    </w:rPr>
  </w:style>
  <w:style w:type="paragraph" w:styleId="Heading4">
    <w:name w:val="Heading 4"/>
    <w:basedOn w:val="Heading"/>
    <w:next w:val="TextBody"/>
    <w:qFormat/>
    <w:pPr>
      <w:spacing w:before="240" w:after="80"/>
      <w:ind w:left="240" w:right="240" w:hanging="0"/>
      <w:outlineLvl w:val="3"/>
    </w:pPr>
    <w:rPr>
      <w:rFonts w:ascii="Liberation Serif" w:hAnsi="Liberation Serif" w:eastAsia="Noto Serif CJK SC" w:cs="Lohit Devanagari"/>
      <w:b/>
      <w:bCs/>
      <w:color w:val="144E86"/>
      <w:sz w:val="23"/>
      <w:szCs w:val="23"/>
    </w:rPr>
  </w:style>
  <w:style w:type="character" w:styleId="EndnoteCharacters">
    <w:name w:val="Endnote Characters"/>
    <w:qFormat/>
    <w:rPr/>
  </w:style>
  <w:style w:type="character" w:styleId="FootnoteCharacters">
    <w:name w:val="Footnote Characters"/>
    <w:qFormat/>
    <w:rPr/>
  </w:style>
  <w:style w:type="character" w:styleId="InternetLink">
    <w:name w:val="Hyperlink"/>
    <w:rPr>
      <w:color w:val="000080"/>
      <w:u w:val="single"/>
    </w:rPr>
  </w:style>
  <w:style w:type="character" w:styleId="SourceText">
    <w:name w:val="Source Text"/>
    <w:qFormat/>
    <w:rPr>
      <w:rFonts w:ascii="Courier New" w:hAnsi="Courier New" w:eastAsia="Courier New" w:cs="Courier New"/>
      <w:sz w:val="18"/>
      <w:szCs w:val="18"/>
      <w:shd w:fill="F1F3F5" w:val="clear"/>
    </w:rPr>
  </w:style>
  <w:style w:type="character" w:styleId="StrongEmphasis">
    <w:name w:val="Strong Emphasis"/>
    <w:qFormat/>
    <w:rPr>
      <w:b/>
      <w:bCs/>
      <w:color w:val="0D2A4A"/>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TextBody"/>
    <w:qFormat/>
    <w:pPr>
      <w:pBdr>
        <w:bottom w:val="double" w:sz="2" w:space="0" w:color="808080"/>
      </w:pBdr>
      <w:spacing w:before="0" w:after="283"/>
    </w:pPr>
    <w:rPr>
      <w:sz w:val="12"/>
    </w:rPr>
  </w:style>
  <w:style w:type="paragraph" w:styleId="Sender">
    <w:name w:val="Envelope Return"/>
    <w:basedOn w:val="Normal"/>
    <w:pPr/>
    <w:rPr>
      <w:i/>
    </w:rPr>
  </w:style>
  <w:style w:type="paragraph" w:styleId="TableContents">
    <w:name w:val="Table Contents"/>
    <w:basedOn w:val="TextBody"/>
    <w:qFormat/>
    <w:pPr>
      <w:jc w:val="left"/>
    </w:pPr>
    <w:rPr>
      <w:rFonts w:ascii="Calibri" w:hAnsi="Calibri" w:eastAsia="Calibri" w:cs="Calibri"/>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List">
    <w:name w:val="List"/>
    <w:basedOn w:val="TextBody"/>
    <w:pPr/>
    <w:rPr>
      <w:rFonts w:cs="Lohit Devanagari"/>
    </w:rPr>
  </w:style>
  <w:style w:type="paragraph" w:styleId="TextBody">
    <w:name w:val="Body Text"/>
    <w:basedOn w:val="Normal"/>
    <w:pPr>
      <w:spacing w:before="0" w:after="140"/>
      <w:jc w:val="both"/>
    </w:pPr>
    <w:rPr>
      <w:rFonts w:ascii="Calibri" w:hAnsi="Calibri" w:eastAsia="Calibri" w:cs="Calibri"/>
    </w:rPr>
  </w:style>
  <w:style w:type="paragraph" w:styleId="Heading">
    <w:name w:val="Heading"/>
    <w:basedOn w:val="Normal"/>
    <w:next w:val="TextBody"/>
    <w:qFormat/>
    <w:pPr>
      <w:keepNext w:val="true"/>
      <w:spacing w:before="240" w:after="283"/>
    </w:pPr>
    <w:rPr>
      <w:rFonts w:ascii="Liberation Sans" w:hAnsi="Liberation Sans"/>
      <w:sz w:val="28"/>
      <w:szCs w:val="28"/>
    </w:rPr>
  </w:style>
  <w:style w:type="paragraph" w:styleId="Heading2pb">
    <w:name w:val="Heading 2.pb"/>
    <w:basedOn w:val="Heading2"/>
    <w:qFormat/>
    <w:pPr>
      <w:ind w:left="360" w:right="360" w:hanging="0"/>
      <w:outlineLvl w:val="9"/>
    </w:pPr>
    <w:rPr/>
  </w:style>
  <w:style w:type="paragraph" w:styleId="PreformattedText">
    <w:name w:val="Preformatted Text"/>
    <w:basedOn w:val="Normal"/>
    <w:qFormat/>
    <w:pPr>
      <w:pBdr>
        <w:top w:val="single" w:sz="2" w:space="1" w:color="C9CED6"/>
        <w:left w:val="single" w:sz="2" w:space="1" w:color="C9CED6"/>
        <w:bottom w:val="single" w:sz="2" w:space="1" w:color="C9CED6"/>
        <w:right w:val="single" w:sz="2" w:space="1" w:color="C9CED6"/>
      </w:pBdr>
      <w:shd w:fill="F1F3F5" w:val="clear"/>
      <w:spacing w:lineRule="auto" w:line="324" w:before="160" w:after="40"/>
      <w:ind w:left="160" w:right="160" w:hanging="0"/>
    </w:pPr>
    <w:rPr>
      <w:rFonts w:ascii="Liberation Mono" w:hAnsi="Liberation Mono" w:eastAsia="Noto Sans Mono CJK SC" w:cs="Liberation Mono"/>
      <w:color w:val="111111"/>
      <w:sz w:val="16"/>
      <w:szCs w:val="16"/>
    </w:rPr>
  </w:style>
  <w:style w:type="paragraph" w:styleId="TextBodycaption">
    <w:name w:val="Text Body.caption"/>
    <w:basedOn w:val="TextBody"/>
    <w:qFormat/>
    <w:pPr>
      <w:spacing w:before="0" w:after="200"/>
      <w:jc w:val="left"/>
    </w:pPr>
    <w:rPr>
      <w:i/>
      <w:iCs/>
      <w:color w:val="444444"/>
      <w:sz w:val="19"/>
      <w:szCs w:val="19"/>
    </w:rPr>
  </w:style>
  <w:style w:type="paragraph" w:styleId="TableHeading">
    <w:name w:val="Table Heading"/>
    <w:basedOn w:val="TableContents"/>
    <w:qFormat/>
    <w:pPr>
      <w:suppressLineNumbers/>
      <w:shd w:fill="0D3B66" w:val="clear"/>
      <w:jc w:val="left"/>
    </w:pPr>
    <w:rPr>
      <w:rFonts w:ascii="Calibri" w:hAnsi="Calibri" w:eastAsia="Calibri" w:cs="Calibri"/>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IoThings Sensors Database Report</dc:title>
</cp:coreProperties>
</file>

<file path=docProps/custom.xml><?xml version="1.0" encoding="utf-8"?>
<Properties xmlns="http://schemas.openxmlformats.org/officeDocument/2006/custom-properties" xmlns:vt="http://schemas.openxmlformats.org/officeDocument/2006/docPropsVTypes"/>
</file>