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0A2540"/>
          <w:sz w:val="36"/>
          <w:szCs w:val="36"/>
        </w:rPr>
        <w:t xml:space="preserve">INTERNAL AUDIT COMPLIANCE &amp; STATUTORY REPORTING PLATFORM</w:t>
      </w:r>
    </w:p>
    <w:p>
      <w:pPr>
        <w:spacing w:after="400" w:before="160"/>
        <w:jc w:val="center"/>
      </w:pPr>
      <w:r>
        <w:rPr>
          <w:rFonts w:ascii="Arial" w:cs="Arial" w:eastAsia="Arial" w:hAnsi="Arial"/>
          <w:i/>
          <w:iCs/>
          <w:color w:val="00558F"/>
          <w:sz w:val="22"/>
          <w:szCs w:val="22"/>
        </w:rPr>
        <w:t xml:space="preserve">Enterprise Public Financial Management (PFM), Statutory Audit Committee Oversight &amp; National Defaulters Platform</w:t>
      </w:r>
    </w:p>
    <w:p>
      <w:pPr>
        <w:spacing w:after="600"/>
        <w:jc w:val="center"/>
      </w:pPr>
      <w:r>
        <w:rPr>
          <w:rFonts w:ascii="Arial" w:cs="Arial" w:eastAsia="Arial" w:hAnsi="Arial"/>
          <w:b/>
          <w:bCs/>
          <w:color w:val="B71C1C"/>
          <w:sz w:val="22"/>
          <w:szCs w:val="22"/>
        </w:rPr>
        <w:t xml:space="preserve">CROSS-PLATFORM ARCHITECTURE SPECIFICATION &amp; COMMERCIAL PROSPECTUS</w:t>
      </w:r>
    </w:p>
    <w:tbl>
      <w:tblPr>
        <w:tblW w:type="pct" w:w="5000"/>
        <w:tblBorders>
          <w:top w:val="none"/>
          <w:left w:val="single" w:color="B71C1C" w:sz="24"/>
          <w:bottom w:val="none"/>
          <w:right w:val="none"/>
          <w:insideH w:val="single" w:color="auto" w:sz="4"/>
          <w:insideV w:val="single" w:color="auto" w:sz="4"/>
        </w:tblBorders>
      </w:tblPr>
      <w:tblGrid>
        <w:gridCol w:w="9026"/>
      </w:tblGrid>
      <w:tr>
        <w:tc>
          <w:tcPr>
            <w:shd w:fill="FFEBEE" w:val="clear"/>
            <w:tcMar>
              <w:top w:type="dxa" w:w="140"/>
              <w:left w:type="dxa" w:w="180"/>
              <w:bottom w:type="dxa" w:w="140"/>
              <w:right w:type="dxa" w:w="180"/>
            </w:tcMar>
          </w:tcPr>
          <w:p>
            <w:pPr>
              <w:spacing w:after="60"/>
            </w:pPr>
            <w:r>
              <w:rPr>
                <w:rFonts w:ascii="Arial" w:cs="Arial" w:eastAsia="Arial" w:hAnsi="Arial"/>
                <w:b/>
                <w:bCs/>
                <w:color w:val="B71C1C"/>
                <w:sz w:val="22"/>
                <w:szCs w:val="22"/>
              </w:rPr>
              <w:t xml:space="preserve">STRICT PROPRIETARY WARNING &amp; TRADE SECRET NOTICE</w:t>
            </w:r>
          </w:p>
          <w:p>
            <w:r>
              <w:rPr>
                <w:rFonts w:ascii="Arial" w:cs="Arial" w:eastAsia="Arial" w:hAnsi="Arial"/>
                <w:color w:val="444444"/>
                <w:sz w:val="19"/>
                <w:szCs w:val="19"/>
              </w:rPr>
              <w:t xml:space="preserve">This document contains confidential business trade secrets, algorithms, UI/UX designs, database models, and commercial architectures belonging exclusively to BibiniiTech Limited. Review of this document is granted strictly under the Non-Disclosure, Non-Circumvention, and Intellectual Property Reservation terms herein.</w:t>
            </w:r>
          </w:p>
        </w:tc>
      </w:tr>
    </w:tbl>
    <w:p>
      <w:pPr>
        <w:spacing w:before="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Developer &amp; IP Owner:</w:t>
            </w:r>
          </w:p>
        </w:tc>
        <w:tc>
          <w:tcPr>
            <w:tcW w:type="pct" w:w="3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BibiniiTech Limited</w:t>
            </w:r>
          </w:p>
        </w:tc>
      </w:tr>
      <w:tr>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Release Version:</w:t>
            </w:r>
          </w:p>
        </w:tc>
        <w:tc>
          <w:tcPr>
            <w:tcW w:type="pct" w:w="3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v2.4 Enterprise Production Release (2026)</w:t>
            </w:r>
          </w:p>
        </w:tc>
      </w:tr>
      <w:tr>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Platform Coverage:</w:t>
            </w:r>
          </w:p>
        </w:tc>
        <w:tc>
          <w:tcPr>
            <w:tcW w:type="pct" w:w="3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Native Android (Jetpack Compose) + Enterprise Web (Next.js 16) + Cloud Backend</w:t>
            </w:r>
          </w:p>
        </w:tc>
      </w:tr>
      <w:tr>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Target Entity Scope:</w:t>
            </w:r>
          </w:p>
        </w:tc>
        <w:tc>
          <w:tcPr>
            <w:tcW w:type="pct" w:w="3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466 Statutory Entities (147 MDAs, 42 SOEs, 16 RCCs, 261 MMDAs)</w:t>
            </w:r>
          </w:p>
        </w:tc>
      </w:tr>
      <w:tr>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Classification:</w:t>
            </w:r>
          </w:p>
        </w:tc>
        <w:tc>
          <w:tcPr>
            <w:tcW w:type="pct" w:w="3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STRICTLY CONFIDENTIAL // COMMERCIAL IN CONFIDENCE</w:t>
            </w:r>
          </w:p>
        </w:tc>
      </w:tr>
    </w:tbl>
    <w:p>
      <w:r>
        <w:br w:type="page"/>
      </w:r>
    </w:p>
    <w:p>
      <w:pPr>
        <w:pStyle w:val="Heading1"/>
        <w:spacing w:after="140" w:before="300"/>
      </w:pPr>
      <w:r>
        <w:rPr>
          <w:rFonts w:ascii="Arial" w:cs="Arial" w:eastAsia="Arial" w:hAnsi="Arial"/>
          <w:b/>
          <w:bCs/>
          <w:color w:val="0A2540"/>
          <w:sz w:val="28"/>
          <w:szCs w:val="28"/>
        </w:rPr>
        <w:t xml:space="preserve">LEGAL PROTECTION: NON-DISCLOSURE, NON-CIRCUMVENTION &amp; PROPRIETARY IP RIGHTS</w:t>
      </w:r>
    </w:p>
    <w:p>
      <w:pPr>
        <w:spacing w:after="120"/>
      </w:pPr>
      <w:r>
        <w:rPr>
          <w:rFonts w:ascii="Arial" w:cs="Arial" w:eastAsia="Arial" w:hAnsi="Arial"/>
          <w:color w:val="333333"/>
          <w:sz w:val="20"/>
          <w:szCs w:val="20"/>
        </w:rPr>
        <w:t xml:space="preserve">This agreement governs the disclosure of all technical, operational, architectural, and commercial materials related to the Internal Audit Platform ("Platform") provided by BibiniiTech Limited ("Disclosing Party") to the prospective buyer, investor, or evaluating organization ("Recipient").</w:t>
      </w:r>
    </w:p>
    <w:p>
      <w:pPr>
        <w:pStyle w:val="Heading2"/>
        <w:spacing w:after="100" w:before="240"/>
      </w:pPr>
      <w:r>
        <w:rPr>
          <w:rFonts w:ascii="Arial" w:cs="Arial" w:eastAsia="Arial" w:hAnsi="Arial"/>
          <w:b/>
          <w:bCs/>
          <w:color w:val="00558F"/>
          <w:sz w:val="24"/>
          <w:szCs w:val="24"/>
        </w:rPr>
        <w:t xml:space="preserve">Clause 1: Definition of Confidential Information &amp; Trade Secrets</w:t>
      </w:r>
    </w:p>
    <w:p>
      <w:pPr>
        <w:spacing w:after="120"/>
      </w:pPr>
      <w:r>
        <w:rPr>
          <w:rFonts w:ascii="Arial" w:cs="Arial" w:eastAsia="Arial" w:hAnsi="Arial"/>
          <w:color w:val="333333"/>
          <w:sz w:val="20"/>
          <w:szCs w:val="20"/>
        </w:rPr>
        <w:t xml:space="preserve">Confidential Information encompasses all non-public information, whether communicated orally, visually, in electronic format, or in writing. This explicitly includes source code (Kotlin Jetpack Compose, TypeScript/Next.js), database schemas (Cloud Firestore collections, document structures, index designs), the automated statutory tri-state defaulters algorithm, the 4-tier deduplicated institutional mapping, dual-routing email architecture, security sentinel anti-tamper implementations, and commercial licensing fee structures.</w:t>
      </w:r>
    </w:p>
    <w:p>
      <w:pPr>
        <w:pStyle w:val="Heading2"/>
        <w:spacing w:after="100" w:before="240"/>
      </w:pPr>
      <w:r>
        <w:rPr>
          <w:rFonts w:ascii="Arial" w:cs="Arial" w:eastAsia="Arial" w:hAnsi="Arial"/>
          <w:b/>
          <w:bCs/>
          <w:color w:val="00558F"/>
          <w:sz w:val="24"/>
          <w:szCs w:val="24"/>
        </w:rPr>
        <w:t xml:space="preserve">Clause 2: Duty of Strict Confidentiality</w:t>
      </w:r>
    </w:p>
    <w:p>
      <w:pPr>
        <w:pStyle w:val="ListParagraph"/>
        <w:numPr>
          <w:ilvl w:val="0"/>
          <w:numId w:val="1"/>
        </w:numPr>
        <w:spacing w:after="80"/>
      </w:pPr>
      <w:r>
        <w:rPr>
          <w:rFonts w:ascii="Arial" w:cs="Arial" w:eastAsia="Arial" w:hAnsi="Arial"/>
          <w:b/>
          <w:bCs/>
          <w:color w:val="222222"/>
          <w:sz w:val="20"/>
          <w:szCs w:val="20"/>
        </w:rPr>
        <w:t xml:space="preserve">A. Standard of Care:</w:t>
      </w:r>
      <w:r>
        <w:rPr>
          <w:rFonts w:ascii="Arial" w:cs="Arial" w:eastAsia="Arial" w:hAnsi="Arial"/>
          <w:color w:val="333333"/>
          <w:sz w:val="20"/>
          <w:szCs w:val="20"/>
        </w:rPr>
        <w:t xml:space="preserve"> The Recipient agrees to hold all materials in the strictest confidence, exercising at least the same degree of care as it exercises with its own most valuable proprietary assets, and in no event less than reasonable care.</w:t>
      </w:r>
    </w:p>
    <w:p>
      <w:pPr>
        <w:pStyle w:val="ListParagraph"/>
        <w:numPr>
          <w:ilvl w:val="0"/>
          <w:numId w:val="1"/>
        </w:numPr>
        <w:spacing w:after="80"/>
      </w:pPr>
      <w:r>
        <w:rPr>
          <w:rFonts w:ascii="Arial" w:cs="Arial" w:eastAsia="Arial" w:hAnsi="Arial"/>
          <w:b/>
          <w:bCs/>
          <w:color w:val="222222"/>
          <w:sz w:val="20"/>
          <w:szCs w:val="20"/>
        </w:rPr>
        <w:t xml:space="preserve">B. Need-to-Know Limitation:</w:t>
      </w:r>
      <w:r>
        <w:rPr>
          <w:rFonts w:ascii="Arial" w:cs="Arial" w:eastAsia="Arial" w:hAnsi="Arial"/>
          <w:color w:val="333333"/>
          <w:sz w:val="20"/>
          <w:szCs w:val="20"/>
        </w:rPr>
        <w:t xml:space="preserve"> Access to this document and associated repositories shall be limited strictly to directors, officers, and legal/technical advisors with a direct need-to-know, all of whom must be bound by written confidentiality obligations no less restrictive than those herein.</w:t>
      </w:r>
    </w:p>
    <w:p>
      <w:pPr>
        <w:pStyle w:val="ListParagraph"/>
        <w:numPr>
          <w:ilvl w:val="0"/>
          <w:numId w:val="1"/>
        </w:numPr>
        <w:spacing w:after="80"/>
      </w:pPr>
      <w:r>
        <w:rPr>
          <w:rFonts w:ascii="Arial" w:cs="Arial" w:eastAsia="Arial" w:hAnsi="Arial"/>
          <w:b/>
          <w:bCs/>
          <w:color w:val="222222"/>
          <w:sz w:val="20"/>
          <w:szCs w:val="20"/>
        </w:rPr>
        <w:t xml:space="preserve">C. Prohibition of Dissemination:</w:t>
      </w:r>
      <w:r>
        <w:rPr>
          <w:rFonts w:ascii="Arial" w:cs="Arial" w:eastAsia="Arial" w:hAnsi="Arial"/>
          <w:color w:val="333333"/>
          <w:sz w:val="20"/>
          <w:szCs w:val="20"/>
        </w:rPr>
        <w:t xml:space="preserve"> The Recipient shall not disclose, photocopy, duplicate, summarize, or distribute any part of this technical specification without prior written authorization from BibiniiTech Limited.</w:t>
      </w:r>
    </w:p>
    <w:p>
      <w:pPr>
        <w:pStyle w:val="Heading2"/>
        <w:spacing w:after="100" w:before="240"/>
      </w:pPr>
      <w:r>
        <w:rPr>
          <w:rFonts w:ascii="Arial" w:cs="Arial" w:eastAsia="Arial" w:hAnsi="Arial"/>
          <w:b/>
          <w:bCs/>
          <w:color w:val="00558F"/>
          <w:sz w:val="24"/>
          <w:szCs w:val="24"/>
        </w:rPr>
        <w:t xml:space="preserve">Clause 3: Strict Non-Circumvention (Anti-Stealing &amp; Direct Engagement Clause)</w:t>
      </w:r>
    </w:p>
    <w:p>
      <w:pPr>
        <w:spacing w:after="120"/>
      </w:pPr>
      <w:r>
        <w:rPr>
          <w:rFonts w:ascii="Arial" w:cs="Arial" w:eastAsia="Arial" w:hAnsi="Arial"/>
          <w:color w:val="333333"/>
          <w:sz w:val="20"/>
          <w:szCs w:val="20"/>
        </w:rPr>
        <w:t xml:space="preserve">The Recipient explicitly covenants that it shall not, directly or indirectly, circumvent, bypass, or obviate BibiniiTech Limited in any transaction, procurement, or commercial engagement. Specifically, the Recipient shall not:</w:t>
      </w:r>
    </w:p>
    <w:p>
      <w:pPr>
        <w:pStyle w:val="ListParagraph"/>
        <w:numPr>
          <w:ilvl w:val="0"/>
          <w:numId w:val="1"/>
        </w:numPr>
        <w:spacing w:after="80"/>
      </w:pPr>
      <w:r>
        <w:rPr>
          <w:rFonts w:ascii="Arial" w:cs="Arial" w:eastAsia="Arial" w:hAnsi="Arial"/>
          <w:color w:val="333333"/>
          <w:sz w:val="20"/>
          <w:szCs w:val="20"/>
        </w:rPr>
        <w:t xml:space="preserve">Directly or indirectly contact, pitch, solicit, or contract with the Internal Audit Agency (IAA), Ministry of Finance (MoF), Controller and Accountant-General’s Department (CAGD), Audit Service Ghana, Regional Coordinating Councils, or Assemblies regarding the digitized reporting, defaulters tracking, or tax calculator models disclosed herein.</w:t>
      </w:r>
    </w:p>
    <w:p>
      <w:pPr>
        <w:pStyle w:val="ListParagraph"/>
        <w:numPr>
          <w:ilvl w:val="0"/>
          <w:numId w:val="1"/>
        </w:numPr>
        <w:spacing w:after="80"/>
      </w:pPr>
      <w:r>
        <w:rPr>
          <w:rFonts w:ascii="Arial" w:cs="Arial" w:eastAsia="Arial" w:hAnsi="Arial"/>
          <w:color w:val="333333"/>
          <w:sz w:val="20"/>
          <w:szCs w:val="20"/>
        </w:rPr>
        <w:t xml:space="preserve">Utilize any concept, architecture, data structure, or compliance workflow disclosed herein to develop, commission, or assist any third party in developing a competing or derivative software application.</w:t>
      </w:r>
    </w:p>
    <w:p>
      <w:pPr>
        <w:pStyle w:val="ListParagraph"/>
        <w:numPr>
          <w:ilvl w:val="0"/>
          <w:numId w:val="1"/>
        </w:numPr>
        <w:spacing w:after="80"/>
      </w:pPr>
      <w:r>
        <w:rPr>
          <w:rFonts w:ascii="Arial" w:cs="Arial" w:eastAsia="Arial" w:hAnsi="Arial"/>
          <w:color w:val="333333"/>
          <w:sz w:val="20"/>
          <w:szCs w:val="20"/>
        </w:rPr>
        <w:t xml:space="preserve">This Non-Circumvention covenant shall remain in full force and effect for a period of five (5) consecutive years from the date of initial disclosure.</w:t>
      </w:r>
    </w:p>
    <w:p>
      <w:pPr>
        <w:pStyle w:val="Heading2"/>
        <w:spacing w:after="100" w:before="240"/>
      </w:pPr>
      <w:r>
        <w:rPr>
          <w:rFonts w:ascii="Arial" w:cs="Arial" w:eastAsia="Arial" w:hAnsi="Arial"/>
          <w:b/>
          <w:bCs/>
          <w:color w:val="00558F"/>
          <w:sz w:val="24"/>
          <w:szCs w:val="24"/>
        </w:rPr>
        <w:t xml:space="preserve">Clause 4: Full Intellectual Property Reservation &amp; Anti-Reverse Engineering</w:t>
      </w:r>
    </w:p>
    <w:p>
      <w:pPr>
        <w:spacing w:after="120"/>
      </w:pPr>
      <w:r>
        <w:rPr>
          <w:rFonts w:ascii="Arial" w:cs="Arial" w:eastAsia="Arial" w:hAnsi="Arial"/>
          <w:color w:val="333333"/>
          <w:sz w:val="20"/>
          <w:szCs w:val="20"/>
        </w:rPr>
        <w:t xml:space="preserve">All patents, copyrights, trademarks, source codes, database models, algorithms, and documentation remain the sole, absolute, and unencumbered intellectual property of BibiniiTech Limited. No license, express or implied, is granted by virtue of this disclosure. The Recipient shall not reverse-engineer, decompile, or reconstruct any binary or protocol implemented within the platform.</w:t>
      </w:r>
    </w:p>
    <w:p>
      <w:pPr>
        <w:pStyle w:val="Heading2"/>
        <w:spacing w:after="100" w:before="240"/>
      </w:pPr>
      <w:r>
        <w:rPr>
          <w:rFonts w:ascii="Arial" w:cs="Arial" w:eastAsia="Arial" w:hAnsi="Arial"/>
          <w:b/>
          <w:bCs/>
          <w:color w:val="00558F"/>
          <w:sz w:val="24"/>
          <w:szCs w:val="24"/>
        </w:rPr>
        <w:t xml:space="preserve">Clause 5: Legal Remedies, Injunction &amp; Liquidated Damages</w:t>
      </w:r>
    </w:p>
    <w:p>
      <w:pPr>
        <w:spacing w:after="120"/>
      </w:pPr>
      <w:r>
        <w:rPr>
          <w:rFonts w:ascii="Arial" w:cs="Arial" w:eastAsia="Arial" w:hAnsi="Arial"/>
          <w:color w:val="333333"/>
          <w:sz w:val="20"/>
          <w:szCs w:val="20"/>
        </w:rPr>
        <w:t xml:space="preserve">The Recipient acknowledges that any breach of this Agreement will cause immediate, irreparable, and irreparable harm to BibiniiTech Limited for which monetary damages alone would be inadequate. Consequently, BibiniiTech Limited shall be entitled to seek immediate injunctive relief, specific performance, and liquidated damages in a court of competent jurisdiction, alongside full recovery of legal costs, expert witness fees, and punitive damages.</w:t>
      </w:r>
    </w:p>
    <w:p>
      <w:r>
        <w:br w:type="page"/>
      </w:r>
    </w:p>
    <w:p>
      <w:pPr>
        <w:pStyle w:val="Heading1"/>
        <w:spacing w:after="140" w:before="300"/>
      </w:pPr>
      <w:r>
        <w:rPr>
          <w:rFonts w:ascii="Arial" w:cs="Arial" w:eastAsia="Arial" w:hAnsi="Arial"/>
          <w:b/>
          <w:bCs/>
          <w:color w:val="0A2540"/>
          <w:sz w:val="28"/>
          <w:szCs w:val="28"/>
        </w:rPr>
        <w:t xml:space="preserve">1. EXECUTIVE SUMMARY &amp; STRATEGIC VALUE PROPOSITION</w:t>
      </w:r>
    </w:p>
    <w:p>
      <w:pPr>
        <w:spacing w:after="120"/>
      </w:pPr>
      <w:r>
        <w:rPr>
          <w:rFonts w:ascii="Arial" w:cs="Arial" w:eastAsia="Arial" w:hAnsi="Arial"/>
          <w:color w:val="333333"/>
          <w:sz w:val="20"/>
          <w:szCs w:val="20"/>
        </w:rPr>
        <w:t xml:space="preserve">The Public Financial Management (PFM) landscape across emerging economies is undergoing rapid digital modernization. In Ghana, the Public Financial Management Act, 2016 (Act 921) and the Internal Audit Agency Act, 2003 (Act 658) establish stringent statutory obligations for public accountability.</w:t>
      </w:r>
    </w:p>
    <w:p>
      <w:pPr>
        <w:spacing w:after="120"/>
      </w:pPr>
      <w:r>
        <w:rPr>
          <w:rFonts w:ascii="Arial" w:cs="Arial" w:eastAsia="Arial" w:hAnsi="Arial"/>
          <w:color w:val="333333"/>
          <w:sz w:val="20"/>
          <w:szCs w:val="20"/>
        </w:rPr>
        <w:t xml:space="preserve">Every covered public entity—comprising 147 Ministries, Departments, and Agencies (MDAs), 42 State-Owned Enterprises (SOEs), 16 Regional Coordinating Councils (RCCs), and 261 Metropolitan, Municipal, and District Assemblies (MMDAs)—is mandated by law to submit timely quarterly audit reports, annual performance evaluations, implementation status statements, and audit committee reviews.</w:t>
      </w:r>
    </w:p>
    <w:p>
      <w:pPr>
        <w:pStyle w:val="Heading2"/>
        <w:spacing w:after="100" w:before="240"/>
      </w:pPr>
      <w:r>
        <w:rPr>
          <w:rFonts w:ascii="Arial" w:cs="Arial" w:eastAsia="Arial" w:hAnsi="Arial"/>
          <w:b/>
          <w:bCs/>
          <w:color w:val="00558F"/>
          <w:sz w:val="24"/>
          <w:szCs w:val="24"/>
        </w:rPr>
        <w:t xml:space="preserve">The Operational Crisis in Public Reporting</w:t>
      </w:r>
    </w:p>
    <w:p>
      <w:pPr>
        <w:pStyle w:val="ListParagraph"/>
        <w:numPr>
          <w:ilvl w:val="0"/>
          <w:numId w:val="1"/>
        </w:numPr>
        <w:spacing w:after="80"/>
      </w:pPr>
      <w:r>
        <w:rPr>
          <w:rFonts w:ascii="Arial" w:cs="Arial" w:eastAsia="Arial" w:hAnsi="Arial"/>
          <w:b/>
          <w:bCs/>
          <w:color w:val="222222"/>
          <w:sz w:val="20"/>
          <w:szCs w:val="20"/>
        </w:rPr>
        <w:t xml:space="preserve">1. Paper Bottlenecks:</w:t>
      </w:r>
      <w:r>
        <w:rPr>
          <w:rFonts w:ascii="Arial" w:cs="Arial" w:eastAsia="Arial" w:hAnsi="Arial"/>
          <w:color w:val="333333"/>
          <w:sz w:val="20"/>
          <w:szCs w:val="20"/>
        </w:rPr>
        <w:t xml:space="preserve"> Over 1,800+ mandatory statutory reports are filed annually via printed spiral documents, resulting in lost documents, physical transport bottlenecks, and severe oversight blind spots.</w:t>
      </w:r>
    </w:p>
    <w:p>
      <w:pPr>
        <w:pStyle w:val="ListParagraph"/>
        <w:numPr>
          <w:ilvl w:val="0"/>
          <w:numId w:val="1"/>
        </w:numPr>
        <w:spacing w:after="80"/>
      </w:pPr>
      <w:r>
        <w:rPr>
          <w:rFonts w:ascii="Arial" w:cs="Arial" w:eastAsia="Arial" w:hAnsi="Arial"/>
          <w:b/>
          <w:bCs/>
          <w:color w:val="222222"/>
          <w:sz w:val="20"/>
          <w:szCs w:val="20"/>
        </w:rPr>
        <w:t xml:space="preserve">2. Absence of Live Tracking:</w:t>
      </w:r>
      <w:r>
        <w:rPr>
          <w:rFonts w:ascii="Arial" w:cs="Arial" w:eastAsia="Arial" w:hAnsi="Arial"/>
          <w:color w:val="333333"/>
          <w:sz w:val="20"/>
          <w:szCs w:val="20"/>
        </w:rPr>
        <w:t xml:space="preserve"> The regulatory agency previously lacked a centralized, real-time dashboard to instantly detect which public entities had defaulted on statutory deadlines.</w:t>
      </w:r>
    </w:p>
    <w:p>
      <w:pPr>
        <w:pStyle w:val="ListParagraph"/>
        <w:numPr>
          <w:ilvl w:val="0"/>
          <w:numId w:val="1"/>
        </w:numPr>
        <w:spacing w:after="80"/>
      </w:pPr>
      <w:r>
        <w:rPr>
          <w:rFonts w:ascii="Arial" w:cs="Arial" w:eastAsia="Arial" w:hAnsi="Arial"/>
          <w:b/>
          <w:bCs/>
          <w:color w:val="222222"/>
          <w:sz w:val="20"/>
          <w:szCs w:val="20"/>
        </w:rPr>
        <w:t xml:space="preserve">3. Resource Fragmentation:</w:t>
      </w:r>
      <w:r>
        <w:rPr>
          <w:rFonts w:ascii="Arial" w:cs="Arial" w:eastAsia="Arial" w:hAnsi="Arial"/>
          <w:color w:val="333333"/>
          <w:sz w:val="20"/>
          <w:szCs w:val="20"/>
        </w:rPr>
        <w:t xml:space="preserve"> District and regional auditors lacked unified access to PFM legislations, standardized audit committee templates, tax withholding matrices, and training opportunities.</w:t>
      </w:r>
    </w:p>
    <w:p>
      <w:pPr>
        <w:pStyle w:val="Heading2"/>
        <w:spacing w:after="100" w:before="240"/>
      </w:pPr>
      <w:r>
        <w:rPr>
          <w:rFonts w:ascii="Arial" w:cs="Arial" w:eastAsia="Arial" w:hAnsi="Arial"/>
          <w:b/>
          <w:bCs/>
          <w:color w:val="00558F"/>
          <w:sz w:val="24"/>
          <w:szCs w:val="24"/>
        </w:rPr>
        <w:t xml:space="preserve">The Solution: The IAA Unified Compliance Ecosystem</w:t>
      </w:r>
    </w:p>
    <w:p>
      <w:pPr>
        <w:spacing w:after="120"/>
      </w:pPr>
      <w:r>
        <w:rPr>
          <w:rFonts w:ascii="Arial" w:cs="Arial" w:eastAsia="Arial" w:hAnsi="Arial"/>
          <w:color w:val="333333"/>
          <w:sz w:val="20"/>
          <w:szCs w:val="20"/>
        </w:rPr>
        <w:t xml:space="preserve">The IAA App is a commercial-grade, multi-platform GovTech solution. It seamlessly couples an offline-resilient Native Android Application with an enterprise Next.js 16 Web Portal, powered by a secure cloud database and automated multi-stream email routing engine.</w:t>
      </w:r>
    </w:p>
    <w:p>
      <w:r>
        <w:br w:type="page"/>
      </w:r>
    </w:p>
    <w:p>
      <w:pPr>
        <w:pStyle w:val="Heading1"/>
        <w:spacing w:after="140" w:before="300"/>
      </w:pPr>
      <w:r>
        <w:rPr>
          <w:rFonts w:ascii="Arial" w:cs="Arial" w:eastAsia="Arial" w:hAnsi="Arial"/>
          <w:b/>
          <w:bCs/>
          <w:color w:val="0A2540"/>
          <w:sz w:val="28"/>
          <w:szCs w:val="28"/>
        </w:rPr>
        <w:t xml:space="preserve">2. SYSTEM ARCHITECTURE &amp; CROSS-PLATFORM DEPLOYMENT</w:t>
      </w:r>
    </w:p>
    <w:p>
      <w:pPr>
        <w:spacing w:after="120"/>
      </w:pPr>
      <w:r>
        <w:rPr>
          <w:rFonts w:ascii="Arial" w:cs="Arial" w:eastAsia="Arial" w:hAnsi="Arial"/>
          <w:color w:val="333333"/>
          <w:sz w:val="20"/>
          <w:szCs w:val="20"/>
        </w:rPr>
        <w:t xml:space="preserve">The platform was engineered from the ground up following clean architecture, domain-driven design (DDD), and defense-in-depth security principles. Both mobile and web clients interface with a hardened cloud tier.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Architectural Tier</w:t>
            </w:r>
          </w:p>
        </w:tc>
        <w:tc>
          <w:tcPr>
            <w:tcW w:type="pct" w:w="175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Android Native Client</w:t>
            </w:r>
          </w:p>
        </w:tc>
        <w:tc>
          <w:tcPr>
            <w:tcW w:type="pct" w:w="200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Enterprise Web Portal</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Core Framework</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Kotlin 2.0+ / Jetpack Compose / M3</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Next.js 16.2 / React 19 / TypeScript</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State Architecture</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MVVM / Coroutines StateFlow</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React Server Components + Hooks</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Local Persistence</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Room SQLite DB + DataStore</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LocalStorage + In-Memory Cache</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Hardware Security</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Biometrics + Root/Emulator Sentinel</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Subresource Integrity + CSRF Defense</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Cloud Backend</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Google Cloud Firestore (Sub-second sync)</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Google Cloud Firestore (Sub-second sync)</w:t>
            </w:r>
          </w:p>
        </w:tc>
      </w:tr>
      <w:tr>
        <w:tc>
          <w:tcPr>
            <w:tcW w:type="pct" w:w="12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Transactional Relay</w:t>
            </w:r>
          </w:p>
        </w:tc>
        <w:tc>
          <w:tcPr>
            <w:tcW w:type="pct" w:w="175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Brevo REST Relay + Cloud Functions</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Brevo REST Relay + Serverless API Routes</w:t>
            </w:r>
          </w:p>
        </w:tc>
      </w:tr>
    </w:tbl>
    <w:p>
      <w:pPr>
        <w:pStyle w:val="Heading2"/>
        <w:spacing w:after="100" w:before="240"/>
      </w:pPr>
      <w:r>
        <w:rPr>
          <w:rFonts w:ascii="Arial" w:cs="Arial" w:eastAsia="Arial" w:hAnsi="Arial"/>
          <w:b/>
          <w:bCs/>
          <w:color w:val="00558F"/>
          <w:sz w:val="24"/>
          <w:szCs w:val="24"/>
        </w:rPr>
        <w:t xml:space="preserve">Lightweight Real-Time Synchronization Engine (syncToken Pattern)</w:t>
      </w:r>
    </w:p>
    <w:p>
      <w:pPr>
        <w:spacing w:after="120"/>
      </w:pPr>
      <w:r>
        <w:rPr>
          <w:rFonts w:ascii="Arial" w:cs="Arial" w:eastAsia="Arial" w:hAnsi="Arial"/>
          <w:color w:val="333333"/>
          <w:sz w:val="20"/>
          <w:szCs w:val="20"/>
        </w:rPr>
        <w:t xml:space="preserve">To achieve instant cross-platform data synchronization without incurring astronomical cloud database read costs, the platform utilizes a proprietary syncToken architecture. Administrative modifications in deadlines, training seminars, notices, or email routes immediately bump a micro-timestamp document (`config/sync_state`). Mobile and web clients maintain a lightweight persistent listener on this single document; upon detecting a token increment, clients surgically invalidate local caches and re-fetch only modified data.</w:t>
      </w:r>
    </w:p>
    <w:p>
      <w:r>
        <w:br w:type="page"/>
      </w:r>
    </w:p>
    <w:p>
      <w:pPr>
        <w:pStyle w:val="Heading1"/>
        <w:spacing w:after="140" w:before="300"/>
      </w:pPr>
      <w:r>
        <w:rPr>
          <w:rFonts w:ascii="Arial" w:cs="Arial" w:eastAsia="Arial" w:hAnsi="Arial"/>
          <w:b/>
          <w:bCs/>
          <w:color w:val="0A2540"/>
          <w:sz w:val="28"/>
          <w:szCs w:val="28"/>
        </w:rPr>
        <w:t xml:space="preserve">3. COMPREHENSIVE FUNCTIONAL SPECIFICATIONS</w:t>
      </w:r>
    </w:p>
    <w:p>
      <w:pPr>
        <w:pStyle w:val="Heading2"/>
        <w:spacing w:after="100" w:before="240"/>
      </w:pPr>
      <w:r>
        <w:rPr>
          <w:rFonts w:ascii="Arial" w:cs="Arial" w:eastAsia="Arial" w:hAnsi="Arial"/>
          <w:b/>
          <w:bCs/>
          <w:color w:val="00558F"/>
          <w:sz w:val="24"/>
          <w:szCs w:val="24"/>
        </w:rPr>
        <w:t xml:space="preserve">3.1 Submissions Portal &amp; Multi-Stream Distribution Engine</w:t>
      </w:r>
    </w:p>
    <w:p>
      <w:pPr>
        <w:spacing w:after="120"/>
      </w:pPr>
      <w:r>
        <w:rPr>
          <w:rFonts w:ascii="Arial" w:cs="Arial" w:eastAsia="Arial" w:hAnsi="Arial"/>
          <w:color w:val="333333"/>
          <w:sz w:val="20"/>
          <w:szCs w:val="20"/>
        </w:rPr>
        <w:t xml:space="preserve">The Submissions Portal is the operational core of the platform, replacing paper-based statutory report delivery with authenticated digital filing.</w:t>
      </w:r>
    </w:p>
    <w:p>
      <w:pPr>
        <w:pStyle w:val="ListParagraph"/>
        <w:numPr>
          <w:ilvl w:val="0"/>
          <w:numId w:val="1"/>
        </w:numPr>
        <w:spacing w:after="80"/>
      </w:pPr>
      <w:r>
        <w:rPr>
          <w:rFonts w:ascii="Arial" w:cs="Arial" w:eastAsia="Arial" w:hAnsi="Arial"/>
          <w:b/>
          <w:bCs/>
          <w:color w:val="222222"/>
          <w:sz w:val="20"/>
          <w:szCs w:val="20"/>
        </w:rPr>
        <w:t xml:space="preserve">A. Digital Audit Trail:</w:t>
      </w:r>
      <w:r>
        <w:rPr>
          <w:rFonts w:ascii="Arial" w:cs="Arial" w:eastAsia="Arial" w:hAnsi="Arial"/>
          <w:color w:val="333333"/>
          <w:sz w:val="20"/>
          <w:szCs w:val="20"/>
        </w:rPr>
        <w:t xml:space="preserve">Filing creates a permanent, immutable record in Cloud Firestore complete with submitting auditor UID, institution affiliation, region, report type, and UTC timestamp.</w:t>
      </w:r>
    </w:p>
    <w:p>
      <w:pPr>
        <w:pStyle w:val="ListParagraph"/>
        <w:numPr>
          <w:ilvl w:val="0"/>
          <w:numId w:val="1"/>
        </w:numPr>
        <w:spacing w:after="80"/>
      </w:pPr>
      <w:r>
        <w:rPr>
          <w:rFonts w:ascii="Arial" w:cs="Arial" w:eastAsia="Arial" w:hAnsi="Arial"/>
          <w:b/>
          <w:bCs/>
          <w:color w:val="222222"/>
          <w:sz w:val="20"/>
          <w:szCs w:val="20"/>
        </w:rPr>
        <w:t xml:space="preserve">B. Dual Delivery Engine:</w:t>
      </w:r>
      <w:r>
        <w:rPr>
          <w:rFonts w:ascii="Arial" w:cs="Arial" w:eastAsia="Arial" w:hAnsi="Arial"/>
          <w:color w:val="333333"/>
          <w:sz w:val="20"/>
          <w:szCs w:val="20"/>
        </w:rPr>
        <w:t xml:space="preserve">The system automatically attaches the uploaded audit files and dispatches transactional emails via Brevo relay to the central IAA desk, regional coordinating council (RCC) oversight desk, and institutional stakeholders simultaneously.</w:t>
      </w:r>
    </w:p>
    <w:p>
      <w:pPr>
        <w:pStyle w:val="ListParagraph"/>
        <w:numPr>
          <w:ilvl w:val="0"/>
          <w:numId w:val="1"/>
        </w:numPr>
        <w:spacing w:after="80"/>
      </w:pPr>
      <w:r>
        <w:rPr>
          <w:rFonts w:ascii="Arial" w:cs="Arial" w:eastAsia="Arial" w:hAnsi="Arial"/>
          <w:b/>
          <w:bCs/>
          <w:color w:val="222222"/>
          <w:sz w:val="20"/>
          <w:szCs w:val="20"/>
        </w:rPr>
        <w:t xml:space="preserve">C. 6 Statutory Streams:</w:t>
      </w:r>
      <w:r>
        <w:rPr>
          <w:rFonts w:ascii="Arial" w:cs="Arial" w:eastAsia="Arial" w:hAnsi="Arial"/>
          <w:color w:val="333333"/>
          <w:sz w:val="20"/>
          <w:szCs w:val="20"/>
        </w:rPr>
        <w:t xml:space="preserve">Quarterly IA Reports (Q1, Q2, Q3, Q4), Annual Workplans, Strategic Plans, Annual IA Performance Reports, Commitment Control Compliance (CCC) Reviews, Status of Implementation (SOI), and Special Audit Reports.</w:t>
      </w:r>
    </w:p>
    <w:p>
      <w:pPr>
        <w:pStyle w:val="ListParagraph"/>
        <w:numPr>
          <w:ilvl w:val="0"/>
          <w:numId w:val="1"/>
        </w:numPr>
        <w:spacing w:after="80"/>
      </w:pPr>
      <w:r>
        <w:rPr>
          <w:rFonts w:ascii="Arial" w:cs="Arial" w:eastAsia="Arial" w:hAnsi="Arial"/>
          <w:b/>
          <w:bCs/>
          <w:color w:val="222222"/>
          <w:sz w:val="20"/>
          <w:szCs w:val="20"/>
        </w:rPr>
        <w:t xml:space="preserve">D. Strict Payload Enforcement:</w:t>
      </w:r>
      <w:r>
        <w:rPr>
          <w:rFonts w:ascii="Arial" w:cs="Arial" w:eastAsia="Arial" w:hAnsi="Arial"/>
          <w:color w:val="333333"/>
          <w:sz w:val="20"/>
          <w:szCs w:val="20"/>
        </w:rPr>
        <w:t xml:space="preserve">Strict client-side payload gatekeepers enforce a maximum of 5 files per filing and a 25MB total aggregated limit to guarantee transmission reliability over field networks.</w:t>
      </w:r>
    </w:p>
    <w:p>
      <w:pPr>
        <w:pStyle w:val="ListParagraph"/>
        <w:numPr>
          <w:ilvl w:val="0"/>
          <w:numId w:val="1"/>
        </w:numPr>
        <w:spacing w:after="80"/>
      </w:pPr>
      <w:r>
        <w:rPr>
          <w:rFonts w:ascii="Arial" w:cs="Arial" w:eastAsia="Arial" w:hAnsi="Arial"/>
          <w:b/>
          <w:bCs/>
          <w:color w:val="222222"/>
          <w:sz w:val="20"/>
          <w:szCs w:val="20"/>
        </w:rPr>
        <w:t xml:space="preserve">E. Zero-Loss Draft Engine:</w:t>
      </w:r>
      <w:r>
        <w:rPr>
          <w:rFonts w:ascii="Arial" w:cs="Arial" w:eastAsia="Arial" w:hAnsi="Arial"/>
          <w:color w:val="333333"/>
          <w:sz w:val="20"/>
          <w:szCs w:val="20"/>
        </w:rPr>
        <w:t xml:space="preserve">Users can begin drafting a submission offline or leave the form; drafts are automatically saved in local SQLite/LocalStorage and restored upon return.</w:t>
      </w:r>
    </w:p>
    <w:p>
      <w:pPr>
        <w:pStyle w:val="Heading2"/>
        <w:spacing w:after="100" w:before="240"/>
      </w:pPr>
      <w:r>
        <w:rPr>
          <w:rFonts w:ascii="Arial" w:cs="Arial" w:eastAsia="Arial" w:hAnsi="Arial"/>
          <w:b/>
          <w:bCs/>
          <w:color w:val="00558F"/>
          <w:sz w:val="24"/>
          <w:szCs w:val="24"/>
        </w:rPr>
        <w:t xml:space="preserve">3.2 Automated National Defaulters’ List &amp; Compliance Registry</w:t>
      </w:r>
    </w:p>
    <w:p>
      <w:pPr>
        <w:spacing w:after="120"/>
      </w:pPr>
      <w:r>
        <w:rPr>
          <w:rFonts w:ascii="Arial" w:cs="Arial" w:eastAsia="Arial" w:hAnsi="Arial"/>
          <w:color w:val="333333"/>
          <w:sz w:val="20"/>
          <w:szCs w:val="20"/>
        </w:rPr>
        <w:t xml:space="preserve">A national oversight mechanism that automatically audits reporting compliance across 466 statutory institutions.</w:t>
      </w:r>
    </w:p>
    <w:p>
      <w:pPr>
        <w:pStyle w:val="ListParagraph"/>
        <w:numPr>
          <w:ilvl w:val="0"/>
          <w:numId w:val="1"/>
        </w:numPr>
        <w:spacing w:after="80"/>
      </w:pPr>
      <w:r>
        <w:rPr>
          <w:rFonts w:ascii="Arial" w:cs="Arial" w:eastAsia="Arial" w:hAnsi="Arial"/>
          <w:b/>
          <w:bCs/>
          <w:color w:val="222222"/>
          <w:sz w:val="20"/>
          <w:szCs w:val="20"/>
        </w:rPr>
        <w:t xml:space="preserve">A. Dynamic Date-Elapse Gating:</w:t>
      </w:r>
      <w:r>
        <w:rPr>
          <w:rFonts w:ascii="Arial" w:cs="Arial" w:eastAsia="Arial" w:hAnsi="Arial"/>
          <w:color w:val="333333"/>
          <w:sz w:val="20"/>
          <w:szCs w:val="20"/>
        </w:rPr>
        <w:t xml:space="preserve">Reports whose statutory deadlines fall in the future display "Not Due Yet" with the scheduled deadline date. Defaulters and late lists remain hidden until the date elapses, preventing false public naming of compliant entities.</w:t>
      </w:r>
    </w:p>
    <w:p>
      <w:pPr>
        <w:pStyle w:val="ListParagraph"/>
        <w:numPr>
          <w:ilvl w:val="0"/>
          <w:numId w:val="1"/>
        </w:numPr>
        <w:spacing w:after="80"/>
      </w:pPr>
      <w:r>
        <w:rPr>
          <w:rFonts w:ascii="Arial" w:cs="Arial" w:eastAsia="Arial" w:hAnsi="Arial"/>
          <w:b/>
          <w:bCs/>
          <w:color w:val="222222"/>
          <w:sz w:val="20"/>
          <w:szCs w:val="20"/>
        </w:rPr>
        <w:t xml:space="preserve">B. Tri-State Compliance Classification:</w:t>
      </w:r>
      <w:r>
        <w:rPr>
          <w:rFonts w:ascii="Arial" w:cs="Arial" w:eastAsia="Arial" w:hAnsi="Arial"/>
          <w:color w:val="333333"/>
          <w:sz w:val="20"/>
          <w:szCs w:val="20"/>
        </w:rPr>
        <w:t xml:space="preserve">Cleanly segregates institutions into Defaulters (unsubmitted past deadline), Late Submissions (submitted past deadline with exact days overdue), and On-Time Submissions.</w:t>
      </w:r>
    </w:p>
    <w:p>
      <w:pPr>
        <w:pStyle w:val="ListParagraph"/>
        <w:numPr>
          <w:ilvl w:val="0"/>
          <w:numId w:val="1"/>
        </w:numPr>
        <w:spacing w:after="80"/>
      </w:pPr>
      <w:r>
        <w:rPr>
          <w:rFonts w:ascii="Arial" w:cs="Arial" w:eastAsia="Arial" w:hAnsi="Arial"/>
          <w:b/>
          <w:bCs/>
          <w:color w:val="222222"/>
          <w:sz w:val="20"/>
          <w:szCs w:val="20"/>
        </w:rPr>
        <w:t xml:space="preserve">C. 4-Tier Public Entity Mapping:</w:t>
      </w:r>
      <w:r>
        <w:rPr>
          <w:rFonts w:ascii="Arial" w:cs="Arial" w:eastAsia="Arial" w:hAnsi="Arial"/>
          <w:color w:val="333333"/>
          <w:sz w:val="20"/>
          <w:szCs w:val="20"/>
        </w:rPr>
        <w:t xml:space="preserve">Separates public institutions into 4 non-overlapping, deduplicated categories: MDAs (147), SOEs (42), RCCs (16), and MMDAs (261).</w:t>
      </w:r>
    </w:p>
    <w:p>
      <w:pPr>
        <w:pStyle w:val="ListParagraph"/>
        <w:numPr>
          <w:ilvl w:val="0"/>
          <w:numId w:val="1"/>
        </w:numPr>
        <w:spacing w:after="80"/>
      </w:pPr>
      <w:r>
        <w:rPr>
          <w:rFonts w:ascii="Arial" w:cs="Arial" w:eastAsia="Arial" w:hAnsi="Arial"/>
          <w:b/>
          <w:bCs/>
          <w:color w:val="222222"/>
          <w:sz w:val="20"/>
          <w:szCs w:val="20"/>
        </w:rPr>
        <w:t xml:space="preserve">D. Multidimensional Filtering:</w:t>
      </w:r>
      <w:r>
        <w:rPr>
          <w:rFonts w:ascii="Arial" w:cs="Arial" w:eastAsia="Arial" w:hAnsi="Arial"/>
          <w:color w:val="333333"/>
          <w:sz w:val="20"/>
          <w:szCs w:val="20"/>
        </w:rPr>
        <w:t xml:space="preserve">Instant real-time search by institution name, filter by entity type, and drill down by 16 administrative regions.</w:t>
      </w:r>
    </w:p>
    <w:p>
      <w:pPr>
        <w:pStyle w:val="Heading2"/>
        <w:spacing w:after="100" w:before="240"/>
      </w:pPr>
      <w:r>
        <w:rPr>
          <w:rFonts w:ascii="Arial" w:cs="Arial" w:eastAsia="Arial" w:hAnsi="Arial"/>
          <w:b/>
          <w:bCs/>
          <w:color w:val="00558F"/>
          <w:sz w:val="24"/>
          <w:szCs w:val="24"/>
        </w:rPr>
        <w:t xml:space="preserve">3.3 Dynamic Home Dashboard &amp; Contextual Smart Compliance Badges</w:t>
      </w:r>
    </w:p>
    <w:p>
      <w:pPr>
        <w:pStyle w:val="ListParagraph"/>
        <w:numPr>
          <w:ilvl w:val="0"/>
          <w:numId w:val="1"/>
        </w:numPr>
        <w:spacing w:after="80"/>
      </w:pPr>
      <w:r>
        <w:rPr>
          <w:rFonts w:ascii="Arial" w:cs="Arial" w:eastAsia="Arial" w:hAnsi="Arial"/>
          <w:b/>
          <w:bCs/>
          <w:color w:val="222222"/>
          <w:sz w:val="20"/>
          <w:szCs w:val="20"/>
        </w:rPr>
        <w:t xml:space="preserve">A. Hybrid Contextual Badge:</w:t>
      </w:r>
      <w:r>
        <w:rPr>
          <w:rFonts w:ascii="Arial" w:cs="Arial" w:eastAsia="Arial" w:hAnsi="Arial"/>
          <w:color w:val="333333"/>
          <w:sz w:val="20"/>
          <w:szCs w:val="20"/>
        </w:rPr>
        <w:t xml:space="preserve">For practicing auditors, the Home screen inspects their institution’s submission record against active 30-day deadlines. If all upcoming reports are filed, it displays "00" with a green "All Caught Up" badge; otherwise, it displays the pending count with an amber "Due Soon" badge.</w:t>
      </w:r>
    </w:p>
    <w:p>
      <w:pPr>
        <w:pStyle w:val="ListParagraph"/>
        <w:numPr>
          <w:ilvl w:val="0"/>
          <w:numId w:val="1"/>
        </w:numPr>
        <w:spacing w:after="80"/>
      </w:pPr>
      <w:r>
        <w:rPr>
          <w:rFonts w:ascii="Arial" w:cs="Arial" w:eastAsia="Arial" w:hAnsi="Arial"/>
          <w:b/>
          <w:bCs/>
          <w:color w:val="222222"/>
          <w:sz w:val="20"/>
          <w:szCs w:val="20"/>
        </w:rPr>
        <w:t xml:space="preserve">B. Executive Overview Mode:</w:t>
      </w:r>
      <w:r>
        <w:rPr>
          <w:rFonts w:ascii="Arial" w:cs="Arial" w:eastAsia="Arial" w:hAnsi="Arial"/>
          <w:color w:val="333333"/>
          <w:sz w:val="20"/>
          <w:szCs w:val="20"/>
        </w:rPr>
        <w:t xml:space="preserve">For administrators and guests, the badge dynamically shifts to display total system-wide "Upcoming Deadlines" falling due in the next 30 days.</w:t>
      </w:r>
    </w:p>
    <w:p>
      <w:pPr>
        <w:pStyle w:val="ListParagraph"/>
        <w:numPr>
          <w:ilvl w:val="0"/>
          <w:numId w:val="1"/>
        </w:numPr>
        <w:spacing w:after="80"/>
      </w:pPr>
      <w:r>
        <w:rPr>
          <w:rFonts w:ascii="Arial" w:cs="Arial" w:eastAsia="Arial" w:hAnsi="Arial"/>
          <w:b/>
          <w:bCs/>
          <w:color w:val="222222"/>
          <w:sz w:val="20"/>
          <w:szCs w:val="20"/>
        </w:rPr>
        <w:t xml:space="preserve">C. Upcoming Seminars Counter:</w:t>
      </w:r>
      <w:r>
        <w:rPr>
          <w:rFonts w:ascii="Arial" w:cs="Arial" w:eastAsia="Arial" w:hAnsi="Arial"/>
          <w:color w:val="333333"/>
          <w:sz w:val="20"/>
          <w:szCs w:val="20"/>
        </w:rPr>
        <w:t xml:space="preserve">Tracks upcoming continuous professional development (CPD) training sessions within the next 30-day window.</w:t>
      </w:r>
    </w:p>
    <w:p>
      <w:pPr>
        <w:pStyle w:val="ListParagraph"/>
        <w:numPr>
          <w:ilvl w:val="0"/>
          <w:numId w:val="1"/>
        </w:numPr>
        <w:spacing w:after="80"/>
      </w:pPr>
      <w:r>
        <w:rPr>
          <w:rFonts w:ascii="Arial" w:cs="Arial" w:eastAsia="Arial" w:hAnsi="Arial"/>
          <w:b/>
          <w:bCs/>
          <w:color w:val="222222"/>
          <w:sz w:val="20"/>
          <w:szCs w:val="20"/>
        </w:rPr>
        <w:t xml:space="preserve">D. Deep-Linked Quick Access:</w:t>
      </w:r>
      <w:r>
        <w:rPr>
          <w:rFonts w:ascii="Arial" w:cs="Arial" w:eastAsia="Arial" w:hAnsi="Arial"/>
          <w:color w:val="333333"/>
          <w:sz w:val="20"/>
          <w:szCs w:val="20"/>
        </w:rPr>
        <w:t xml:space="preserve">Direct, one-click shortcuts that open pre-filled quarterly forms, CCC forms, or expand specific legislative libraries.</w:t>
      </w:r>
    </w:p>
    <w:p>
      <w:pPr>
        <w:pStyle w:val="Heading2"/>
        <w:spacing w:after="100" w:before="240"/>
      </w:pPr>
      <w:r>
        <w:rPr>
          <w:rFonts w:ascii="Arial" w:cs="Arial" w:eastAsia="Arial" w:hAnsi="Arial"/>
          <w:b/>
          <w:bCs/>
          <w:color w:val="00558F"/>
          <w:sz w:val="24"/>
          <w:szCs w:val="24"/>
        </w:rPr>
        <w:t xml:space="preserve">3.4 National PFM Compliance League Table</w:t>
      </w:r>
    </w:p>
    <w:p>
      <w:pPr>
        <w:spacing w:after="120"/>
      </w:pPr>
      <w:r>
        <w:rPr>
          <w:rFonts w:ascii="Arial" w:cs="Arial" w:eastAsia="Arial" w:hAnsi="Arial"/>
          <w:color w:val="333333"/>
          <w:sz w:val="20"/>
          <w:szCs w:val="20"/>
        </w:rPr>
        <w:t xml:space="preserve">A national benchmarking initiative fulfilling the Ministry of Finance Budget Statement mandate. The League Table evaluates and ranks MDAs, SOEs, and MMDAs on objective compliance metrics under PFM Act 921, promoting fiscal discipline and public accountability.</w:t>
      </w:r>
    </w:p>
    <w:p>
      <w:pPr>
        <w:pStyle w:val="Heading2"/>
        <w:spacing w:after="100" w:before="240"/>
      </w:pPr>
      <w:r>
        <w:rPr>
          <w:rFonts w:ascii="Arial" w:cs="Arial" w:eastAsia="Arial" w:hAnsi="Arial"/>
          <w:b/>
          <w:bCs/>
          <w:color w:val="00558F"/>
          <w:sz w:val="24"/>
          <w:szCs w:val="24"/>
        </w:rPr>
        <w:t xml:space="preserve">3.5 Interactive PFM Tax Calculators</w:t>
      </w:r>
    </w:p>
    <w:p>
      <w:pPr>
        <w:spacing w:after="120"/>
      </w:pPr>
      <w:r>
        <w:rPr>
          <w:rFonts w:ascii="Arial" w:cs="Arial" w:eastAsia="Arial" w:hAnsi="Arial"/>
          <w:color w:val="333333"/>
          <w:sz w:val="20"/>
          <w:szCs w:val="20"/>
        </w:rPr>
        <w:t xml:space="preserve">Embedded financial calculation engines complying with Ghana Revenue Authority (GRA) standards:</w:t>
      </w:r>
    </w:p>
    <w:p>
      <w:pPr>
        <w:pStyle w:val="ListParagraph"/>
        <w:numPr>
          <w:ilvl w:val="0"/>
          <w:numId w:val="1"/>
        </w:numPr>
        <w:spacing w:after="80"/>
      </w:pPr>
      <w:r>
        <w:rPr>
          <w:rFonts w:ascii="Arial" w:cs="Arial" w:eastAsia="Arial" w:hAnsi="Arial"/>
          <w:b/>
          <w:bCs/>
          <w:color w:val="222222"/>
          <w:sz w:val="20"/>
          <w:szCs w:val="20"/>
        </w:rPr>
        <w:t xml:space="preserve">1. GRA Graduated PAYE Calculator:</w:t>
      </w:r>
      <w:r>
        <w:rPr>
          <w:rFonts w:ascii="Arial" w:cs="Arial" w:eastAsia="Arial" w:hAnsi="Arial"/>
          <w:color w:val="333333"/>
          <w:sz w:val="20"/>
          <w:szCs w:val="20"/>
        </w:rPr>
        <w:t xml:space="preserve">Computes graduated monthly tax brackets, automatic SSNIT 5.5% Tier 1 deduction, taxable gross, and take-home net pay.</w:t>
      </w:r>
    </w:p>
    <w:p>
      <w:pPr>
        <w:pStyle w:val="ListParagraph"/>
        <w:numPr>
          <w:ilvl w:val="0"/>
          <w:numId w:val="1"/>
        </w:numPr>
        <w:spacing w:after="80"/>
      </w:pPr>
      <w:r>
        <w:rPr>
          <w:rFonts w:ascii="Arial" w:cs="Arial" w:eastAsia="Arial" w:hAnsi="Arial"/>
          <w:b/>
          <w:bCs/>
          <w:color w:val="222222"/>
          <w:sz w:val="20"/>
          <w:szCs w:val="20"/>
        </w:rPr>
        <w:t xml:space="preserve">2. Statutory Withholding Tax (WHT):</w:t>
      </w:r>
      <w:r>
        <w:rPr>
          <w:rFonts w:ascii="Arial" w:cs="Arial" w:eastAsia="Arial" w:hAnsi="Arial"/>
          <w:color w:val="333333"/>
          <w:sz w:val="20"/>
          <w:szCs w:val="20"/>
        </w:rPr>
        <w:t xml:space="preserve">Calculates withholding deductions across Goods (3%), Services/Consultancy (5% - 10%), Rent (8% / 15%), and Works (5%).</w:t>
      </w:r>
    </w:p>
    <w:p>
      <w:pPr>
        <w:pStyle w:val="ListParagraph"/>
        <w:numPr>
          <w:ilvl w:val="0"/>
          <w:numId w:val="1"/>
        </w:numPr>
        <w:spacing w:after="80"/>
      </w:pPr>
      <w:r>
        <w:rPr>
          <w:rFonts w:ascii="Arial" w:cs="Arial" w:eastAsia="Arial" w:hAnsi="Arial"/>
          <w:b/>
          <w:bCs/>
          <w:color w:val="222222"/>
          <w:sz w:val="20"/>
          <w:szCs w:val="20"/>
        </w:rPr>
        <w:t xml:space="preserve">3. Comprehensive VAT &amp; Levies:</w:t>
      </w:r>
      <w:r>
        <w:rPr>
          <w:rFonts w:ascii="Arial" w:cs="Arial" w:eastAsia="Arial" w:hAnsi="Arial"/>
          <w:color w:val="333333"/>
          <w:sz w:val="20"/>
          <w:szCs w:val="20"/>
        </w:rPr>
        <w:t xml:space="preserve">Calculates standard VAT (15%), NHIL (2.5%), GETFund (2.5%), and COVID-19 Health Recovery Levy (1%) compounded gross totals.</w:t>
      </w:r>
    </w:p>
    <w:p>
      <w:pPr>
        <w:pStyle w:val="Heading2"/>
        <w:spacing w:after="100" w:before="240"/>
      </w:pPr>
      <w:r>
        <w:rPr>
          <w:rFonts w:ascii="Arial" w:cs="Arial" w:eastAsia="Arial" w:hAnsi="Arial"/>
          <w:b/>
          <w:bCs/>
          <w:color w:val="00558F"/>
          <w:sz w:val="24"/>
          <w:szCs w:val="24"/>
        </w:rPr>
        <w:t xml:space="preserve">3.6 Professional Trainings, Knowledge Base &amp; Voting</w:t>
      </w:r>
    </w:p>
    <w:p>
      <w:pPr>
        <w:pStyle w:val="ListParagraph"/>
        <w:numPr>
          <w:ilvl w:val="0"/>
          <w:numId w:val="1"/>
        </w:numPr>
        <w:spacing w:after="80"/>
      </w:pPr>
      <w:r>
        <w:rPr>
          <w:rFonts w:ascii="Arial" w:cs="Arial" w:eastAsia="Arial" w:hAnsi="Arial"/>
          <w:b/>
          <w:bCs/>
          <w:color w:val="222222"/>
          <w:sz w:val="20"/>
          <w:szCs w:val="20"/>
        </w:rPr>
        <w:t xml:space="preserve">Training &amp; Seminar Engine:</w:t>
      </w:r>
      <w:r>
        <w:rPr>
          <w:rFonts w:ascii="Arial" w:cs="Arial" w:eastAsia="Arial" w:hAnsi="Arial"/>
          <w:color w:val="333333"/>
          <w:sz w:val="20"/>
          <w:szCs w:val="20"/>
        </w:rPr>
        <w:t xml:space="preserve">Interactive booking hub for seminars with session times, venues/Zoom credentials, fees, and syllabus documents.</w:t>
      </w:r>
    </w:p>
    <w:p>
      <w:pPr>
        <w:pStyle w:val="ListParagraph"/>
        <w:numPr>
          <w:ilvl w:val="0"/>
          <w:numId w:val="1"/>
        </w:numPr>
        <w:spacing w:after="80"/>
      </w:pPr>
      <w:r>
        <w:rPr>
          <w:rFonts w:ascii="Arial" w:cs="Arial" w:eastAsia="Arial" w:hAnsi="Arial"/>
          <w:b/>
          <w:bCs/>
          <w:color w:val="222222"/>
          <w:sz w:val="20"/>
          <w:szCs w:val="20"/>
        </w:rPr>
        <w:t xml:space="preserve">Audit Findings &amp; Criteria:</w:t>
      </w:r>
      <w:r>
        <w:rPr>
          <w:rFonts w:ascii="Arial" w:cs="Arial" w:eastAsia="Arial" w:hAnsi="Arial"/>
          <w:color w:val="333333"/>
          <w:sz w:val="20"/>
          <w:szCs w:val="20"/>
        </w:rPr>
        <w:t xml:space="preserve">5-element matrix (Criteria, Condition, Cause, Consequence, Recommendation) providing standardized audit guidance.</w:t>
      </w:r>
    </w:p>
    <w:p>
      <w:pPr>
        <w:pStyle w:val="ListParagraph"/>
        <w:numPr>
          <w:ilvl w:val="0"/>
          <w:numId w:val="1"/>
        </w:numPr>
        <w:spacing w:after="80"/>
      </w:pPr>
      <w:r>
        <w:rPr>
          <w:rFonts w:ascii="Arial" w:cs="Arial" w:eastAsia="Arial" w:hAnsi="Arial"/>
          <w:b/>
          <w:bCs/>
          <w:color w:val="222222"/>
          <w:sz w:val="20"/>
          <w:szCs w:val="20"/>
        </w:rPr>
        <w:t xml:space="preserve">Secure Stakeholder Voting:</w:t>
      </w:r>
      <w:r>
        <w:rPr>
          <w:rFonts w:ascii="Arial" w:cs="Arial" w:eastAsia="Arial" w:hAnsi="Arial"/>
          <w:color w:val="333333"/>
          <w:sz w:val="20"/>
          <w:szCs w:val="20"/>
        </w:rPr>
        <w:t xml:space="preserve">Authenticated, one-account-one-vote election engine for institutional AGMs and governance ballots.</w:t>
      </w:r>
    </w:p>
    <w:p>
      <w:r>
        <w:br w:type="page"/>
      </w:r>
    </w:p>
    <w:p>
      <w:pPr>
        <w:pStyle w:val="Heading1"/>
        <w:spacing w:after="140" w:before="300"/>
      </w:pPr>
      <w:r>
        <w:rPr>
          <w:rFonts w:ascii="Arial" w:cs="Arial" w:eastAsia="Arial" w:hAnsi="Arial"/>
          <w:b/>
          <w:bCs/>
          <w:color w:val="0A2540"/>
          <w:sz w:val="28"/>
          <w:szCs w:val="28"/>
        </w:rPr>
        <w:t xml:space="preserve">4. ENTERPRISE SECURITY &amp; ANTI-TAMPER ARCHITECTURE</w:t>
      </w:r>
    </w:p>
    <w:p>
      <w:pPr>
        <w:spacing w:after="120"/>
      </w:pPr>
      <w:r>
        <w:rPr>
          <w:rFonts w:ascii="Arial" w:cs="Arial" w:eastAsia="Arial" w:hAnsi="Arial"/>
          <w:color w:val="333333"/>
          <w:sz w:val="20"/>
          <w:szCs w:val="20"/>
        </w:rPr>
        <w:t xml:space="preserve">Public financial infrastructure requires impenetrable security. The IAA Platform implements a multi-layered defense architecture:</w:t>
      </w:r>
    </w:p>
    <w:p>
      <w:pPr>
        <w:pStyle w:val="ListParagraph"/>
        <w:numPr>
          <w:ilvl w:val="0"/>
          <w:numId w:val="1"/>
        </w:numPr>
        <w:spacing w:after="80"/>
      </w:pPr>
      <w:r>
        <w:rPr>
          <w:rFonts w:ascii="Arial" w:cs="Arial" w:eastAsia="Arial" w:hAnsi="Arial"/>
          <w:b/>
          <w:bCs/>
          <w:color w:val="222222"/>
          <w:sz w:val="20"/>
          <w:szCs w:val="20"/>
        </w:rPr>
        <w:t xml:space="preserve">1. Anti-Root Sentinel:</w:t>
      </w:r>
      <w:r>
        <w:rPr>
          <w:rFonts w:ascii="Arial" w:cs="Arial" w:eastAsia="Arial" w:hAnsi="Arial"/>
          <w:color w:val="333333"/>
          <w:sz w:val="20"/>
          <w:szCs w:val="20"/>
        </w:rPr>
        <w:t xml:space="preserve">Scans system partitions for su binaries, test-keys, Magisk root modules, and dangerous system privileges on Android launch.</w:t>
      </w:r>
    </w:p>
    <w:p>
      <w:pPr>
        <w:pStyle w:val="ListParagraph"/>
        <w:numPr>
          <w:ilvl w:val="0"/>
          <w:numId w:val="1"/>
        </w:numPr>
        <w:spacing w:after="80"/>
      </w:pPr>
      <w:r>
        <w:rPr>
          <w:rFonts w:ascii="Arial" w:cs="Arial" w:eastAsia="Arial" w:hAnsi="Arial"/>
          <w:b/>
          <w:bCs/>
          <w:color w:val="222222"/>
          <w:sz w:val="20"/>
          <w:szCs w:val="20"/>
        </w:rPr>
        <w:t xml:space="preserve">2. Debugger Attachment Blocker:</w:t>
      </w:r>
      <w:r>
        <w:rPr>
          <w:rFonts w:ascii="Arial" w:cs="Arial" w:eastAsia="Arial" w:hAnsi="Arial"/>
          <w:color w:val="333333"/>
          <w:sz w:val="20"/>
          <w:szCs w:val="20"/>
        </w:rPr>
        <w:t xml:space="preserve">Blocks Java debuggers, dynamic analysis ptrace attachments, and reverse-engineering inspection tools.</w:t>
      </w:r>
    </w:p>
    <w:p>
      <w:pPr>
        <w:pStyle w:val="ListParagraph"/>
        <w:numPr>
          <w:ilvl w:val="0"/>
          <w:numId w:val="1"/>
        </w:numPr>
        <w:spacing w:after="80"/>
      </w:pPr>
      <w:r>
        <w:rPr>
          <w:rFonts w:ascii="Arial" w:cs="Arial" w:eastAsia="Arial" w:hAnsi="Arial"/>
          <w:b/>
          <w:bCs/>
          <w:color w:val="222222"/>
          <w:sz w:val="20"/>
          <w:szCs w:val="20"/>
        </w:rPr>
        <w:t xml:space="preserve">3. Emulator Sandboxing Guard:</w:t>
      </w:r>
      <w:r>
        <w:rPr>
          <w:rFonts w:ascii="Arial" w:cs="Arial" w:eastAsia="Arial" w:hAnsi="Arial"/>
          <w:color w:val="333333"/>
          <w:sz w:val="20"/>
          <w:szCs w:val="20"/>
        </w:rPr>
        <w:t xml:space="preserve">Detects virtualized emulator environments (QEMU, BlueStacks, Nox) to prevent automated penetration testing.</w:t>
      </w:r>
    </w:p>
    <w:p>
      <w:pPr>
        <w:pStyle w:val="ListParagraph"/>
        <w:numPr>
          <w:ilvl w:val="0"/>
          <w:numId w:val="1"/>
        </w:numPr>
        <w:spacing w:after="80"/>
      </w:pPr>
      <w:r>
        <w:rPr>
          <w:rFonts w:ascii="Arial" w:cs="Arial" w:eastAsia="Arial" w:hAnsi="Arial"/>
          <w:b/>
          <w:bCs/>
          <w:color w:val="222222"/>
          <w:sz w:val="20"/>
          <w:szCs w:val="20"/>
        </w:rPr>
        <w:t xml:space="preserve">4. Cryptographic Signature Integrity:</w:t>
      </w:r>
      <w:r>
        <w:rPr>
          <w:rFonts w:ascii="Arial" w:cs="Arial" w:eastAsia="Arial" w:hAnsi="Arial"/>
          <w:color w:val="333333"/>
          <w:sz w:val="20"/>
          <w:szCs w:val="20"/>
        </w:rPr>
        <w:t xml:space="preserve">Verifies the cryptographic release signing SHA-256 certificate hash to immediately kill patched or modified APKs.</w:t>
      </w:r>
    </w:p>
    <w:p>
      <w:pPr>
        <w:pStyle w:val="ListParagraph"/>
        <w:numPr>
          <w:ilvl w:val="0"/>
          <w:numId w:val="1"/>
        </w:numPr>
        <w:spacing w:after="80"/>
      </w:pPr>
      <w:r>
        <w:rPr>
          <w:rFonts w:ascii="Arial" w:cs="Arial" w:eastAsia="Arial" w:hAnsi="Arial"/>
          <w:b/>
          <w:bCs/>
          <w:color w:val="222222"/>
          <w:sz w:val="20"/>
          <w:szCs w:val="20"/>
        </w:rPr>
        <w:t xml:space="preserve">5. Hardware Biometrics:</w:t>
      </w:r>
      <w:r>
        <w:rPr>
          <w:rFonts w:ascii="Arial" w:cs="Arial" w:eastAsia="Arial" w:hAnsi="Arial"/>
          <w:color w:val="333333"/>
          <w:sz w:val="20"/>
          <w:szCs w:val="20"/>
        </w:rPr>
        <w:t xml:space="preserve">Multi-factor Biometric Prompt (fingerprint/face recognition) safeguards local draft access and submission filing.</w:t>
      </w:r>
    </w:p>
    <w:p>
      <w:pPr>
        <w:pStyle w:val="ListParagraph"/>
        <w:numPr>
          <w:ilvl w:val="0"/>
          <w:numId w:val="1"/>
        </w:numPr>
        <w:spacing w:after="80"/>
      </w:pPr>
      <w:r>
        <w:rPr>
          <w:rFonts w:ascii="Arial" w:cs="Arial" w:eastAsia="Arial" w:hAnsi="Arial"/>
          <w:b/>
          <w:bCs/>
          <w:color w:val="222222"/>
          <w:sz w:val="20"/>
          <w:szCs w:val="20"/>
        </w:rPr>
        <w:t xml:space="preserve">6. RBAC Governance:</w:t>
      </w:r>
      <w:r>
        <w:rPr>
          <w:rFonts w:ascii="Arial" w:cs="Arial" w:eastAsia="Arial" w:hAnsi="Arial"/>
          <w:color w:val="333333"/>
          <w:sz w:val="20"/>
          <w:szCs w:val="20"/>
        </w:rPr>
        <w:t xml:space="preserve">Granular Role-Based Access Control (Admin, Auditor, Stakeholder, Guest) enforced via Cloud Firestore Security Rules.</w:t>
      </w:r>
    </w:p>
    <w:p>
      <w:r>
        <w:br w:type="page"/>
      </w:r>
    </w:p>
    <w:p>
      <w:pPr>
        <w:pStyle w:val="Heading1"/>
        <w:spacing w:after="140" w:before="300"/>
      </w:pPr>
      <w:r>
        <w:rPr>
          <w:rFonts w:ascii="Arial" w:cs="Arial" w:eastAsia="Arial" w:hAnsi="Arial"/>
          <w:b/>
          <w:bCs/>
          <w:color w:val="0A2540"/>
          <w:sz w:val="28"/>
          <w:szCs w:val="28"/>
        </w:rPr>
        <w:t xml:space="preserve">5. COMMERCIAL OPPORTUNITIES, MONETIZATION &amp; BUYER ROI</w:t>
      </w:r>
    </w:p>
    <w:p>
      <w:pPr>
        <w:spacing w:after="120"/>
      </w:pPr>
      <w:r>
        <w:rPr>
          <w:rFonts w:ascii="Arial" w:cs="Arial" w:eastAsia="Arial" w:hAnsi="Arial"/>
          <w:color w:val="333333"/>
          <w:sz w:val="20"/>
          <w:szCs w:val="20"/>
        </w:rPr>
        <w:t xml:space="preserve">The IAA Platform represents an exceptional high-growth commercial asset with multiple established monetization avenues: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c>
          <w:tcPr>
            <w:tcW w:type="pct" w:w="150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Revenue Stream</w:t>
            </w:r>
          </w:p>
        </w:tc>
        <w:tc>
          <w:tcPr>
            <w:tcW w:type="pct" w:w="150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Target Segment</w:t>
            </w:r>
          </w:p>
        </w:tc>
        <w:tc>
          <w:tcPr>
            <w:tcW w:type="pct" w:w="2000"/>
            <w:shd w:fill="0A2540" w:color="FFFFFF" w:val="clear"/>
            <w:tcMar>
              <w:top w:type="dxa" w:w="120"/>
              <w:left w:type="dxa" w:w="150"/>
              <w:bottom w:type="dxa" w:w="120"/>
              <w:right w:type="dxa" w:w="150"/>
            </w:tcMar>
          </w:tcPr>
          <w:p>
            <w:r>
              <w:rPr>
                <w:rFonts w:ascii="Arial" w:cs="Arial" w:eastAsia="Arial" w:hAnsi="Arial"/>
                <w:b/>
                <w:bCs/>
                <w:color w:val="FFFFFF"/>
                <w:sz w:val="20"/>
                <w:szCs w:val="20"/>
              </w:rPr>
              <w:t xml:space="preserve">Monetization Model</w:t>
            </w:r>
          </w:p>
        </w:tc>
      </w:tr>
      <w:tr>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GovTech Enterprise SaaS</w:t>
            </w:r>
          </w:p>
        </w:tc>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466+ Covered Public Institutions</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Annual recurring SaaS subscription per institution or central ministry oversight retainer.</w:t>
            </w:r>
          </w:p>
        </w:tc>
      </w:tr>
      <w:tr>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CPD Seminar &amp; Training Fees</w:t>
            </w:r>
          </w:p>
        </w:tc>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10,000+ Internal Auditors &amp; Controllers</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Transaction fee retention or direct billing on paid professional seminars and masterclasses.</w:t>
            </w:r>
          </w:p>
        </w:tc>
      </w:tr>
      <w:tr>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Audit Trail Verification</w:t>
            </w:r>
          </w:p>
        </w:tc>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External Auditors &amp; Parliamentary PAC</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Premium access to cryptographically certified compliance logs and statutory filing receipts.</w:t>
            </w:r>
          </w:p>
        </w:tc>
      </w:tr>
      <w:tr>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Enterprise ERP Integrations</w:t>
            </w:r>
          </w:p>
        </w:tc>
        <w:tc>
          <w:tcPr>
            <w:tcW w:type="pct" w:w="15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National Treasury &amp; GIFMIS</w:t>
            </w:r>
          </w:p>
        </w:tc>
        <w:tc>
          <w:tcPr>
            <w:tcW w:type="pct" w:w="2000"/>
            <w:shd w:fill="F8F9FA" w:val="clear"/>
            <w:tcMar>
              <w:top w:type="dxa" w:w="120"/>
              <w:left w:type="dxa" w:w="150"/>
              <w:bottom w:type="dxa" w:w="120"/>
              <w:right w:type="dxa" w:w="150"/>
            </w:tcMar>
          </w:tcPr>
          <w:p>
            <w:r>
              <w:rPr>
                <w:rFonts w:ascii="Arial" w:cs="Arial" w:eastAsia="Arial" w:hAnsi="Arial"/>
                <w:b w:val="false"/>
                <w:bCs w:val="false"/>
                <w:color w:val="222222"/>
                <w:sz w:val="18"/>
                <w:szCs w:val="18"/>
              </w:rPr>
              <w:t xml:space="preserve">Custom integration and API middleware licensing into national financial management systems.</w:t>
            </w:r>
          </w:p>
        </w:tc>
      </w:tr>
    </w:tbl>
    <w:p>
      <w:pPr>
        <w:pStyle w:val="Heading2"/>
        <w:spacing w:after="100" w:before="240"/>
      </w:pPr>
      <w:r>
        <w:rPr>
          <w:rFonts w:ascii="Arial" w:cs="Arial" w:eastAsia="Arial" w:hAnsi="Arial"/>
          <w:b/>
          <w:bCs/>
          <w:color w:val="00558F"/>
          <w:sz w:val="24"/>
          <w:szCs w:val="24"/>
        </w:rPr>
        <w:t xml:space="preserve">Geographic Extensibility Across Africa</w:t>
      </w:r>
    </w:p>
    <w:p>
      <w:pPr>
        <w:spacing w:after="120"/>
      </w:pPr>
      <w:r>
        <w:rPr>
          <w:rFonts w:ascii="Arial" w:cs="Arial" w:eastAsia="Arial" w:hAnsi="Arial"/>
          <w:color w:val="333333"/>
          <w:sz w:val="20"/>
          <w:szCs w:val="20"/>
        </w:rPr>
        <w:t xml:space="preserve">The platform’s institutional hierarchy and submission engines are modular by design. While configured for Ghana’s PFM Act 921 framework, the entire platform can be white-labeled within 14 days for deployment across Nigeria, Kenya, Sierra Leone, Liberia, and Rwanda, where supreme internal audit institutions mandate equivalent statutory filings.</w:t>
      </w:r>
    </w:p>
    <w:p>
      <w:r>
        <w:br w:type="page"/>
      </w:r>
    </w:p>
    <w:p>
      <w:pPr>
        <w:pStyle w:val="Heading1"/>
        <w:spacing w:after="140" w:before="300"/>
      </w:pPr>
      <w:r>
        <w:rPr>
          <w:rFonts w:ascii="Arial" w:cs="Arial" w:eastAsia="Arial" w:hAnsi="Arial"/>
          <w:b/>
          <w:bCs/>
          <w:color w:val="0A2540"/>
          <w:sz w:val="28"/>
          <w:szCs w:val="28"/>
        </w:rPr>
        <w:t xml:space="preserve">6. ACQUISITION DELIVERABLES &amp; TECHNICAL HANDOVER</w:t>
      </w:r>
    </w:p>
    <w:p>
      <w:pPr>
        <w:spacing w:after="120"/>
      </w:pPr>
      <w:r>
        <w:rPr>
          <w:rFonts w:ascii="Arial" w:cs="Arial" w:eastAsia="Arial" w:hAnsi="Arial"/>
          <w:color w:val="333333"/>
          <w:sz w:val="20"/>
          <w:szCs w:val="20"/>
        </w:rPr>
        <w:t xml:space="preserve">Upon execution of an Asset Purchase Agreement, BibiniiTech Limited will deliver a complete, turn-key technology package:</w:t>
      </w:r>
    </w:p>
    <w:p>
      <w:pPr>
        <w:pStyle w:val="ListParagraph"/>
        <w:numPr>
          <w:ilvl w:val="0"/>
          <w:numId w:val="1"/>
        </w:numPr>
        <w:spacing w:after="80"/>
      </w:pPr>
      <w:r>
        <w:rPr>
          <w:rFonts w:ascii="Arial" w:cs="Arial" w:eastAsia="Arial" w:hAnsi="Arial"/>
          <w:b/>
          <w:bCs/>
          <w:color w:val="222222"/>
          <w:sz w:val="20"/>
          <w:szCs w:val="20"/>
        </w:rPr>
        <w:t xml:space="preserve">1. Native Android Repository:</w:t>
      </w:r>
      <w:r>
        <w:rPr>
          <w:rFonts w:ascii="Arial" w:cs="Arial" w:eastAsia="Arial" w:hAnsi="Arial"/>
          <w:color w:val="333333"/>
          <w:sz w:val="20"/>
          <w:szCs w:val="20"/>
        </w:rPr>
        <w:t xml:space="preserve">Complete, clean, production-verified Android Studio project with full Gradle build configurations, vector assets, and Compose modules.</w:t>
      </w:r>
    </w:p>
    <w:p>
      <w:pPr>
        <w:pStyle w:val="ListParagraph"/>
        <w:numPr>
          <w:ilvl w:val="0"/>
          <w:numId w:val="1"/>
        </w:numPr>
        <w:spacing w:after="80"/>
      </w:pPr>
      <w:r>
        <w:rPr>
          <w:rFonts w:ascii="Arial" w:cs="Arial" w:eastAsia="Arial" w:hAnsi="Arial"/>
          <w:b/>
          <w:bCs/>
          <w:color w:val="222222"/>
          <w:sz w:val="20"/>
          <w:szCs w:val="20"/>
        </w:rPr>
        <w:t xml:space="preserve">2. Enterprise Web Repository:</w:t>
      </w:r>
      <w:r>
        <w:rPr>
          <w:rFonts w:ascii="Arial" w:cs="Arial" w:eastAsia="Arial" w:hAnsi="Arial"/>
          <w:color w:val="333333"/>
          <w:sz w:val="20"/>
          <w:szCs w:val="20"/>
        </w:rPr>
        <w:t xml:space="preserve">Complete Next.js 16 / React 19 / TypeScript web repository with optimized CSS modules and serverless routes.</w:t>
      </w:r>
    </w:p>
    <w:p>
      <w:pPr>
        <w:pStyle w:val="ListParagraph"/>
        <w:numPr>
          <w:ilvl w:val="0"/>
          <w:numId w:val="1"/>
        </w:numPr>
        <w:spacing w:after="80"/>
      </w:pPr>
      <w:r>
        <w:rPr>
          <w:rFonts w:ascii="Arial" w:cs="Arial" w:eastAsia="Arial" w:hAnsi="Arial"/>
          <w:b/>
          <w:bCs/>
          <w:color w:val="222222"/>
          <w:sz w:val="20"/>
          <w:szCs w:val="20"/>
        </w:rPr>
        <w:t xml:space="preserve">3. Hardened Cloud Architecture:</w:t>
      </w:r>
      <w:r>
        <w:rPr>
          <w:rFonts w:ascii="Arial" w:cs="Arial" w:eastAsia="Arial" w:hAnsi="Arial"/>
          <w:color w:val="333333"/>
          <w:sz w:val="20"/>
          <w:szCs w:val="20"/>
        </w:rPr>
        <w:t xml:space="preserve">Production Firestore security rules, indexing schemas, storage bucket policies, and Cloud Function triggers.</w:t>
      </w:r>
    </w:p>
    <w:p>
      <w:pPr>
        <w:pStyle w:val="ListParagraph"/>
        <w:numPr>
          <w:ilvl w:val="0"/>
          <w:numId w:val="1"/>
        </w:numPr>
        <w:spacing w:after="80"/>
      </w:pPr>
      <w:r>
        <w:rPr>
          <w:rFonts w:ascii="Arial" w:cs="Arial" w:eastAsia="Arial" w:hAnsi="Arial"/>
          <w:b/>
          <w:bCs/>
          <w:color w:val="222222"/>
          <w:sz w:val="20"/>
          <w:szCs w:val="20"/>
        </w:rPr>
        <w:t xml:space="preserve">4. Master Data Assets:</w:t>
      </w:r>
      <w:r>
        <w:rPr>
          <w:rFonts w:ascii="Arial" w:cs="Arial" w:eastAsia="Arial" w:hAnsi="Arial"/>
          <w:color w:val="333333"/>
          <w:sz w:val="20"/>
          <w:szCs w:val="20"/>
        </w:rPr>
        <w:t xml:space="preserve">Verified, deduplicated JSON and TypeScript registries for all 147 MDAs, 42 SOEs, 16 RCCs, and 261 MMDAs.</w:t>
      </w:r>
    </w:p>
    <w:p>
      <w:pPr>
        <w:pStyle w:val="ListParagraph"/>
        <w:numPr>
          <w:ilvl w:val="0"/>
          <w:numId w:val="1"/>
        </w:numPr>
        <w:spacing w:after="80"/>
      </w:pPr>
      <w:r>
        <w:rPr>
          <w:rFonts w:ascii="Arial" w:cs="Arial" w:eastAsia="Arial" w:hAnsi="Arial"/>
          <w:b/>
          <w:bCs/>
          <w:color w:val="222222"/>
          <w:sz w:val="20"/>
          <w:szCs w:val="20"/>
        </w:rPr>
        <w:t xml:space="preserve">5. Technical Documentation:</w:t>
      </w:r>
      <w:r>
        <w:rPr>
          <w:rFonts w:ascii="Arial" w:cs="Arial" w:eastAsia="Arial" w:hAnsi="Arial"/>
          <w:color w:val="333333"/>
          <w:sz w:val="20"/>
          <w:szCs w:val="20"/>
        </w:rPr>
        <w:t xml:space="preserve">Comprehensive deployment guides, environment variable blueprints, and administrative user manuals.</w:t>
      </w:r>
    </w:p>
    <w:p>
      <w:pPr>
        <w:pStyle w:val="ListParagraph"/>
        <w:numPr>
          <w:ilvl w:val="0"/>
          <w:numId w:val="1"/>
        </w:numPr>
        <w:spacing w:after="80"/>
      </w:pPr>
      <w:r>
        <w:rPr>
          <w:rFonts w:ascii="Arial" w:cs="Arial" w:eastAsia="Arial" w:hAnsi="Arial"/>
          <w:b/>
          <w:bCs/>
          <w:color w:val="222222"/>
          <w:sz w:val="20"/>
          <w:szCs w:val="20"/>
        </w:rPr>
        <w:t xml:space="preserve">6. Transition Advisory:</w:t>
      </w:r>
      <w:r>
        <w:rPr>
          <w:rFonts w:ascii="Arial" w:cs="Arial" w:eastAsia="Arial" w:hAnsi="Arial"/>
          <w:color w:val="333333"/>
          <w:sz w:val="20"/>
          <w:szCs w:val="20"/>
        </w:rPr>
        <w:t xml:space="preserve">BibiniiTech Limited provides an optional 60-day post-acquisition engineering transition and advisory warranty.</w:t>
      </w:r>
    </w:p>
    <w:p>
      <w:pPr>
        <w:spacing w:before="500"/>
      </w:pPr>
    </w:p>
    <w:tbl>
      <w:tblPr>
        <w:tblW w:type="pct" w:w="5000"/>
        <w:tblBorders>
          <w:top w:val="single" w:color="0A2540" w:sz="12"/>
          <w:left w:val="none"/>
          <w:bottom w:val="single" w:color="0A2540" w:sz="12"/>
          <w:right w:val="none"/>
          <w:insideH w:val="single" w:color="auto" w:sz="4"/>
          <w:insideV w:val="single" w:color="auto" w:sz="4"/>
        </w:tblBorders>
      </w:tblPr>
      <w:tblGrid>
        <w:gridCol w:w="9026"/>
      </w:tblGrid>
      <w:tr>
        <w:tc>
          <w:tcPr>
            <w:tcMar>
              <w:top w:type="dxa" w:w="160"/>
              <w:left w:type="dxa" w:w="160"/>
              <w:bottom w:type="dxa" w:w="160"/>
              <w:right w:type="dxa" w:w="160"/>
            </w:tcMar>
          </w:tcPr>
          <w:p>
            <w:pPr>
              <w:jc w:val="center"/>
            </w:pPr>
            <w:r>
              <w:rPr>
                <w:b/>
                <w:bCs/>
                <w:color w:val="0A2540"/>
                <w:sz w:val="22"/>
                <w:szCs w:val="22"/>
              </w:rPr>
              <w:t xml:space="preserve">COMMERCIAL INQUIRIES &amp; ACQUISITION DISCUSSIONS</w:t>
            </w:r>
          </w:p>
          <w:p>
            <w:pPr>
              <w:spacing w:before="80"/>
              <w:jc w:val="center"/>
            </w:pPr>
            <w:r>
              <w:rPr>
                <w:i/>
                <w:iCs/>
                <w:color w:val="555555"/>
                <w:sz w:val="20"/>
                <w:szCs w:val="20"/>
              </w:rPr>
              <w:t xml:space="preserve">BibiniiTech Limited | Proprietary Technology Asset</w:t>
            </w:r>
          </w:p>
          <w:p>
            <w:pPr>
              <w:jc w:val="center"/>
            </w:pPr>
            <w:r>
              <w:rPr>
                <w:color w:val="777777"/>
                <w:sz w:val="18"/>
                <w:szCs w:val="18"/>
              </w:rPr>
              <w:t xml:space="preserve">Confidential Intellectual Property Prospectus – All Rights Reserved © 2026</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r>
      <w:rPr>
        <w:rFonts w:ascii="Arial" w:cs="Arial" w:eastAsia="Arial" w:hAnsi="Arial"/>
        <w:color w:val="888888"/>
        <w:sz w:val="16"/>
        <w:szCs w:val="16"/>
      </w:rPr>
      <w:t xml:space="preserve"> | BibiniiTech Ltd. - All Rights Reserved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CONFIDENTIAL // PROPRIETARY COMMERCIAL ASSET // IAA APP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2026-10-20T21:01:33.223Z</dcterms:created>
  <dcterms:modified xsi:type="dcterms:W3CDTF">2026-10-20T21:01:33.224Z</dcterms:modified>
</cp:coreProperties>
</file>

<file path=docProps/custom.xml><?xml version="1.0" encoding="utf-8"?>
<Properties xmlns="http://schemas.openxmlformats.org/officeDocument/2006/custom-properties" xmlns:vt="http://schemas.openxmlformats.org/officeDocument/2006/docPropsVTypes"/>
</file>