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0185" w:rsidRDefault="00000000">
      <w:pPr>
        <w:keepNext/>
        <w:keepLines/>
        <w:spacing w:after="330" w:line="300" w:lineRule="auto"/>
        <w:rPr>
          <w:rFonts w:ascii="黑体" w:eastAsia="黑体" w:hAnsi="黑体"/>
          <w:sz w:val="24"/>
        </w:rPr>
        <w:sectPr w:rsidR="00B70185">
          <w:footerReference w:type="default" r:id="rId9"/>
          <w:pgSz w:w="11906" w:h="16838"/>
          <w:pgMar w:top="1440" w:right="1800" w:bottom="1440" w:left="1800" w:header="851" w:footer="992" w:gutter="0"/>
          <w:cols w:space="425"/>
          <w:docGrid w:type="lines" w:linePitch="312"/>
        </w:sectPr>
      </w:pPr>
      <w:r>
        <w:rPr>
          <w:rFonts w:ascii="黑体" w:eastAsia="黑体" w:hAnsi="黑体" w:hint="eastAsia"/>
          <w:sz w:val="24"/>
        </w:rPr>
        <w:t>封面</w:t>
      </w:r>
    </w:p>
    <w:sdt>
      <w:sdtPr>
        <w:rPr>
          <w:rFonts w:ascii="宋体" w:eastAsia="宋体" w:hAnsi="宋体"/>
        </w:rPr>
        <w:id w:val="147463211"/>
        <w15:color w:val="DBDBDB"/>
        <w:docPartObj>
          <w:docPartGallery w:val="Table of Contents"/>
          <w:docPartUnique/>
        </w:docPartObj>
      </w:sdtPr>
      <w:sdtEndPr>
        <w:rPr>
          <w:rFonts w:asciiTheme="minorHAnsi" w:eastAsiaTheme="minorEastAsia" w:hAnsiTheme="minorHAnsi" w:hint="eastAsia"/>
        </w:rPr>
      </w:sdtEndPr>
      <w:sdtContent>
        <w:p w:rsidR="00B70185" w:rsidRDefault="00000000">
          <w:pPr>
            <w:jc w:val="center"/>
          </w:pPr>
          <w:r>
            <w:rPr>
              <w:rFonts w:ascii="宋体" w:eastAsia="宋体" w:hAnsi="宋体"/>
            </w:rPr>
            <w:t>目录</w:t>
          </w:r>
        </w:p>
        <w:p w:rsidR="00B70185" w:rsidRDefault="00000000">
          <w:pPr>
            <w:pStyle w:val="TOC1"/>
            <w:tabs>
              <w:tab w:val="right" w:leader="dot" w:pos="8306"/>
            </w:tabs>
          </w:pPr>
          <w:r>
            <w:rPr>
              <w:rFonts w:hint="eastAsia"/>
            </w:rPr>
            <w:fldChar w:fldCharType="begin"/>
          </w:r>
          <w:r>
            <w:rPr>
              <w:rFonts w:hint="eastAsia"/>
            </w:rPr>
            <w:instrText xml:space="preserve">TOC \o "1-3" \h \u </w:instrText>
          </w:r>
          <w:r>
            <w:rPr>
              <w:rFonts w:hint="eastAsia"/>
            </w:rPr>
            <w:fldChar w:fldCharType="separate"/>
          </w:r>
          <w:hyperlink w:anchor="_Toc9404" w:history="1">
            <w:r>
              <w:rPr>
                <w:rFonts w:ascii="黑体" w:eastAsia="黑体" w:hAnsi="黑体" w:hint="eastAsia"/>
              </w:rPr>
              <w:t>1.执行摘要</w:t>
            </w:r>
            <w:r>
              <w:tab/>
            </w:r>
            <w:r>
              <w:fldChar w:fldCharType="begin"/>
            </w:r>
            <w:r>
              <w:instrText xml:space="preserve"> PAGEREF _Toc9404 \h </w:instrText>
            </w:r>
            <w:r>
              <w:fldChar w:fldCharType="separate"/>
            </w:r>
            <w:r>
              <w:t>4</w:t>
            </w:r>
            <w:r>
              <w:fldChar w:fldCharType="end"/>
            </w:r>
          </w:hyperlink>
        </w:p>
        <w:p w:rsidR="00B70185" w:rsidRDefault="00000000">
          <w:pPr>
            <w:pStyle w:val="TOC2"/>
            <w:tabs>
              <w:tab w:val="right" w:leader="dot" w:pos="8306"/>
            </w:tabs>
          </w:pPr>
          <w:hyperlink w:anchor="_Toc11704" w:history="1">
            <w:r>
              <w:rPr>
                <w:rFonts w:ascii="宋体" w:eastAsia="宋体" w:hAnsi="宋体" w:hint="eastAsia"/>
                <w:szCs w:val="21"/>
              </w:rPr>
              <w:t>1.1项目背景与痛点</w:t>
            </w:r>
            <w:r>
              <w:tab/>
            </w:r>
            <w:r>
              <w:fldChar w:fldCharType="begin"/>
            </w:r>
            <w:r>
              <w:instrText xml:space="preserve"> PAGEREF _Toc11704 \h </w:instrText>
            </w:r>
            <w:r>
              <w:fldChar w:fldCharType="separate"/>
            </w:r>
            <w:r>
              <w:t>4</w:t>
            </w:r>
            <w:r>
              <w:fldChar w:fldCharType="end"/>
            </w:r>
          </w:hyperlink>
        </w:p>
        <w:p w:rsidR="00B70185" w:rsidRDefault="00000000">
          <w:pPr>
            <w:pStyle w:val="TOC3"/>
            <w:tabs>
              <w:tab w:val="right" w:leader="dot" w:pos="8306"/>
            </w:tabs>
          </w:pPr>
          <w:hyperlink w:anchor="_Toc20411" w:history="1">
            <w:r>
              <w:rPr>
                <w:rFonts w:ascii="宋体" w:eastAsia="宋体" w:hAnsi="宋体" w:hint="eastAsia"/>
                <w:bCs/>
                <w:szCs w:val="32"/>
              </w:rPr>
              <w:t>1.1.1项目背景</w:t>
            </w:r>
            <w:r>
              <w:tab/>
            </w:r>
            <w:r>
              <w:fldChar w:fldCharType="begin"/>
            </w:r>
            <w:r>
              <w:instrText xml:space="preserve"> PAGEREF _Toc20411 \h </w:instrText>
            </w:r>
            <w:r>
              <w:fldChar w:fldCharType="separate"/>
            </w:r>
            <w:r>
              <w:t>4</w:t>
            </w:r>
            <w:r>
              <w:fldChar w:fldCharType="end"/>
            </w:r>
          </w:hyperlink>
        </w:p>
        <w:p w:rsidR="00B70185" w:rsidRDefault="00000000">
          <w:pPr>
            <w:pStyle w:val="TOC3"/>
            <w:tabs>
              <w:tab w:val="right" w:leader="dot" w:pos="8306"/>
            </w:tabs>
          </w:pPr>
          <w:hyperlink w:anchor="_Toc26231" w:history="1">
            <w:r>
              <w:rPr>
                <w:rFonts w:ascii="宋体" w:eastAsia="宋体" w:hAnsi="宋体" w:hint="eastAsia"/>
                <w:bCs/>
                <w:szCs w:val="32"/>
              </w:rPr>
              <w:t>1.1.2痛点</w:t>
            </w:r>
            <w:r>
              <w:tab/>
            </w:r>
            <w:r>
              <w:fldChar w:fldCharType="begin"/>
            </w:r>
            <w:r>
              <w:instrText xml:space="preserve"> PAGEREF _Toc26231 \h </w:instrText>
            </w:r>
            <w:r>
              <w:fldChar w:fldCharType="separate"/>
            </w:r>
            <w:r>
              <w:t>4</w:t>
            </w:r>
            <w:r>
              <w:fldChar w:fldCharType="end"/>
            </w:r>
          </w:hyperlink>
        </w:p>
        <w:p w:rsidR="00B70185" w:rsidRDefault="00000000">
          <w:pPr>
            <w:pStyle w:val="TOC2"/>
            <w:tabs>
              <w:tab w:val="right" w:leader="dot" w:pos="8306"/>
            </w:tabs>
          </w:pPr>
          <w:hyperlink w:anchor="_Toc20711" w:history="1">
            <w:r>
              <w:rPr>
                <w:rFonts w:ascii="宋体" w:eastAsia="宋体" w:hAnsi="宋体" w:hint="eastAsia"/>
                <w:szCs w:val="21"/>
              </w:rPr>
              <w:t>1.2核心技术方案</w:t>
            </w:r>
            <w:r>
              <w:tab/>
            </w:r>
            <w:r>
              <w:fldChar w:fldCharType="begin"/>
            </w:r>
            <w:r>
              <w:instrText xml:space="preserve"> PAGEREF _Toc20711 \h </w:instrText>
            </w:r>
            <w:r>
              <w:fldChar w:fldCharType="separate"/>
            </w:r>
            <w:r>
              <w:t>5</w:t>
            </w:r>
            <w:r>
              <w:fldChar w:fldCharType="end"/>
            </w:r>
          </w:hyperlink>
        </w:p>
        <w:p w:rsidR="00B70185" w:rsidRDefault="00000000">
          <w:pPr>
            <w:pStyle w:val="TOC3"/>
            <w:tabs>
              <w:tab w:val="right" w:leader="dot" w:pos="8306"/>
            </w:tabs>
          </w:pPr>
          <w:hyperlink w:anchor="_Toc22238" w:history="1">
            <w:r>
              <w:rPr>
                <w:rFonts w:ascii="宋体" w:eastAsia="宋体" w:hAnsi="宋体" w:hint="eastAsia"/>
                <w:bCs/>
                <w:szCs w:val="32"/>
              </w:rPr>
              <w:t>1.2.1核心技术</w:t>
            </w:r>
            <w:r>
              <w:tab/>
            </w:r>
            <w:r>
              <w:fldChar w:fldCharType="begin"/>
            </w:r>
            <w:r>
              <w:instrText xml:space="preserve"> PAGEREF _Toc22238 \h </w:instrText>
            </w:r>
            <w:r>
              <w:fldChar w:fldCharType="separate"/>
            </w:r>
            <w:r>
              <w:t>5</w:t>
            </w:r>
            <w:r>
              <w:fldChar w:fldCharType="end"/>
            </w:r>
          </w:hyperlink>
        </w:p>
        <w:p w:rsidR="00B70185" w:rsidRDefault="00000000">
          <w:pPr>
            <w:pStyle w:val="TOC3"/>
            <w:tabs>
              <w:tab w:val="right" w:leader="dot" w:pos="8306"/>
            </w:tabs>
          </w:pPr>
          <w:hyperlink w:anchor="_Toc16785" w:history="1">
            <w:r>
              <w:rPr>
                <w:rFonts w:ascii="宋体" w:eastAsia="宋体" w:hAnsi="宋体" w:hint="eastAsia"/>
                <w:bCs/>
                <w:szCs w:val="32"/>
              </w:rPr>
              <w:t>1.2.2目标产品</w:t>
            </w:r>
            <w:r>
              <w:tab/>
            </w:r>
            <w:r>
              <w:fldChar w:fldCharType="begin"/>
            </w:r>
            <w:r>
              <w:instrText xml:space="preserve"> PAGEREF _Toc16785 \h </w:instrText>
            </w:r>
            <w:r>
              <w:fldChar w:fldCharType="separate"/>
            </w:r>
            <w:r>
              <w:t>6</w:t>
            </w:r>
            <w:r>
              <w:fldChar w:fldCharType="end"/>
            </w:r>
          </w:hyperlink>
        </w:p>
        <w:p w:rsidR="00B70185" w:rsidRDefault="00000000">
          <w:pPr>
            <w:pStyle w:val="TOC3"/>
            <w:tabs>
              <w:tab w:val="right" w:leader="dot" w:pos="8306"/>
            </w:tabs>
          </w:pPr>
          <w:hyperlink w:anchor="_Toc26210" w:history="1">
            <w:r>
              <w:rPr>
                <w:rFonts w:ascii="宋体" w:eastAsia="宋体" w:hAnsi="宋体" w:hint="eastAsia"/>
                <w:bCs/>
                <w:szCs w:val="32"/>
              </w:rPr>
              <w:t>1.2.3研发成果</w:t>
            </w:r>
            <w:r>
              <w:tab/>
            </w:r>
            <w:r>
              <w:fldChar w:fldCharType="begin"/>
            </w:r>
            <w:r>
              <w:instrText xml:space="preserve"> PAGEREF _Toc26210 \h </w:instrText>
            </w:r>
            <w:r>
              <w:fldChar w:fldCharType="separate"/>
            </w:r>
            <w:r>
              <w:t>6</w:t>
            </w:r>
            <w:r>
              <w:fldChar w:fldCharType="end"/>
            </w:r>
          </w:hyperlink>
        </w:p>
        <w:p w:rsidR="00B70185" w:rsidRDefault="00000000">
          <w:pPr>
            <w:pStyle w:val="TOC2"/>
            <w:tabs>
              <w:tab w:val="right" w:leader="dot" w:pos="8306"/>
            </w:tabs>
          </w:pPr>
          <w:hyperlink w:anchor="_Toc31006" w:history="1">
            <w:r>
              <w:rPr>
                <w:rFonts w:ascii="宋体" w:eastAsia="宋体" w:hAnsi="宋体" w:hint="eastAsia"/>
                <w:szCs w:val="21"/>
              </w:rPr>
              <w:t>1.3核心竞争优势</w:t>
            </w:r>
            <w:r>
              <w:tab/>
            </w:r>
            <w:r>
              <w:fldChar w:fldCharType="begin"/>
            </w:r>
            <w:r>
              <w:instrText xml:space="preserve"> PAGEREF _Toc31006 \h </w:instrText>
            </w:r>
            <w:r>
              <w:fldChar w:fldCharType="separate"/>
            </w:r>
            <w:r>
              <w:t>6</w:t>
            </w:r>
            <w:r>
              <w:fldChar w:fldCharType="end"/>
            </w:r>
          </w:hyperlink>
        </w:p>
        <w:p w:rsidR="00B70185" w:rsidRDefault="00000000">
          <w:pPr>
            <w:pStyle w:val="TOC2"/>
            <w:tabs>
              <w:tab w:val="right" w:leader="dot" w:pos="8306"/>
            </w:tabs>
          </w:pPr>
          <w:hyperlink w:anchor="_Toc28049" w:history="1">
            <w:r>
              <w:rPr>
                <w:rFonts w:ascii="宋体" w:eastAsia="宋体" w:hAnsi="宋体" w:hint="eastAsia"/>
                <w:szCs w:val="21"/>
              </w:rPr>
              <w:t>1.4盈利模式</w:t>
            </w:r>
            <w:r>
              <w:tab/>
            </w:r>
            <w:r>
              <w:fldChar w:fldCharType="begin"/>
            </w:r>
            <w:r>
              <w:instrText xml:space="preserve"> PAGEREF _Toc28049 \h </w:instrText>
            </w:r>
            <w:r>
              <w:fldChar w:fldCharType="separate"/>
            </w:r>
            <w:r>
              <w:t>7</w:t>
            </w:r>
            <w:r>
              <w:fldChar w:fldCharType="end"/>
            </w:r>
          </w:hyperlink>
        </w:p>
        <w:p w:rsidR="00B70185" w:rsidRDefault="00000000">
          <w:pPr>
            <w:pStyle w:val="TOC1"/>
            <w:tabs>
              <w:tab w:val="right" w:leader="dot" w:pos="8306"/>
            </w:tabs>
          </w:pPr>
          <w:hyperlink w:anchor="_Toc14776" w:history="1">
            <w:r>
              <w:rPr>
                <w:rFonts w:ascii="黑体" w:eastAsia="黑体" w:hAnsi="黑体" w:hint="eastAsia"/>
              </w:rPr>
              <w:t>2.行业和市场分析</w:t>
            </w:r>
            <w:r>
              <w:tab/>
            </w:r>
            <w:r>
              <w:fldChar w:fldCharType="begin"/>
            </w:r>
            <w:r>
              <w:instrText xml:space="preserve"> PAGEREF _Toc14776 \h </w:instrText>
            </w:r>
            <w:r>
              <w:fldChar w:fldCharType="separate"/>
            </w:r>
            <w:r>
              <w:t>7</w:t>
            </w:r>
            <w:r>
              <w:fldChar w:fldCharType="end"/>
            </w:r>
          </w:hyperlink>
        </w:p>
        <w:p w:rsidR="00B70185" w:rsidRDefault="00000000">
          <w:pPr>
            <w:pStyle w:val="TOC2"/>
            <w:tabs>
              <w:tab w:val="right" w:leader="dot" w:pos="8306"/>
            </w:tabs>
          </w:pPr>
          <w:hyperlink w:anchor="_Toc2673" w:history="1">
            <w:r>
              <w:rPr>
                <w:rFonts w:ascii="宋体" w:eastAsia="宋体" w:hAnsi="宋体" w:hint="eastAsia"/>
                <w:szCs w:val="21"/>
              </w:rPr>
              <w:t>2.1 行业分析</w:t>
            </w:r>
            <w:r>
              <w:tab/>
            </w:r>
            <w:r>
              <w:fldChar w:fldCharType="begin"/>
            </w:r>
            <w:r>
              <w:instrText xml:space="preserve"> PAGEREF _Toc2673 \h </w:instrText>
            </w:r>
            <w:r>
              <w:fldChar w:fldCharType="separate"/>
            </w:r>
            <w:r>
              <w:t>7</w:t>
            </w:r>
            <w:r>
              <w:fldChar w:fldCharType="end"/>
            </w:r>
          </w:hyperlink>
        </w:p>
        <w:p w:rsidR="00B70185" w:rsidRDefault="00000000">
          <w:pPr>
            <w:pStyle w:val="TOC3"/>
            <w:tabs>
              <w:tab w:val="right" w:leader="dot" w:pos="8306"/>
            </w:tabs>
          </w:pPr>
          <w:hyperlink w:anchor="_Toc9133" w:history="1">
            <w:r>
              <w:rPr>
                <w:rFonts w:ascii="宋体" w:eastAsia="宋体" w:hAnsi="宋体" w:hint="eastAsia"/>
                <w:bCs/>
                <w:szCs w:val="32"/>
              </w:rPr>
              <w:t>2.1.1 传统法律行业分析</w:t>
            </w:r>
            <w:r>
              <w:tab/>
            </w:r>
            <w:r>
              <w:fldChar w:fldCharType="begin"/>
            </w:r>
            <w:r>
              <w:instrText xml:space="preserve"> PAGEREF _Toc9133 \h </w:instrText>
            </w:r>
            <w:r>
              <w:fldChar w:fldCharType="separate"/>
            </w:r>
            <w:r>
              <w:t>7</w:t>
            </w:r>
            <w:r>
              <w:fldChar w:fldCharType="end"/>
            </w:r>
          </w:hyperlink>
        </w:p>
        <w:p w:rsidR="00B70185" w:rsidRDefault="00000000">
          <w:pPr>
            <w:pStyle w:val="TOC3"/>
            <w:tabs>
              <w:tab w:val="right" w:leader="dot" w:pos="8306"/>
            </w:tabs>
          </w:pPr>
          <w:hyperlink w:anchor="_Toc29942" w:history="1">
            <w:r>
              <w:rPr>
                <w:rFonts w:ascii="宋体" w:eastAsia="宋体" w:hAnsi="宋体" w:hint="eastAsia"/>
                <w:bCs/>
                <w:szCs w:val="32"/>
              </w:rPr>
              <w:t>2.1.1 人工智能与法律科技行业分析</w:t>
            </w:r>
            <w:r>
              <w:tab/>
            </w:r>
            <w:r>
              <w:fldChar w:fldCharType="begin"/>
            </w:r>
            <w:r>
              <w:instrText xml:space="preserve"> PAGEREF _Toc29942 \h </w:instrText>
            </w:r>
            <w:r>
              <w:fldChar w:fldCharType="separate"/>
            </w:r>
            <w:r>
              <w:t>8</w:t>
            </w:r>
            <w:r>
              <w:fldChar w:fldCharType="end"/>
            </w:r>
          </w:hyperlink>
        </w:p>
        <w:p w:rsidR="00B70185" w:rsidRDefault="00000000">
          <w:pPr>
            <w:pStyle w:val="TOC2"/>
            <w:tabs>
              <w:tab w:val="right" w:leader="dot" w:pos="8306"/>
            </w:tabs>
          </w:pPr>
          <w:hyperlink w:anchor="_Toc11408" w:history="1">
            <w:r>
              <w:rPr>
                <w:rFonts w:ascii="宋体" w:eastAsia="宋体" w:hAnsi="宋体" w:hint="eastAsia"/>
                <w:szCs w:val="21"/>
              </w:rPr>
              <w:t>2.2 行业发展趋势分析</w:t>
            </w:r>
            <w:r>
              <w:tab/>
            </w:r>
            <w:r>
              <w:fldChar w:fldCharType="begin"/>
            </w:r>
            <w:r>
              <w:instrText xml:space="preserve"> PAGEREF _Toc11408 \h </w:instrText>
            </w:r>
            <w:r>
              <w:fldChar w:fldCharType="separate"/>
            </w:r>
            <w:r>
              <w:t>9</w:t>
            </w:r>
            <w:r>
              <w:fldChar w:fldCharType="end"/>
            </w:r>
          </w:hyperlink>
        </w:p>
        <w:p w:rsidR="00B70185" w:rsidRDefault="00000000">
          <w:pPr>
            <w:pStyle w:val="TOC3"/>
            <w:tabs>
              <w:tab w:val="right" w:leader="dot" w:pos="8306"/>
            </w:tabs>
          </w:pPr>
          <w:hyperlink w:anchor="_Toc15376" w:history="1">
            <w:r>
              <w:rPr>
                <w:rFonts w:ascii="宋体" w:eastAsia="宋体" w:hAnsi="宋体" w:hint="eastAsia"/>
                <w:bCs/>
                <w:szCs w:val="32"/>
              </w:rPr>
              <w:t>2.2.1 国际发展现状</w:t>
            </w:r>
            <w:r>
              <w:tab/>
            </w:r>
            <w:r>
              <w:fldChar w:fldCharType="begin"/>
            </w:r>
            <w:r>
              <w:instrText xml:space="preserve"> PAGEREF _Toc15376 \h </w:instrText>
            </w:r>
            <w:r>
              <w:fldChar w:fldCharType="separate"/>
            </w:r>
            <w:r>
              <w:t>9</w:t>
            </w:r>
            <w:r>
              <w:fldChar w:fldCharType="end"/>
            </w:r>
          </w:hyperlink>
        </w:p>
        <w:p w:rsidR="00B70185" w:rsidRDefault="00000000">
          <w:pPr>
            <w:pStyle w:val="TOC3"/>
            <w:tabs>
              <w:tab w:val="right" w:leader="dot" w:pos="8306"/>
            </w:tabs>
          </w:pPr>
          <w:hyperlink w:anchor="_Toc152" w:history="1">
            <w:r>
              <w:rPr>
                <w:rFonts w:ascii="宋体" w:eastAsia="宋体" w:hAnsi="宋体" w:hint="eastAsia"/>
                <w:bCs/>
                <w:szCs w:val="32"/>
              </w:rPr>
              <w:t>2.2.2 国内发展现状</w:t>
            </w:r>
            <w:r>
              <w:tab/>
            </w:r>
            <w:r>
              <w:fldChar w:fldCharType="begin"/>
            </w:r>
            <w:r>
              <w:instrText xml:space="preserve"> PAGEREF _Toc152 \h </w:instrText>
            </w:r>
            <w:r>
              <w:fldChar w:fldCharType="separate"/>
            </w:r>
            <w:r>
              <w:t>10</w:t>
            </w:r>
            <w:r>
              <w:fldChar w:fldCharType="end"/>
            </w:r>
          </w:hyperlink>
        </w:p>
        <w:p w:rsidR="00B70185" w:rsidRDefault="00000000">
          <w:pPr>
            <w:pStyle w:val="TOC2"/>
            <w:tabs>
              <w:tab w:val="right" w:leader="dot" w:pos="8306"/>
            </w:tabs>
          </w:pPr>
          <w:hyperlink w:anchor="_Toc22548" w:history="1">
            <w:r>
              <w:rPr>
                <w:rFonts w:ascii="宋体" w:eastAsia="宋体" w:hAnsi="宋体" w:hint="eastAsia"/>
                <w:szCs w:val="21"/>
              </w:rPr>
              <w:t>2.3 宏观环境分析（PEST）</w:t>
            </w:r>
            <w:r>
              <w:tab/>
            </w:r>
            <w:r>
              <w:fldChar w:fldCharType="begin"/>
            </w:r>
            <w:r>
              <w:instrText xml:space="preserve"> PAGEREF _Toc22548 \h </w:instrText>
            </w:r>
            <w:r>
              <w:fldChar w:fldCharType="separate"/>
            </w:r>
            <w:r>
              <w:t>10</w:t>
            </w:r>
            <w:r>
              <w:fldChar w:fldCharType="end"/>
            </w:r>
          </w:hyperlink>
        </w:p>
        <w:p w:rsidR="00B70185" w:rsidRDefault="00000000">
          <w:pPr>
            <w:pStyle w:val="TOC3"/>
            <w:tabs>
              <w:tab w:val="right" w:leader="dot" w:pos="8306"/>
            </w:tabs>
          </w:pPr>
          <w:hyperlink w:anchor="_Toc10200" w:history="1">
            <w:r>
              <w:rPr>
                <w:rFonts w:ascii="宋体" w:eastAsia="宋体" w:hAnsi="宋体" w:hint="eastAsia"/>
                <w:bCs/>
                <w:szCs w:val="32"/>
              </w:rPr>
              <w:t>2.3.1 政治因素</w:t>
            </w:r>
            <w:r>
              <w:tab/>
            </w:r>
            <w:r>
              <w:fldChar w:fldCharType="begin"/>
            </w:r>
            <w:r>
              <w:instrText xml:space="preserve"> PAGEREF _Toc10200 \h </w:instrText>
            </w:r>
            <w:r>
              <w:fldChar w:fldCharType="separate"/>
            </w:r>
            <w:r>
              <w:t>10</w:t>
            </w:r>
            <w:r>
              <w:fldChar w:fldCharType="end"/>
            </w:r>
          </w:hyperlink>
        </w:p>
        <w:p w:rsidR="00B70185" w:rsidRDefault="00000000">
          <w:pPr>
            <w:pStyle w:val="TOC3"/>
            <w:tabs>
              <w:tab w:val="right" w:leader="dot" w:pos="8306"/>
            </w:tabs>
          </w:pPr>
          <w:hyperlink w:anchor="_Toc9619" w:history="1">
            <w:r>
              <w:rPr>
                <w:rFonts w:ascii="宋体" w:eastAsia="宋体" w:hAnsi="宋体" w:hint="eastAsia"/>
                <w:bCs/>
                <w:szCs w:val="32"/>
              </w:rPr>
              <w:t>2.3.2 经济因素</w:t>
            </w:r>
            <w:r>
              <w:tab/>
            </w:r>
            <w:r>
              <w:fldChar w:fldCharType="begin"/>
            </w:r>
            <w:r>
              <w:instrText xml:space="preserve"> PAGEREF _Toc9619 \h </w:instrText>
            </w:r>
            <w:r>
              <w:fldChar w:fldCharType="separate"/>
            </w:r>
            <w:r>
              <w:t>11</w:t>
            </w:r>
            <w:r>
              <w:fldChar w:fldCharType="end"/>
            </w:r>
          </w:hyperlink>
        </w:p>
        <w:p w:rsidR="00B70185" w:rsidRDefault="00000000">
          <w:pPr>
            <w:pStyle w:val="TOC3"/>
            <w:tabs>
              <w:tab w:val="right" w:leader="dot" w:pos="8306"/>
            </w:tabs>
          </w:pPr>
          <w:hyperlink w:anchor="_Toc22076" w:history="1">
            <w:r>
              <w:rPr>
                <w:rFonts w:ascii="宋体" w:eastAsia="宋体" w:hAnsi="宋体" w:hint="eastAsia"/>
                <w:bCs/>
                <w:szCs w:val="32"/>
              </w:rPr>
              <w:t>2.3.3 社会因素</w:t>
            </w:r>
            <w:r>
              <w:tab/>
            </w:r>
            <w:r>
              <w:fldChar w:fldCharType="begin"/>
            </w:r>
            <w:r>
              <w:instrText xml:space="preserve"> PAGEREF _Toc22076 \h </w:instrText>
            </w:r>
            <w:r>
              <w:fldChar w:fldCharType="separate"/>
            </w:r>
            <w:r>
              <w:t>11</w:t>
            </w:r>
            <w:r>
              <w:fldChar w:fldCharType="end"/>
            </w:r>
          </w:hyperlink>
        </w:p>
        <w:p w:rsidR="00B70185" w:rsidRDefault="00000000">
          <w:pPr>
            <w:pStyle w:val="TOC3"/>
            <w:tabs>
              <w:tab w:val="right" w:leader="dot" w:pos="8306"/>
            </w:tabs>
          </w:pPr>
          <w:hyperlink w:anchor="_Toc13283" w:history="1">
            <w:r>
              <w:rPr>
                <w:rFonts w:ascii="宋体" w:eastAsia="宋体" w:hAnsi="宋体" w:hint="eastAsia"/>
                <w:bCs/>
                <w:szCs w:val="32"/>
              </w:rPr>
              <w:t>2.3.4 技术因素</w:t>
            </w:r>
            <w:r>
              <w:tab/>
            </w:r>
            <w:r>
              <w:fldChar w:fldCharType="begin"/>
            </w:r>
            <w:r>
              <w:instrText xml:space="preserve"> PAGEREF _Toc13283 \h </w:instrText>
            </w:r>
            <w:r>
              <w:fldChar w:fldCharType="separate"/>
            </w:r>
            <w:r>
              <w:t>11</w:t>
            </w:r>
            <w:r>
              <w:fldChar w:fldCharType="end"/>
            </w:r>
          </w:hyperlink>
        </w:p>
        <w:p w:rsidR="00B70185" w:rsidRDefault="00000000">
          <w:pPr>
            <w:pStyle w:val="TOC2"/>
            <w:tabs>
              <w:tab w:val="right" w:leader="dot" w:pos="8306"/>
            </w:tabs>
          </w:pPr>
          <w:hyperlink w:anchor="_Toc17524" w:history="1">
            <w:r>
              <w:rPr>
                <w:rFonts w:ascii="宋体" w:eastAsia="宋体" w:hAnsi="宋体" w:hint="eastAsia"/>
                <w:szCs w:val="21"/>
              </w:rPr>
              <w:t>2.4 目标市场分析（STP 分析）</w:t>
            </w:r>
            <w:r>
              <w:tab/>
            </w:r>
            <w:r>
              <w:fldChar w:fldCharType="begin"/>
            </w:r>
            <w:r>
              <w:instrText xml:space="preserve"> PAGEREF _Toc17524 \h </w:instrText>
            </w:r>
            <w:r>
              <w:fldChar w:fldCharType="separate"/>
            </w:r>
            <w:r>
              <w:t>12</w:t>
            </w:r>
            <w:r>
              <w:fldChar w:fldCharType="end"/>
            </w:r>
          </w:hyperlink>
        </w:p>
        <w:p w:rsidR="00B70185" w:rsidRDefault="00000000">
          <w:pPr>
            <w:pStyle w:val="TOC2"/>
            <w:tabs>
              <w:tab w:val="right" w:leader="dot" w:pos="8306"/>
            </w:tabs>
          </w:pPr>
          <w:hyperlink w:anchor="_Toc27871" w:history="1">
            <w:r>
              <w:rPr>
                <w:rFonts w:ascii="宋体" w:eastAsia="宋体" w:hAnsi="宋体" w:hint="eastAsia"/>
                <w:szCs w:val="21"/>
              </w:rPr>
              <w:t>2.5竞争态势分析</w:t>
            </w:r>
            <w:r>
              <w:tab/>
            </w:r>
            <w:r>
              <w:fldChar w:fldCharType="begin"/>
            </w:r>
            <w:r>
              <w:instrText xml:space="preserve"> PAGEREF _Toc27871 \h </w:instrText>
            </w:r>
            <w:r>
              <w:fldChar w:fldCharType="separate"/>
            </w:r>
            <w:r>
              <w:t>13</w:t>
            </w:r>
            <w:r>
              <w:fldChar w:fldCharType="end"/>
            </w:r>
          </w:hyperlink>
        </w:p>
        <w:p w:rsidR="00B70185" w:rsidRDefault="00000000">
          <w:pPr>
            <w:pStyle w:val="TOC1"/>
            <w:tabs>
              <w:tab w:val="right" w:leader="dot" w:pos="8306"/>
            </w:tabs>
          </w:pPr>
          <w:hyperlink w:anchor="_Toc8500" w:history="1">
            <w:r>
              <w:rPr>
                <w:rFonts w:ascii="黑体" w:eastAsia="黑体" w:hAnsi="黑体" w:hint="eastAsia"/>
              </w:rPr>
              <w:t>3.核心产品与技术</w:t>
            </w:r>
            <w:r>
              <w:tab/>
            </w:r>
            <w:r>
              <w:fldChar w:fldCharType="begin"/>
            </w:r>
            <w:r>
              <w:instrText xml:space="preserve"> PAGEREF _Toc8500 \h </w:instrText>
            </w:r>
            <w:r>
              <w:fldChar w:fldCharType="separate"/>
            </w:r>
            <w:r>
              <w:t>15</w:t>
            </w:r>
            <w:r>
              <w:fldChar w:fldCharType="end"/>
            </w:r>
          </w:hyperlink>
        </w:p>
        <w:p w:rsidR="00B70185" w:rsidRDefault="00000000">
          <w:pPr>
            <w:pStyle w:val="TOC2"/>
            <w:tabs>
              <w:tab w:val="right" w:leader="dot" w:pos="8306"/>
            </w:tabs>
          </w:pPr>
          <w:hyperlink w:anchor="_Toc1958" w:history="1">
            <w:r>
              <w:rPr>
                <w:rFonts w:ascii="宋体" w:eastAsia="宋体" w:hAnsi="宋体" w:hint="eastAsia"/>
                <w:szCs w:val="21"/>
              </w:rPr>
              <w:t>3.1产品概述与定位</w:t>
            </w:r>
            <w:r>
              <w:tab/>
            </w:r>
            <w:r>
              <w:fldChar w:fldCharType="begin"/>
            </w:r>
            <w:r>
              <w:instrText xml:space="preserve"> PAGEREF _Toc1958 \h </w:instrText>
            </w:r>
            <w:r>
              <w:fldChar w:fldCharType="separate"/>
            </w:r>
            <w:r>
              <w:t>15</w:t>
            </w:r>
            <w:r>
              <w:fldChar w:fldCharType="end"/>
            </w:r>
          </w:hyperlink>
        </w:p>
        <w:p w:rsidR="00B70185" w:rsidRDefault="00000000">
          <w:pPr>
            <w:pStyle w:val="TOC3"/>
            <w:tabs>
              <w:tab w:val="right" w:leader="dot" w:pos="8306"/>
            </w:tabs>
          </w:pPr>
          <w:hyperlink w:anchor="_Toc25966" w:history="1">
            <w:r>
              <w:rPr>
                <w:rFonts w:ascii="宋体" w:eastAsia="宋体" w:hAnsi="宋体" w:hint="eastAsia"/>
                <w:bCs/>
                <w:szCs w:val="32"/>
              </w:rPr>
              <w:t>3.1.1 产品概述</w:t>
            </w:r>
            <w:r>
              <w:tab/>
            </w:r>
            <w:r>
              <w:fldChar w:fldCharType="begin"/>
            </w:r>
            <w:r>
              <w:instrText xml:space="preserve"> PAGEREF _Toc25966 \h </w:instrText>
            </w:r>
            <w:r>
              <w:fldChar w:fldCharType="separate"/>
            </w:r>
            <w:r>
              <w:t>15</w:t>
            </w:r>
            <w:r>
              <w:fldChar w:fldCharType="end"/>
            </w:r>
          </w:hyperlink>
        </w:p>
        <w:p w:rsidR="00B70185" w:rsidRDefault="00000000">
          <w:pPr>
            <w:pStyle w:val="TOC3"/>
            <w:tabs>
              <w:tab w:val="right" w:leader="dot" w:pos="8306"/>
            </w:tabs>
          </w:pPr>
          <w:hyperlink w:anchor="_Toc1639" w:history="1">
            <w:r>
              <w:rPr>
                <w:rFonts w:ascii="宋体" w:eastAsia="宋体" w:hAnsi="宋体" w:hint="eastAsia"/>
                <w:bCs/>
                <w:szCs w:val="32"/>
              </w:rPr>
              <w:t>3.1.2 核心目标群体</w:t>
            </w:r>
            <w:r>
              <w:tab/>
            </w:r>
            <w:r>
              <w:fldChar w:fldCharType="begin"/>
            </w:r>
            <w:r>
              <w:instrText xml:space="preserve"> PAGEREF _Toc1639 \h </w:instrText>
            </w:r>
            <w:r>
              <w:fldChar w:fldCharType="separate"/>
            </w:r>
            <w:r>
              <w:t>15</w:t>
            </w:r>
            <w:r>
              <w:fldChar w:fldCharType="end"/>
            </w:r>
          </w:hyperlink>
        </w:p>
        <w:p w:rsidR="00B70185" w:rsidRDefault="00000000">
          <w:pPr>
            <w:pStyle w:val="TOC2"/>
            <w:tabs>
              <w:tab w:val="right" w:leader="dot" w:pos="8306"/>
            </w:tabs>
          </w:pPr>
          <w:hyperlink w:anchor="_Toc27514" w:history="1">
            <w:r>
              <w:rPr>
                <w:rFonts w:ascii="宋体" w:eastAsia="宋体" w:hAnsi="宋体" w:hint="eastAsia"/>
                <w:szCs w:val="21"/>
              </w:rPr>
              <w:t>3.2核心功能与技术</w:t>
            </w:r>
            <w:r>
              <w:rPr>
                <w:rFonts w:hint="eastAsia"/>
                <w:highlight w:val="yellow"/>
              </w:rPr>
              <w:t>（插图：功能全景图（对话引擎—检索—可视化—文书—导出））</w:t>
            </w:r>
            <w:r>
              <w:tab/>
            </w:r>
            <w:r>
              <w:fldChar w:fldCharType="begin"/>
            </w:r>
            <w:r>
              <w:instrText xml:space="preserve"> PAGEREF _Toc27514 \h </w:instrText>
            </w:r>
            <w:r>
              <w:fldChar w:fldCharType="separate"/>
            </w:r>
            <w:r>
              <w:t>15</w:t>
            </w:r>
            <w:r>
              <w:fldChar w:fldCharType="end"/>
            </w:r>
          </w:hyperlink>
        </w:p>
        <w:p w:rsidR="00B70185" w:rsidRDefault="00000000">
          <w:pPr>
            <w:pStyle w:val="TOC3"/>
            <w:tabs>
              <w:tab w:val="right" w:leader="dot" w:pos="8306"/>
            </w:tabs>
          </w:pPr>
          <w:hyperlink w:anchor="_Toc16251" w:history="1">
            <w:r>
              <w:rPr>
                <w:rFonts w:ascii="宋体" w:eastAsia="宋体" w:hAnsi="宋体"/>
                <w:bCs/>
                <w:szCs w:val="32"/>
              </w:rPr>
              <w:t>3.2.1 双模式智能交互引擎</w:t>
            </w:r>
            <w:r>
              <w:tab/>
            </w:r>
            <w:r>
              <w:fldChar w:fldCharType="begin"/>
            </w:r>
            <w:r>
              <w:instrText xml:space="preserve"> PAGEREF _Toc16251 \h </w:instrText>
            </w:r>
            <w:r>
              <w:fldChar w:fldCharType="separate"/>
            </w:r>
            <w:r>
              <w:t>15</w:t>
            </w:r>
            <w:r>
              <w:fldChar w:fldCharType="end"/>
            </w:r>
          </w:hyperlink>
        </w:p>
        <w:p w:rsidR="00B70185" w:rsidRDefault="00000000">
          <w:pPr>
            <w:pStyle w:val="TOC3"/>
            <w:tabs>
              <w:tab w:val="right" w:leader="dot" w:pos="8306"/>
            </w:tabs>
          </w:pPr>
          <w:hyperlink w:anchor="_Toc26684" w:history="1">
            <w:r>
              <w:rPr>
                <w:rFonts w:ascii="宋体" w:eastAsia="宋体" w:hAnsi="宋体"/>
                <w:bCs/>
                <w:szCs w:val="32"/>
              </w:rPr>
              <w:t>3.2.2 多维度精准检索系统</w:t>
            </w:r>
            <w:r>
              <w:tab/>
            </w:r>
            <w:r>
              <w:fldChar w:fldCharType="begin"/>
            </w:r>
            <w:r>
              <w:instrText xml:space="preserve"> PAGEREF _Toc26684 \h </w:instrText>
            </w:r>
            <w:r>
              <w:fldChar w:fldCharType="separate"/>
            </w:r>
            <w:r>
              <w:t>16</w:t>
            </w:r>
            <w:r>
              <w:fldChar w:fldCharType="end"/>
            </w:r>
          </w:hyperlink>
        </w:p>
        <w:p w:rsidR="00B70185" w:rsidRDefault="00000000">
          <w:pPr>
            <w:pStyle w:val="TOC3"/>
            <w:tabs>
              <w:tab w:val="right" w:leader="dot" w:pos="8306"/>
            </w:tabs>
          </w:pPr>
          <w:hyperlink w:anchor="_Toc13403" w:history="1">
            <w:r>
              <w:rPr>
                <w:rFonts w:ascii="宋体" w:eastAsia="宋体" w:hAnsi="宋体"/>
                <w:bCs/>
                <w:szCs w:val="32"/>
              </w:rPr>
              <w:t>3.2.3 自动化文书生成</w:t>
            </w:r>
            <w:r>
              <w:tab/>
            </w:r>
            <w:r>
              <w:fldChar w:fldCharType="begin"/>
            </w:r>
            <w:r>
              <w:instrText xml:space="preserve"> PAGEREF _Toc13403 \h </w:instrText>
            </w:r>
            <w:r>
              <w:fldChar w:fldCharType="separate"/>
            </w:r>
            <w:r>
              <w:t>17</w:t>
            </w:r>
            <w:r>
              <w:fldChar w:fldCharType="end"/>
            </w:r>
          </w:hyperlink>
        </w:p>
        <w:p w:rsidR="00B70185" w:rsidRDefault="00000000">
          <w:pPr>
            <w:pStyle w:val="TOC3"/>
            <w:tabs>
              <w:tab w:val="right" w:leader="dot" w:pos="8306"/>
            </w:tabs>
          </w:pPr>
          <w:hyperlink w:anchor="_Toc7886" w:history="1">
            <w:r>
              <w:rPr>
                <w:rFonts w:ascii="宋体" w:eastAsia="宋体" w:hAnsi="宋体"/>
                <w:bCs/>
                <w:szCs w:val="32"/>
              </w:rPr>
              <w:t>3.2.4 推理逻辑可视化</w:t>
            </w:r>
            <w:r>
              <w:tab/>
            </w:r>
            <w:r>
              <w:fldChar w:fldCharType="begin"/>
            </w:r>
            <w:r>
              <w:instrText xml:space="preserve"> PAGEREF _Toc7886 \h </w:instrText>
            </w:r>
            <w:r>
              <w:fldChar w:fldCharType="separate"/>
            </w:r>
            <w:r>
              <w:t>17</w:t>
            </w:r>
            <w:r>
              <w:fldChar w:fldCharType="end"/>
            </w:r>
          </w:hyperlink>
        </w:p>
        <w:p w:rsidR="00B70185" w:rsidRDefault="00000000">
          <w:pPr>
            <w:pStyle w:val="TOC2"/>
            <w:tabs>
              <w:tab w:val="right" w:leader="dot" w:pos="8306"/>
            </w:tabs>
          </w:pPr>
          <w:hyperlink w:anchor="_Toc19761" w:history="1">
            <w:r>
              <w:rPr>
                <w:rFonts w:ascii="宋体" w:eastAsia="宋体" w:hAnsi="宋体" w:hint="eastAsia"/>
                <w:szCs w:val="21"/>
              </w:rPr>
              <w:t>3</w:t>
            </w:r>
            <w:r>
              <w:rPr>
                <w:rFonts w:ascii="宋体" w:eastAsia="宋体" w:hAnsi="宋体"/>
                <w:szCs w:val="21"/>
              </w:rPr>
              <w:t>.3 技术架构与核心优势</w:t>
            </w:r>
            <w:r>
              <w:tab/>
            </w:r>
            <w:r>
              <w:fldChar w:fldCharType="begin"/>
            </w:r>
            <w:r>
              <w:instrText xml:space="preserve"> PAGEREF _Toc19761 \h </w:instrText>
            </w:r>
            <w:r>
              <w:fldChar w:fldCharType="separate"/>
            </w:r>
            <w:r>
              <w:t>17</w:t>
            </w:r>
            <w:r>
              <w:fldChar w:fldCharType="end"/>
            </w:r>
          </w:hyperlink>
        </w:p>
        <w:p w:rsidR="00B70185" w:rsidRDefault="00000000">
          <w:pPr>
            <w:pStyle w:val="TOC3"/>
            <w:tabs>
              <w:tab w:val="right" w:leader="dot" w:pos="8306"/>
            </w:tabs>
          </w:pPr>
          <w:hyperlink w:anchor="_Toc10817" w:history="1">
            <w:r>
              <w:rPr>
                <w:rFonts w:ascii="宋体" w:eastAsia="宋体" w:hAnsi="宋体" w:hint="eastAsia"/>
                <w:bCs/>
                <w:szCs w:val="32"/>
              </w:rPr>
              <w:t>3</w:t>
            </w:r>
            <w:r>
              <w:rPr>
                <w:rFonts w:ascii="宋体" w:eastAsia="宋体" w:hAnsi="宋体"/>
                <w:bCs/>
                <w:szCs w:val="32"/>
              </w:rPr>
              <w:t>.3.1 总体技术架构</w:t>
            </w:r>
            <w:r>
              <w:tab/>
            </w:r>
            <w:r>
              <w:fldChar w:fldCharType="begin"/>
            </w:r>
            <w:r>
              <w:instrText xml:space="preserve"> PAGEREF _Toc10817 \h </w:instrText>
            </w:r>
            <w:r>
              <w:fldChar w:fldCharType="separate"/>
            </w:r>
            <w:r>
              <w:t>17</w:t>
            </w:r>
            <w:r>
              <w:fldChar w:fldCharType="end"/>
            </w:r>
          </w:hyperlink>
        </w:p>
        <w:p w:rsidR="00B70185" w:rsidRDefault="00000000">
          <w:pPr>
            <w:pStyle w:val="TOC3"/>
            <w:tabs>
              <w:tab w:val="right" w:leader="dot" w:pos="8306"/>
            </w:tabs>
          </w:pPr>
          <w:hyperlink w:anchor="_Toc1563" w:history="1">
            <w:r>
              <w:rPr>
                <w:rFonts w:ascii="宋体" w:eastAsia="宋体" w:hAnsi="宋体" w:hint="eastAsia"/>
                <w:bCs/>
                <w:szCs w:val="32"/>
              </w:rPr>
              <w:t>3.3.2关键技术创新</w:t>
            </w:r>
            <w:r>
              <w:tab/>
            </w:r>
            <w:r>
              <w:fldChar w:fldCharType="begin"/>
            </w:r>
            <w:r>
              <w:instrText xml:space="preserve"> PAGEREF _Toc1563 \h </w:instrText>
            </w:r>
            <w:r>
              <w:fldChar w:fldCharType="separate"/>
            </w:r>
            <w:r>
              <w:t>18</w:t>
            </w:r>
            <w:r>
              <w:fldChar w:fldCharType="end"/>
            </w:r>
          </w:hyperlink>
        </w:p>
        <w:p w:rsidR="00B70185" w:rsidRDefault="00000000">
          <w:pPr>
            <w:pStyle w:val="TOC2"/>
            <w:tabs>
              <w:tab w:val="right" w:leader="dot" w:pos="8306"/>
            </w:tabs>
          </w:pPr>
          <w:hyperlink w:anchor="_Toc22108" w:history="1">
            <w:r>
              <w:rPr>
                <w:rFonts w:ascii="宋体" w:eastAsia="宋体" w:hAnsi="宋体" w:hint="eastAsia"/>
                <w:szCs w:val="21"/>
              </w:rPr>
              <w:t>3.4 产品迭代与研发规划</w:t>
            </w:r>
            <w:r>
              <w:tab/>
            </w:r>
            <w:r>
              <w:fldChar w:fldCharType="begin"/>
            </w:r>
            <w:r>
              <w:instrText xml:space="preserve"> PAGEREF _Toc22108 \h </w:instrText>
            </w:r>
            <w:r>
              <w:fldChar w:fldCharType="separate"/>
            </w:r>
            <w:r>
              <w:t>19</w:t>
            </w:r>
            <w:r>
              <w:fldChar w:fldCharType="end"/>
            </w:r>
          </w:hyperlink>
        </w:p>
        <w:p w:rsidR="00B70185" w:rsidRDefault="00000000">
          <w:pPr>
            <w:pStyle w:val="TOC3"/>
            <w:tabs>
              <w:tab w:val="right" w:leader="dot" w:pos="8306"/>
            </w:tabs>
          </w:pPr>
          <w:hyperlink w:anchor="_Toc17241" w:history="1">
            <w:r>
              <w:rPr>
                <w:rFonts w:ascii="宋体" w:eastAsia="宋体" w:hAnsi="宋体" w:hint="eastAsia"/>
                <w:bCs/>
                <w:szCs w:val="32"/>
              </w:rPr>
              <w:t>3.4.1阶段一：核心架构搭建与V1.0交付（已完成）</w:t>
            </w:r>
            <w:r>
              <w:tab/>
            </w:r>
            <w:r>
              <w:fldChar w:fldCharType="begin"/>
            </w:r>
            <w:r>
              <w:instrText xml:space="preserve"> PAGEREF _Toc17241 \h </w:instrText>
            </w:r>
            <w:r>
              <w:fldChar w:fldCharType="separate"/>
            </w:r>
            <w:r>
              <w:t>19</w:t>
            </w:r>
            <w:r>
              <w:fldChar w:fldCharType="end"/>
            </w:r>
          </w:hyperlink>
        </w:p>
        <w:p w:rsidR="00B70185" w:rsidRDefault="00000000">
          <w:pPr>
            <w:pStyle w:val="TOC3"/>
            <w:tabs>
              <w:tab w:val="right" w:leader="dot" w:pos="8306"/>
            </w:tabs>
          </w:pPr>
          <w:hyperlink w:anchor="_Toc1942" w:history="1">
            <w:r>
              <w:rPr>
                <w:rFonts w:ascii="宋体" w:eastAsia="宋体" w:hAnsi="宋体" w:hint="eastAsia"/>
                <w:bCs/>
                <w:szCs w:val="32"/>
              </w:rPr>
              <w:t>3.4.2阶段二：系统深度迭代（V1.1 - V1.5 近期规划）</w:t>
            </w:r>
            <w:r>
              <w:tab/>
            </w:r>
            <w:r>
              <w:fldChar w:fldCharType="begin"/>
            </w:r>
            <w:r>
              <w:instrText xml:space="preserve"> PAGEREF _Toc1942 \h </w:instrText>
            </w:r>
            <w:r>
              <w:fldChar w:fldCharType="separate"/>
            </w:r>
            <w:r>
              <w:t>19</w:t>
            </w:r>
            <w:r>
              <w:fldChar w:fldCharType="end"/>
            </w:r>
          </w:hyperlink>
        </w:p>
        <w:p w:rsidR="00B70185" w:rsidRDefault="00000000">
          <w:pPr>
            <w:pStyle w:val="TOC3"/>
            <w:tabs>
              <w:tab w:val="right" w:leader="dot" w:pos="8306"/>
            </w:tabs>
          </w:pPr>
          <w:hyperlink w:anchor="_Toc27634" w:history="1">
            <w:r>
              <w:rPr>
                <w:rFonts w:ascii="宋体" w:eastAsia="宋体" w:hAnsi="宋体" w:hint="eastAsia"/>
                <w:bCs/>
                <w:szCs w:val="32"/>
              </w:rPr>
              <w:t>3.4.3阶段三：实地测试与市场化验证</w:t>
            </w:r>
            <w:r>
              <w:tab/>
            </w:r>
            <w:r>
              <w:fldChar w:fldCharType="begin"/>
            </w:r>
            <w:r>
              <w:instrText xml:space="preserve"> PAGEREF _Toc27634 \h </w:instrText>
            </w:r>
            <w:r>
              <w:fldChar w:fldCharType="separate"/>
            </w:r>
            <w:r>
              <w:t>20</w:t>
            </w:r>
            <w:r>
              <w:fldChar w:fldCharType="end"/>
            </w:r>
          </w:hyperlink>
        </w:p>
        <w:p w:rsidR="00B70185" w:rsidRDefault="00000000">
          <w:pPr>
            <w:pStyle w:val="TOC2"/>
            <w:tabs>
              <w:tab w:val="right" w:leader="dot" w:pos="8306"/>
            </w:tabs>
          </w:pPr>
          <w:hyperlink w:anchor="_Toc29593" w:history="1">
            <w:r>
              <w:rPr>
                <w:rFonts w:ascii="宋体" w:eastAsia="宋体" w:hAnsi="宋体" w:hint="eastAsia"/>
                <w:szCs w:val="21"/>
              </w:rPr>
              <w:t>3.5 核心竞争优势对比</w:t>
            </w:r>
            <w:r>
              <w:tab/>
            </w:r>
            <w:r>
              <w:fldChar w:fldCharType="begin"/>
            </w:r>
            <w:r>
              <w:instrText xml:space="preserve"> PAGEREF _Toc29593 \h </w:instrText>
            </w:r>
            <w:r>
              <w:fldChar w:fldCharType="separate"/>
            </w:r>
            <w:r>
              <w:t>20</w:t>
            </w:r>
            <w:r>
              <w:fldChar w:fldCharType="end"/>
            </w:r>
          </w:hyperlink>
        </w:p>
        <w:p w:rsidR="00B70185" w:rsidRDefault="00000000">
          <w:pPr>
            <w:pStyle w:val="TOC1"/>
            <w:tabs>
              <w:tab w:val="right" w:leader="dot" w:pos="8306"/>
            </w:tabs>
          </w:pPr>
          <w:hyperlink w:anchor="_Toc9888" w:history="1">
            <w:r>
              <w:rPr>
                <w:rFonts w:ascii="黑体" w:eastAsia="黑体" w:hAnsi="黑体" w:hint="eastAsia"/>
              </w:rPr>
              <w:t>4.商业模式与营销策略</w:t>
            </w:r>
            <w:r>
              <w:tab/>
            </w:r>
            <w:r>
              <w:fldChar w:fldCharType="begin"/>
            </w:r>
            <w:r>
              <w:instrText xml:space="preserve"> PAGEREF _Toc9888 \h </w:instrText>
            </w:r>
            <w:r>
              <w:fldChar w:fldCharType="separate"/>
            </w:r>
            <w:r>
              <w:t>20</w:t>
            </w:r>
            <w:r>
              <w:fldChar w:fldCharType="end"/>
            </w:r>
          </w:hyperlink>
        </w:p>
        <w:p w:rsidR="00B70185" w:rsidRDefault="00000000">
          <w:pPr>
            <w:pStyle w:val="TOC2"/>
            <w:tabs>
              <w:tab w:val="right" w:leader="dot" w:pos="8306"/>
            </w:tabs>
          </w:pPr>
          <w:hyperlink w:anchor="_Toc14089" w:history="1">
            <w:r>
              <w:rPr>
                <w:rFonts w:ascii="宋体" w:eastAsia="宋体" w:hAnsi="宋体" w:hint="eastAsia"/>
                <w:szCs w:val="21"/>
              </w:rPr>
              <w:t>4.1 盈利模式</w:t>
            </w:r>
            <w:r>
              <w:tab/>
            </w:r>
            <w:r>
              <w:fldChar w:fldCharType="begin"/>
            </w:r>
            <w:r>
              <w:instrText xml:space="preserve"> PAGEREF _Toc14089 \h </w:instrText>
            </w:r>
            <w:r>
              <w:fldChar w:fldCharType="separate"/>
            </w:r>
            <w:r>
              <w:t>20</w:t>
            </w:r>
            <w:r>
              <w:fldChar w:fldCharType="end"/>
            </w:r>
          </w:hyperlink>
        </w:p>
        <w:p w:rsidR="00B70185" w:rsidRDefault="00000000">
          <w:pPr>
            <w:pStyle w:val="TOC3"/>
            <w:tabs>
              <w:tab w:val="right" w:leader="dot" w:pos="8306"/>
            </w:tabs>
          </w:pPr>
          <w:hyperlink w:anchor="_Toc13057" w:history="1">
            <w:r>
              <w:rPr>
                <w:rFonts w:ascii="宋体" w:eastAsia="宋体" w:hAnsi="宋体" w:hint="eastAsia"/>
                <w:bCs/>
                <w:szCs w:val="32"/>
              </w:rPr>
              <w:t>4.1.1 订阅服务</w:t>
            </w:r>
            <w:r>
              <w:tab/>
            </w:r>
            <w:r>
              <w:fldChar w:fldCharType="begin"/>
            </w:r>
            <w:r>
              <w:instrText xml:space="preserve"> PAGEREF _Toc13057 \h </w:instrText>
            </w:r>
            <w:r>
              <w:fldChar w:fldCharType="separate"/>
            </w:r>
            <w:r>
              <w:t>21</w:t>
            </w:r>
            <w:r>
              <w:fldChar w:fldCharType="end"/>
            </w:r>
          </w:hyperlink>
        </w:p>
        <w:p w:rsidR="00B70185" w:rsidRDefault="00000000">
          <w:pPr>
            <w:pStyle w:val="TOC3"/>
            <w:tabs>
              <w:tab w:val="right" w:leader="dot" w:pos="8306"/>
            </w:tabs>
          </w:pPr>
          <w:hyperlink w:anchor="_Toc31342" w:history="1">
            <w:r>
              <w:rPr>
                <w:rFonts w:ascii="宋体" w:eastAsia="宋体" w:hAnsi="宋体" w:hint="eastAsia"/>
                <w:bCs/>
                <w:szCs w:val="32"/>
              </w:rPr>
              <w:t>4.1.2 增值服务</w:t>
            </w:r>
            <w:r>
              <w:tab/>
            </w:r>
            <w:r>
              <w:fldChar w:fldCharType="begin"/>
            </w:r>
            <w:r>
              <w:instrText xml:space="preserve"> PAGEREF _Toc31342 \h </w:instrText>
            </w:r>
            <w:r>
              <w:fldChar w:fldCharType="separate"/>
            </w:r>
            <w:r>
              <w:t>21</w:t>
            </w:r>
            <w:r>
              <w:fldChar w:fldCharType="end"/>
            </w:r>
          </w:hyperlink>
        </w:p>
        <w:p w:rsidR="00B70185" w:rsidRDefault="00000000">
          <w:pPr>
            <w:pStyle w:val="TOC3"/>
            <w:tabs>
              <w:tab w:val="right" w:leader="dot" w:pos="8306"/>
            </w:tabs>
          </w:pPr>
          <w:hyperlink w:anchor="_Toc26972" w:history="1">
            <w:r>
              <w:rPr>
                <w:rFonts w:ascii="宋体" w:eastAsia="宋体" w:hAnsi="宋体" w:hint="eastAsia"/>
                <w:bCs/>
                <w:szCs w:val="32"/>
              </w:rPr>
              <w:t>4.1.3 开放平台/API授权</w:t>
            </w:r>
            <w:r>
              <w:tab/>
            </w:r>
            <w:r>
              <w:fldChar w:fldCharType="begin"/>
            </w:r>
            <w:r>
              <w:instrText xml:space="preserve"> PAGEREF _Toc26972 \h </w:instrText>
            </w:r>
            <w:r>
              <w:fldChar w:fldCharType="separate"/>
            </w:r>
            <w:r>
              <w:t>22</w:t>
            </w:r>
            <w:r>
              <w:fldChar w:fldCharType="end"/>
            </w:r>
          </w:hyperlink>
        </w:p>
        <w:p w:rsidR="00B70185" w:rsidRDefault="00000000">
          <w:pPr>
            <w:pStyle w:val="TOC2"/>
            <w:tabs>
              <w:tab w:val="right" w:leader="dot" w:pos="8306"/>
            </w:tabs>
          </w:pPr>
          <w:hyperlink w:anchor="_Toc10086" w:history="1">
            <w:r>
              <w:rPr>
                <w:rFonts w:ascii="宋体" w:eastAsia="宋体" w:hAnsi="宋体" w:hint="eastAsia"/>
                <w:szCs w:val="21"/>
              </w:rPr>
              <w:t>4.2 营销策略</w:t>
            </w:r>
            <w:r>
              <w:tab/>
            </w:r>
            <w:r>
              <w:fldChar w:fldCharType="begin"/>
            </w:r>
            <w:r>
              <w:instrText xml:space="preserve"> PAGEREF _Toc10086 \h </w:instrText>
            </w:r>
            <w:r>
              <w:fldChar w:fldCharType="separate"/>
            </w:r>
            <w:r>
              <w:t>22</w:t>
            </w:r>
            <w:r>
              <w:fldChar w:fldCharType="end"/>
            </w:r>
          </w:hyperlink>
        </w:p>
        <w:p w:rsidR="00B70185" w:rsidRDefault="00000000">
          <w:pPr>
            <w:pStyle w:val="TOC3"/>
            <w:tabs>
              <w:tab w:val="right" w:leader="dot" w:pos="8306"/>
            </w:tabs>
          </w:pPr>
          <w:hyperlink w:anchor="_Toc32121" w:history="1">
            <w:r>
              <w:rPr>
                <w:rFonts w:ascii="宋体" w:eastAsia="宋体" w:hAnsi="宋体" w:hint="eastAsia"/>
                <w:bCs/>
                <w:szCs w:val="32"/>
              </w:rPr>
              <w:t>4.2.1 线上营销</w:t>
            </w:r>
            <w:r>
              <w:tab/>
            </w:r>
            <w:r>
              <w:fldChar w:fldCharType="begin"/>
            </w:r>
            <w:r>
              <w:instrText xml:space="preserve"> PAGEREF _Toc32121 \h </w:instrText>
            </w:r>
            <w:r>
              <w:fldChar w:fldCharType="separate"/>
            </w:r>
            <w:r>
              <w:t>22</w:t>
            </w:r>
            <w:r>
              <w:fldChar w:fldCharType="end"/>
            </w:r>
          </w:hyperlink>
        </w:p>
        <w:p w:rsidR="00B70185" w:rsidRDefault="00000000">
          <w:pPr>
            <w:pStyle w:val="TOC3"/>
            <w:tabs>
              <w:tab w:val="right" w:leader="dot" w:pos="8306"/>
            </w:tabs>
          </w:pPr>
          <w:hyperlink w:anchor="_Toc30872" w:history="1">
            <w:r>
              <w:rPr>
                <w:rFonts w:ascii="宋体" w:eastAsia="宋体" w:hAnsi="宋体" w:hint="eastAsia"/>
                <w:bCs/>
                <w:szCs w:val="32"/>
              </w:rPr>
              <w:t>4.2.2 线下营销</w:t>
            </w:r>
            <w:r>
              <w:tab/>
            </w:r>
            <w:r>
              <w:fldChar w:fldCharType="begin"/>
            </w:r>
            <w:r>
              <w:instrText xml:space="preserve"> PAGEREF _Toc30872 \h </w:instrText>
            </w:r>
            <w:r>
              <w:fldChar w:fldCharType="separate"/>
            </w:r>
            <w:r>
              <w:t>22</w:t>
            </w:r>
            <w:r>
              <w:fldChar w:fldCharType="end"/>
            </w:r>
          </w:hyperlink>
        </w:p>
        <w:p w:rsidR="00B70185" w:rsidRDefault="00000000">
          <w:pPr>
            <w:pStyle w:val="TOC2"/>
            <w:tabs>
              <w:tab w:val="right" w:leader="dot" w:pos="8306"/>
            </w:tabs>
          </w:pPr>
          <w:hyperlink w:anchor="_Toc17764" w:history="1">
            <w:r>
              <w:rPr>
                <w:rFonts w:ascii="宋体" w:eastAsia="宋体" w:hAnsi="宋体" w:hint="eastAsia"/>
                <w:szCs w:val="21"/>
              </w:rPr>
              <w:t>4.3 用户留存与增长策略。</w:t>
            </w:r>
            <w:r>
              <w:tab/>
            </w:r>
            <w:r>
              <w:fldChar w:fldCharType="begin"/>
            </w:r>
            <w:r>
              <w:instrText xml:space="preserve"> PAGEREF _Toc17764 \h </w:instrText>
            </w:r>
            <w:r>
              <w:fldChar w:fldCharType="separate"/>
            </w:r>
            <w:r>
              <w:t>22</w:t>
            </w:r>
            <w:r>
              <w:fldChar w:fldCharType="end"/>
            </w:r>
          </w:hyperlink>
        </w:p>
        <w:p w:rsidR="00B70185" w:rsidRDefault="00000000">
          <w:pPr>
            <w:pStyle w:val="TOC1"/>
            <w:tabs>
              <w:tab w:val="right" w:leader="dot" w:pos="8306"/>
            </w:tabs>
          </w:pPr>
          <w:hyperlink w:anchor="_Toc16886" w:history="1">
            <w:r>
              <w:rPr>
                <w:rFonts w:ascii="黑体" w:eastAsia="黑体" w:hAnsi="黑体" w:hint="eastAsia"/>
              </w:rPr>
              <w:t>5.公司与团队</w:t>
            </w:r>
            <w:r>
              <w:tab/>
            </w:r>
            <w:r>
              <w:fldChar w:fldCharType="begin"/>
            </w:r>
            <w:r>
              <w:instrText xml:space="preserve"> PAGEREF _Toc16886 \h </w:instrText>
            </w:r>
            <w:r>
              <w:fldChar w:fldCharType="separate"/>
            </w:r>
            <w:r>
              <w:t>23</w:t>
            </w:r>
            <w:r>
              <w:fldChar w:fldCharType="end"/>
            </w:r>
          </w:hyperlink>
        </w:p>
        <w:p w:rsidR="00B70185" w:rsidRDefault="00000000">
          <w:pPr>
            <w:pStyle w:val="TOC2"/>
            <w:tabs>
              <w:tab w:val="right" w:leader="dot" w:pos="8306"/>
            </w:tabs>
          </w:pPr>
          <w:hyperlink w:anchor="_Toc2830" w:history="1">
            <w:r>
              <w:rPr>
                <w:rFonts w:ascii="宋体" w:eastAsia="宋体" w:hAnsi="宋体" w:hint="eastAsia"/>
                <w:szCs w:val="21"/>
              </w:rPr>
              <w:t>5.1公司目简介</w:t>
            </w:r>
            <w:r>
              <w:tab/>
            </w:r>
            <w:r>
              <w:fldChar w:fldCharType="begin"/>
            </w:r>
            <w:r>
              <w:instrText xml:space="preserve"> PAGEREF _Toc2830 \h </w:instrText>
            </w:r>
            <w:r>
              <w:fldChar w:fldCharType="separate"/>
            </w:r>
            <w:r>
              <w:t>23</w:t>
            </w:r>
            <w:r>
              <w:fldChar w:fldCharType="end"/>
            </w:r>
          </w:hyperlink>
        </w:p>
        <w:p w:rsidR="00B70185" w:rsidRDefault="00000000">
          <w:pPr>
            <w:pStyle w:val="TOC2"/>
            <w:tabs>
              <w:tab w:val="right" w:leader="dot" w:pos="8306"/>
            </w:tabs>
          </w:pPr>
          <w:hyperlink w:anchor="_Toc31823" w:history="1">
            <w:r>
              <w:rPr>
                <w:rFonts w:ascii="宋体" w:eastAsia="宋体" w:hAnsi="宋体" w:hint="eastAsia"/>
                <w:szCs w:val="21"/>
              </w:rPr>
              <w:t>5.2组织架构</w:t>
            </w:r>
            <w:r>
              <w:tab/>
            </w:r>
            <w:r>
              <w:fldChar w:fldCharType="begin"/>
            </w:r>
            <w:r>
              <w:instrText xml:space="preserve"> PAGEREF _Toc31823 \h </w:instrText>
            </w:r>
            <w:r>
              <w:fldChar w:fldCharType="separate"/>
            </w:r>
            <w:r>
              <w:t>24</w:t>
            </w:r>
            <w:r>
              <w:fldChar w:fldCharType="end"/>
            </w:r>
          </w:hyperlink>
        </w:p>
        <w:p w:rsidR="00B70185" w:rsidRDefault="00000000">
          <w:pPr>
            <w:pStyle w:val="TOC3"/>
            <w:tabs>
              <w:tab w:val="right" w:leader="dot" w:pos="8306"/>
            </w:tabs>
          </w:pPr>
          <w:hyperlink w:anchor="_Toc26661" w:history="1">
            <w:r>
              <w:rPr>
                <w:rFonts w:ascii="宋体" w:eastAsia="宋体" w:hAnsi="宋体" w:hint="eastAsia"/>
                <w:bCs/>
                <w:szCs w:val="32"/>
              </w:rPr>
              <w:t>5.2.1初创期</w:t>
            </w:r>
            <w:r>
              <w:tab/>
            </w:r>
            <w:r>
              <w:fldChar w:fldCharType="begin"/>
            </w:r>
            <w:r>
              <w:instrText xml:space="preserve"> PAGEREF _Toc26661 \h </w:instrText>
            </w:r>
            <w:r>
              <w:fldChar w:fldCharType="separate"/>
            </w:r>
            <w:r>
              <w:t>24</w:t>
            </w:r>
            <w:r>
              <w:fldChar w:fldCharType="end"/>
            </w:r>
          </w:hyperlink>
        </w:p>
        <w:p w:rsidR="00B70185" w:rsidRDefault="00000000">
          <w:pPr>
            <w:pStyle w:val="TOC3"/>
            <w:tabs>
              <w:tab w:val="right" w:leader="dot" w:pos="8306"/>
            </w:tabs>
          </w:pPr>
          <w:hyperlink w:anchor="_Toc13894" w:history="1">
            <w:r>
              <w:rPr>
                <w:rFonts w:ascii="宋体" w:eastAsia="宋体" w:hAnsi="宋体" w:hint="eastAsia"/>
                <w:bCs/>
                <w:szCs w:val="32"/>
              </w:rPr>
              <w:t>5.2.2成熟期</w:t>
            </w:r>
            <w:r>
              <w:tab/>
            </w:r>
            <w:r>
              <w:fldChar w:fldCharType="begin"/>
            </w:r>
            <w:r>
              <w:instrText xml:space="preserve"> PAGEREF _Toc13894 \h </w:instrText>
            </w:r>
            <w:r>
              <w:fldChar w:fldCharType="separate"/>
            </w:r>
            <w:r>
              <w:t>25</w:t>
            </w:r>
            <w:r>
              <w:fldChar w:fldCharType="end"/>
            </w:r>
          </w:hyperlink>
        </w:p>
        <w:p w:rsidR="00B70185" w:rsidRDefault="00000000">
          <w:pPr>
            <w:pStyle w:val="TOC2"/>
            <w:tabs>
              <w:tab w:val="right" w:leader="dot" w:pos="8306"/>
            </w:tabs>
          </w:pPr>
          <w:hyperlink w:anchor="_Toc26024" w:history="1">
            <w:r>
              <w:rPr>
                <w:rFonts w:ascii="宋体" w:eastAsia="宋体" w:hAnsi="宋体" w:hint="eastAsia"/>
                <w:szCs w:val="21"/>
              </w:rPr>
              <w:t>5.3核心团队</w:t>
            </w:r>
            <w:r>
              <w:tab/>
            </w:r>
            <w:r>
              <w:fldChar w:fldCharType="begin"/>
            </w:r>
            <w:r>
              <w:instrText xml:space="preserve"> PAGEREF _Toc26024 \h </w:instrText>
            </w:r>
            <w:r>
              <w:fldChar w:fldCharType="separate"/>
            </w:r>
            <w:r>
              <w:t>25</w:t>
            </w:r>
            <w:r>
              <w:fldChar w:fldCharType="end"/>
            </w:r>
          </w:hyperlink>
        </w:p>
        <w:p w:rsidR="00B70185" w:rsidRDefault="00000000">
          <w:pPr>
            <w:pStyle w:val="TOC2"/>
            <w:tabs>
              <w:tab w:val="right" w:leader="dot" w:pos="8306"/>
            </w:tabs>
          </w:pPr>
          <w:hyperlink w:anchor="_Toc24101" w:history="1">
            <w:r>
              <w:rPr>
                <w:rFonts w:ascii="宋体" w:eastAsia="宋体" w:hAnsi="宋体" w:hint="eastAsia"/>
                <w:szCs w:val="21"/>
              </w:rPr>
              <w:t>5.4专家顾问与合作伙伴</w:t>
            </w:r>
            <w:r>
              <w:tab/>
            </w:r>
            <w:r>
              <w:fldChar w:fldCharType="begin"/>
            </w:r>
            <w:r>
              <w:instrText xml:space="preserve"> PAGEREF _Toc24101 \h </w:instrText>
            </w:r>
            <w:r>
              <w:fldChar w:fldCharType="separate"/>
            </w:r>
            <w:r>
              <w:t>27</w:t>
            </w:r>
            <w:r>
              <w:fldChar w:fldCharType="end"/>
            </w:r>
          </w:hyperlink>
        </w:p>
        <w:p w:rsidR="00B70185" w:rsidRDefault="00000000">
          <w:pPr>
            <w:pStyle w:val="TOC3"/>
            <w:tabs>
              <w:tab w:val="right" w:leader="dot" w:pos="8306"/>
            </w:tabs>
          </w:pPr>
          <w:hyperlink w:anchor="_Toc9458" w:history="1">
            <w:r>
              <w:rPr>
                <w:rFonts w:ascii="宋体" w:eastAsia="宋体" w:hAnsi="宋体" w:hint="eastAsia"/>
                <w:bCs/>
                <w:szCs w:val="32"/>
              </w:rPr>
              <w:t>5.4.1专家顾问</w:t>
            </w:r>
            <w:r>
              <w:tab/>
            </w:r>
            <w:r>
              <w:fldChar w:fldCharType="begin"/>
            </w:r>
            <w:r>
              <w:instrText xml:space="preserve"> PAGEREF _Toc9458 \h </w:instrText>
            </w:r>
            <w:r>
              <w:fldChar w:fldCharType="separate"/>
            </w:r>
            <w:r>
              <w:t>27</w:t>
            </w:r>
            <w:r>
              <w:fldChar w:fldCharType="end"/>
            </w:r>
          </w:hyperlink>
        </w:p>
        <w:p w:rsidR="00B70185" w:rsidRDefault="00000000">
          <w:pPr>
            <w:pStyle w:val="TOC3"/>
            <w:tabs>
              <w:tab w:val="right" w:leader="dot" w:pos="8306"/>
            </w:tabs>
          </w:pPr>
          <w:hyperlink w:anchor="_Toc13097" w:history="1">
            <w:r>
              <w:rPr>
                <w:rFonts w:ascii="宋体" w:eastAsia="宋体" w:hAnsi="宋体" w:hint="eastAsia"/>
                <w:bCs/>
                <w:szCs w:val="32"/>
              </w:rPr>
              <w:t>5.4.2核心合作伙伴</w:t>
            </w:r>
            <w:r>
              <w:tab/>
            </w:r>
            <w:r>
              <w:fldChar w:fldCharType="begin"/>
            </w:r>
            <w:r>
              <w:instrText xml:space="preserve"> PAGEREF _Toc13097 \h </w:instrText>
            </w:r>
            <w:r>
              <w:fldChar w:fldCharType="separate"/>
            </w:r>
            <w:r>
              <w:t>27</w:t>
            </w:r>
            <w:r>
              <w:fldChar w:fldCharType="end"/>
            </w:r>
          </w:hyperlink>
        </w:p>
        <w:p w:rsidR="00B70185" w:rsidRDefault="00000000">
          <w:pPr>
            <w:pStyle w:val="TOC1"/>
            <w:tabs>
              <w:tab w:val="right" w:leader="dot" w:pos="8306"/>
            </w:tabs>
          </w:pPr>
          <w:hyperlink w:anchor="_Toc18011" w:history="1">
            <w:r>
              <w:rPr>
                <w:rFonts w:ascii="黑体" w:eastAsia="黑体" w:hAnsi="黑体" w:hint="eastAsia"/>
              </w:rPr>
              <w:t>6.社会效益与项目成果</w:t>
            </w:r>
            <w:r>
              <w:tab/>
            </w:r>
            <w:r>
              <w:fldChar w:fldCharType="begin"/>
            </w:r>
            <w:r>
              <w:instrText xml:space="preserve"> PAGEREF _Toc18011 \h </w:instrText>
            </w:r>
            <w:r>
              <w:fldChar w:fldCharType="separate"/>
            </w:r>
            <w:r>
              <w:t>28</w:t>
            </w:r>
            <w:r>
              <w:fldChar w:fldCharType="end"/>
            </w:r>
          </w:hyperlink>
        </w:p>
        <w:p w:rsidR="00B70185" w:rsidRDefault="00000000">
          <w:pPr>
            <w:pStyle w:val="TOC2"/>
            <w:tabs>
              <w:tab w:val="right" w:leader="dot" w:pos="8306"/>
            </w:tabs>
          </w:pPr>
          <w:hyperlink w:anchor="_Toc25138" w:history="1">
            <w:r>
              <w:rPr>
                <w:rFonts w:ascii="宋体" w:eastAsia="宋体" w:hAnsi="宋体" w:hint="eastAsia"/>
                <w:szCs w:val="21"/>
              </w:rPr>
              <w:t>6.1普惠法律意义</w:t>
            </w:r>
            <w:r>
              <w:tab/>
            </w:r>
            <w:r>
              <w:fldChar w:fldCharType="begin"/>
            </w:r>
            <w:r>
              <w:instrText xml:space="preserve"> PAGEREF _Toc25138 \h </w:instrText>
            </w:r>
            <w:r>
              <w:fldChar w:fldCharType="separate"/>
            </w:r>
            <w:r>
              <w:t>28</w:t>
            </w:r>
            <w:r>
              <w:fldChar w:fldCharType="end"/>
            </w:r>
          </w:hyperlink>
        </w:p>
        <w:p w:rsidR="00B70185" w:rsidRDefault="00000000">
          <w:pPr>
            <w:pStyle w:val="TOC3"/>
            <w:tabs>
              <w:tab w:val="right" w:leader="dot" w:pos="8306"/>
            </w:tabs>
          </w:pPr>
          <w:hyperlink w:anchor="_Toc8604" w:history="1">
            <w:r>
              <w:rPr>
                <w:rFonts w:ascii="宋体" w:eastAsia="宋体" w:hAnsi="宋体" w:hint="eastAsia"/>
                <w:bCs/>
                <w:szCs w:val="32"/>
              </w:rPr>
              <w:t>6.1.1打破法律服务壁垒，促进社会公平正义</w:t>
            </w:r>
            <w:r>
              <w:tab/>
            </w:r>
            <w:r>
              <w:fldChar w:fldCharType="begin"/>
            </w:r>
            <w:r>
              <w:instrText xml:space="preserve"> PAGEREF _Toc8604 \h </w:instrText>
            </w:r>
            <w:r>
              <w:fldChar w:fldCharType="separate"/>
            </w:r>
            <w:r>
              <w:t>28</w:t>
            </w:r>
            <w:r>
              <w:fldChar w:fldCharType="end"/>
            </w:r>
          </w:hyperlink>
        </w:p>
        <w:p w:rsidR="00B70185" w:rsidRDefault="00000000">
          <w:pPr>
            <w:pStyle w:val="TOC3"/>
            <w:tabs>
              <w:tab w:val="right" w:leader="dot" w:pos="8306"/>
            </w:tabs>
          </w:pPr>
          <w:hyperlink w:anchor="_Toc12544" w:history="1">
            <w:r>
              <w:rPr>
                <w:rFonts w:ascii="宋体" w:eastAsia="宋体" w:hAnsi="宋体" w:hint="eastAsia"/>
                <w:bCs/>
                <w:szCs w:val="32"/>
              </w:rPr>
              <w:t>6.1.2提升全民法律素养，助力法治社会建设</w:t>
            </w:r>
            <w:r>
              <w:tab/>
            </w:r>
            <w:r>
              <w:fldChar w:fldCharType="begin"/>
            </w:r>
            <w:r>
              <w:instrText xml:space="preserve"> PAGEREF _Toc12544 \h </w:instrText>
            </w:r>
            <w:r>
              <w:fldChar w:fldCharType="separate"/>
            </w:r>
            <w:r>
              <w:t>28</w:t>
            </w:r>
            <w:r>
              <w:fldChar w:fldCharType="end"/>
            </w:r>
          </w:hyperlink>
        </w:p>
        <w:p w:rsidR="00B70185" w:rsidRDefault="00000000">
          <w:pPr>
            <w:pStyle w:val="TOC3"/>
            <w:tabs>
              <w:tab w:val="right" w:leader="dot" w:pos="8306"/>
            </w:tabs>
          </w:pPr>
          <w:hyperlink w:anchor="_Toc18073" w:history="1">
            <w:r>
              <w:rPr>
                <w:rFonts w:ascii="宋体" w:eastAsia="宋体" w:hAnsi="宋体" w:hint="eastAsia"/>
                <w:bCs/>
                <w:szCs w:val="32"/>
              </w:rPr>
              <w:t>6.1.3降低维权成本，提高纠纷解决效率</w:t>
            </w:r>
            <w:r>
              <w:tab/>
            </w:r>
            <w:r>
              <w:fldChar w:fldCharType="begin"/>
            </w:r>
            <w:r>
              <w:instrText xml:space="preserve"> PAGEREF _Toc18073 \h </w:instrText>
            </w:r>
            <w:r>
              <w:fldChar w:fldCharType="separate"/>
            </w:r>
            <w:r>
              <w:t>29</w:t>
            </w:r>
            <w:r>
              <w:fldChar w:fldCharType="end"/>
            </w:r>
          </w:hyperlink>
        </w:p>
        <w:p w:rsidR="00B70185" w:rsidRDefault="00000000">
          <w:pPr>
            <w:pStyle w:val="TOC2"/>
            <w:tabs>
              <w:tab w:val="right" w:leader="dot" w:pos="8306"/>
            </w:tabs>
          </w:pPr>
          <w:hyperlink w:anchor="_Toc29806" w:history="1">
            <w:r>
              <w:rPr>
                <w:rFonts w:ascii="宋体" w:eastAsia="宋体" w:hAnsi="宋体" w:hint="eastAsia"/>
                <w:szCs w:val="21"/>
              </w:rPr>
              <w:t>6.2预期社会产出</w:t>
            </w:r>
            <w:r>
              <w:tab/>
            </w:r>
            <w:r>
              <w:fldChar w:fldCharType="begin"/>
            </w:r>
            <w:r>
              <w:instrText xml:space="preserve"> PAGEREF _Toc29806 \h </w:instrText>
            </w:r>
            <w:r>
              <w:fldChar w:fldCharType="separate"/>
            </w:r>
            <w:r>
              <w:t>29</w:t>
            </w:r>
            <w:r>
              <w:fldChar w:fldCharType="end"/>
            </w:r>
          </w:hyperlink>
        </w:p>
        <w:p w:rsidR="00B70185" w:rsidRDefault="00000000">
          <w:pPr>
            <w:pStyle w:val="TOC2"/>
            <w:tabs>
              <w:tab w:val="right" w:leader="dot" w:pos="8306"/>
            </w:tabs>
          </w:pPr>
          <w:hyperlink w:anchor="_Toc12611" w:history="1">
            <w:r>
              <w:rPr>
                <w:rFonts w:ascii="宋体" w:eastAsia="宋体" w:hAnsi="宋体" w:hint="eastAsia"/>
                <w:szCs w:val="21"/>
              </w:rPr>
              <w:t>6.3现有成果</w:t>
            </w:r>
            <w:r>
              <w:tab/>
            </w:r>
            <w:r>
              <w:fldChar w:fldCharType="begin"/>
            </w:r>
            <w:r>
              <w:instrText xml:space="preserve"> PAGEREF _Toc12611 \h </w:instrText>
            </w:r>
            <w:r>
              <w:fldChar w:fldCharType="separate"/>
            </w:r>
            <w:r>
              <w:t>30</w:t>
            </w:r>
            <w:r>
              <w:fldChar w:fldCharType="end"/>
            </w:r>
          </w:hyperlink>
        </w:p>
        <w:p w:rsidR="00B70185" w:rsidRDefault="00000000">
          <w:pPr>
            <w:pStyle w:val="TOC3"/>
            <w:tabs>
              <w:tab w:val="right" w:leader="dot" w:pos="8306"/>
            </w:tabs>
          </w:pPr>
          <w:hyperlink w:anchor="_Toc12601" w:history="1">
            <w:r>
              <w:rPr>
                <w:rFonts w:ascii="宋体" w:eastAsia="宋体" w:hAnsi="宋体" w:hint="eastAsia"/>
                <w:bCs/>
                <w:szCs w:val="32"/>
              </w:rPr>
              <w:t>6.3.1知识产权与技术认证</w:t>
            </w:r>
            <w:r>
              <w:tab/>
            </w:r>
            <w:r>
              <w:fldChar w:fldCharType="begin"/>
            </w:r>
            <w:r>
              <w:instrText xml:space="preserve"> PAGEREF _Toc12601 \h </w:instrText>
            </w:r>
            <w:r>
              <w:fldChar w:fldCharType="separate"/>
            </w:r>
            <w:r>
              <w:t>30</w:t>
            </w:r>
            <w:r>
              <w:fldChar w:fldCharType="end"/>
            </w:r>
          </w:hyperlink>
        </w:p>
        <w:p w:rsidR="00B70185" w:rsidRDefault="00000000">
          <w:pPr>
            <w:pStyle w:val="TOC3"/>
            <w:tabs>
              <w:tab w:val="right" w:leader="dot" w:pos="8306"/>
            </w:tabs>
          </w:pPr>
          <w:hyperlink w:anchor="_Toc12710" w:history="1">
            <w:r>
              <w:rPr>
                <w:rFonts w:ascii="宋体" w:eastAsia="宋体" w:hAnsi="宋体" w:hint="eastAsia"/>
                <w:bCs/>
                <w:szCs w:val="32"/>
              </w:rPr>
              <w:t>6.3.2试运行数据</w:t>
            </w:r>
            <w:r>
              <w:tab/>
            </w:r>
            <w:r>
              <w:fldChar w:fldCharType="begin"/>
            </w:r>
            <w:r>
              <w:instrText xml:space="preserve"> PAGEREF _Toc12710 \h </w:instrText>
            </w:r>
            <w:r>
              <w:fldChar w:fldCharType="separate"/>
            </w:r>
            <w:r>
              <w:t>30</w:t>
            </w:r>
            <w:r>
              <w:fldChar w:fldCharType="end"/>
            </w:r>
          </w:hyperlink>
        </w:p>
        <w:p w:rsidR="00B70185" w:rsidRDefault="00000000">
          <w:pPr>
            <w:pStyle w:val="TOC3"/>
            <w:tabs>
              <w:tab w:val="right" w:leader="dot" w:pos="8306"/>
            </w:tabs>
          </w:pPr>
          <w:hyperlink w:anchor="_Toc1118" w:history="1">
            <w:r>
              <w:rPr>
                <w:rFonts w:ascii="宋体" w:eastAsia="宋体" w:hAnsi="宋体" w:hint="eastAsia"/>
                <w:bCs/>
                <w:szCs w:val="32"/>
              </w:rPr>
              <w:t>6.3.3用户反馈</w:t>
            </w:r>
            <w:r>
              <w:tab/>
            </w:r>
            <w:r>
              <w:fldChar w:fldCharType="begin"/>
            </w:r>
            <w:r>
              <w:instrText xml:space="preserve"> PAGEREF _Toc1118 \h </w:instrText>
            </w:r>
            <w:r>
              <w:fldChar w:fldCharType="separate"/>
            </w:r>
            <w:r>
              <w:t>30</w:t>
            </w:r>
            <w:r>
              <w:fldChar w:fldCharType="end"/>
            </w:r>
          </w:hyperlink>
        </w:p>
        <w:p w:rsidR="00B70185" w:rsidRDefault="00000000">
          <w:pPr>
            <w:pStyle w:val="TOC1"/>
            <w:tabs>
              <w:tab w:val="right" w:leader="dot" w:pos="8306"/>
            </w:tabs>
          </w:pPr>
          <w:hyperlink w:anchor="_Toc20843" w:history="1">
            <w:r>
              <w:rPr>
                <w:rFonts w:ascii="黑体" w:eastAsia="黑体" w:hAnsi="黑体" w:hint="eastAsia"/>
              </w:rPr>
              <w:t>7.财务预测与融资计划</w:t>
            </w:r>
            <w:r>
              <w:tab/>
            </w:r>
            <w:r>
              <w:fldChar w:fldCharType="begin"/>
            </w:r>
            <w:r>
              <w:instrText xml:space="preserve"> PAGEREF _Toc20843 \h </w:instrText>
            </w:r>
            <w:r>
              <w:fldChar w:fldCharType="separate"/>
            </w:r>
            <w:r>
              <w:t>30</w:t>
            </w:r>
            <w:r>
              <w:fldChar w:fldCharType="end"/>
            </w:r>
          </w:hyperlink>
        </w:p>
        <w:p w:rsidR="00B70185" w:rsidRDefault="00000000">
          <w:pPr>
            <w:pStyle w:val="TOC1"/>
            <w:tabs>
              <w:tab w:val="right" w:leader="dot" w:pos="8306"/>
            </w:tabs>
          </w:pPr>
          <w:hyperlink w:anchor="_Toc5910" w:history="1">
            <w:r>
              <w:rPr>
                <w:rFonts w:ascii="黑体" w:eastAsia="黑体" w:hAnsi="黑体" w:hint="eastAsia"/>
              </w:rPr>
              <w:t>8.风险控制</w:t>
            </w:r>
            <w:r>
              <w:tab/>
            </w:r>
            <w:r>
              <w:fldChar w:fldCharType="begin"/>
            </w:r>
            <w:r>
              <w:instrText xml:space="preserve"> PAGEREF _Toc5910 \h </w:instrText>
            </w:r>
            <w:r>
              <w:fldChar w:fldCharType="separate"/>
            </w:r>
            <w:r>
              <w:t>30</w:t>
            </w:r>
            <w:r>
              <w:fldChar w:fldCharType="end"/>
            </w:r>
          </w:hyperlink>
        </w:p>
        <w:p w:rsidR="00B70185" w:rsidRDefault="00000000">
          <w:pPr>
            <w:pStyle w:val="TOC2"/>
            <w:tabs>
              <w:tab w:val="right" w:leader="dot" w:pos="8306"/>
            </w:tabs>
          </w:pPr>
          <w:hyperlink w:anchor="_Toc2637" w:history="1">
            <w:r>
              <w:rPr>
                <w:rFonts w:ascii="宋体" w:eastAsia="宋体" w:hAnsi="宋体" w:hint="eastAsia"/>
                <w:szCs w:val="21"/>
              </w:rPr>
              <w:t>8.1法律合规风险</w:t>
            </w:r>
            <w:r>
              <w:tab/>
            </w:r>
            <w:r>
              <w:fldChar w:fldCharType="begin"/>
            </w:r>
            <w:r>
              <w:instrText xml:space="preserve"> PAGEREF _Toc2637 \h </w:instrText>
            </w:r>
            <w:r>
              <w:fldChar w:fldCharType="separate"/>
            </w:r>
            <w:r>
              <w:t>30</w:t>
            </w:r>
            <w:r>
              <w:fldChar w:fldCharType="end"/>
            </w:r>
          </w:hyperlink>
        </w:p>
        <w:p w:rsidR="00B70185" w:rsidRDefault="00000000">
          <w:pPr>
            <w:pStyle w:val="TOC3"/>
            <w:tabs>
              <w:tab w:val="right" w:leader="dot" w:pos="8306"/>
            </w:tabs>
          </w:pPr>
          <w:hyperlink w:anchor="_Toc17395" w:history="1">
            <w:r>
              <w:rPr>
                <w:rFonts w:ascii="宋体" w:eastAsia="宋体" w:hAnsi="宋体" w:hint="eastAsia"/>
                <w:bCs/>
                <w:szCs w:val="32"/>
              </w:rPr>
              <w:t>8.1.1风险描述</w:t>
            </w:r>
            <w:r>
              <w:tab/>
            </w:r>
            <w:r>
              <w:fldChar w:fldCharType="begin"/>
            </w:r>
            <w:r>
              <w:instrText xml:space="preserve"> PAGEREF _Toc17395 \h </w:instrText>
            </w:r>
            <w:r>
              <w:fldChar w:fldCharType="separate"/>
            </w:r>
            <w:r>
              <w:t>30</w:t>
            </w:r>
            <w:r>
              <w:fldChar w:fldCharType="end"/>
            </w:r>
          </w:hyperlink>
        </w:p>
        <w:p w:rsidR="00B70185" w:rsidRDefault="00000000">
          <w:pPr>
            <w:pStyle w:val="TOC3"/>
            <w:tabs>
              <w:tab w:val="right" w:leader="dot" w:pos="8306"/>
            </w:tabs>
          </w:pPr>
          <w:hyperlink w:anchor="_Toc32082" w:history="1">
            <w:r>
              <w:rPr>
                <w:rFonts w:ascii="宋体" w:eastAsia="宋体" w:hAnsi="宋体" w:hint="eastAsia"/>
                <w:bCs/>
                <w:szCs w:val="32"/>
              </w:rPr>
              <w:t>8.1.2应对措施</w:t>
            </w:r>
            <w:r>
              <w:tab/>
            </w:r>
            <w:r>
              <w:fldChar w:fldCharType="begin"/>
            </w:r>
            <w:r>
              <w:instrText xml:space="preserve"> PAGEREF _Toc32082 \h </w:instrText>
            </w:r>
            <w:r>
              <w:fldChar w:fldCharType="separate"/>
            </w:r>
            <w:r>
              <w:t>30</w:t>
            </w:r>
            <w:r>
              <w:fldChar w:fldCharType="end"/>
            </w:r>
          </w:hyperlink>
        </w:p>
        <w:p w:rsidR="00B70185" w:rsidRDefault="00000000">
          <w:pPr>
            <w:pStyle w:val="TOC2"/>
            <w:tabs>
              <w:tab w:val="right" w:leader="dot" w:pos="8306"/>
            </w:tabs>
          </w:pPr>
          <w:hyperlink w:anchor="_Toc32176" w:history="1">
            <w:r>
              <w:rPr>
                <w:rFonts w:ascii="宋体" w:eastAsia="宋体" w:hAnsi="宋体" w:hint="eastAsia"/>
                <w:szCs w:val="21"/>
              </w:rPr>
              <w:t>8.2市场竞争风险</w:t>
            </w:r>
            <w:r>
              <w:tab/>
            </w:r>
            <w:r>
              <w:fldChar w:fldCharType="begin"/>
            </w:r>
            <w:r>
              <w:instrText xml:space="preserve"> PAGEREF _Toc32176 \h </w:instrText>
            </w:r>
            <w:r>
              <w:fldChar w:fldCharType="separate"/>
            </w:r>
            <w:r>
              <w:t>31</w:t>
            </w:r>
            <w:r>
              <w:fldChar w:fldCharType="end"/>
            </w:r>
          </w:hyperlink>
        </w:p>
        <w:p w:rsidR="00B70185" w:rsidRDefault="00000000">
          <w:pPr>
            <w:pStyle w:val="TOC3"/>
            <w:tabs>
              <w:tab w:val="right" w:leader="dot" w:pos="8306"/>
            </w:tabs>
          </w:pPr>
          <w:hyperlink w:anchor="_Toc6354" w:history="1">
            <w:r>
              <w:rPr>
                <w:rFonts w:ascii="宋体" w:eastAsia="宋体" w:hAnsi="宋体" w:hint="eastAsia"/>
                <w:bCs/>
                <w:szCs w:val="32"/>
              </w:rPr>
              <w:t>8.2.1风险描述</w:t>
            </w:r>
            <w:r>
              <w:tab/>
            </w:r>
            <w:r>
              <w:fldChar w:fldCharType="begin"/>
            </w:r>
            <w:r>
              <w:instrText xml:space="preserve"> PAGEREF _Toc6354 \h </w:instrText>
            </w:r>
            <w:r>
              <w:fldChar w:fldCharType="separate"/>
            </w:r>
            <w:r>
              <w:t>31</w:t>
            </w:r>
            <w:r>
              <w:fldChar w:fldCharType="end"/>
            </w:r>
          </w:hyperlink>
        </w:p>
        <w:p w:rsidR="00B70185" w:rsidRDefault="00000000">
          <w:pPr>
            <w:pStyle w:val="TOC3"/>
            <w:tabs>
              <w:tab w:val="right" w:leader="dot" w:pos="8306"/>
            </w:tabs>
          </w:pPr>
          <w:hyperlink w:anchor="_Toc19887" w:history="1">
            <w:r>
              <w:rPr>
                <w:rFonts w:ascii="宋体" w:eastAsia="宋体" w:hAnsi="宋体" w:hint="eastAsia"/>
                <w:bCs/>
                <w:szCs w:val="32"/>
              </w:rPr>
              <w:t>8.2.2应对措施</w:t>
            </w:r>
            <w:r>
              <w:tab/>
            </w:r>
            <w:r>
              <w:fldChar w:fldCharType="begin"/>
            </w:r>
            <w:r>
              <w:instrText xml:space="preserve"> PAGEREF _Toc19887 \h </w:instrText>
            </w:r>
            <w:r>
              <w:fldChar w:fldCharType="separate"/>
            </w:r>
            <w:r>
              <w:t>31</w:t>
            </w:r>
            <w:r>
              <w:fldChar w:fldCharType="end"/>
            </w:r>
          </w:hyperlink>
        </w:p>
        <w:p w:rsidR="00B70185" w:rsidRDefault="00000000">
          <w:pPr>
            <w:pStyle w:val="TOC2"/>
            <w:tabs>
              <w:tab w:val="right" w:leader="dot" w:pos="8306"/>
            </w:tabs>
          </w:pPr>
          <w:hyperlink w:anchor="_Toc19330" w:history="1">
            <w:r>
              <w:rPr>
                <w:rFonts w:ascii="宋体" w:eastAsia="宋体" w:hAnsi="宋体" w:hint="eastAsia"/>
                <w:szCs w:val="21"/>
              </w:rPr>
              <w:t>8.3技术迭代风险</w:t>
            </w:r>
            <w:r>
              <w:tab/>
            </w:r>
            <w:r>
              <w:fldChar w:fldCharType="begin"/>
            </w:r>
            <w:r>
              <w:instrText xml:space="preserve"> PAGEREF _Toc19330 \h </w:instrText>
            </w:r>
            <w:r>
              <w:fldChar w:fldCharType="separate"/>
            </w:r>
            <w:r>
              <w:t>32</w:t>
            </w:r>
            <w:r>
              <w:fldChar w:fldCharType="end"/>
            </w:r>
          </w:hyperlink>
        </w:p>
        <w:p w:rsidR="00B70185" w:rsidRDefault="00000000">
          <w:pPr>
            <w:pStyle w:val="TOC3"/>
            <w:tabs>
              <w:tab w:val="right" w:leader="dot" w:pos="8306"/>
            </w:tabs>
          </w:pPr>
          <w:hyperlink w:anchor="_Toc12091" w:history="1">
            <w:r>
              <w:rPr>
                <w:rFonts w:ascii="宋体" w:eastAsia="宋体" w:hAnsi="宋体" w:hint="eastAsia"/>
                <w:bCs/>
                <w:szCs w:val="32"/>
              </w:rPr>
              <w:t>8.3.1风险描述</w:t>
            </w:r>
            <w:r>
              <w:tab/>
            </w:r>
            <w:r>
              <w:fldChar w:fldCharType="begin"/>
            </w:r>
            <w:r>
              <w:instrText xml:space="preserve"> PAGEREF _Toc12091 \h </w:instrText>
            </w:r>
            <w:r>
              <w:fldChar w:fldCharType="separate"/>
            </w:r>
            <w:r>
              <w:t>32</w:t>
            </w:r>
            <w:r>
              <w:fldChar w:fldCharType="end"/>
            </w:r>
          </w:hyperlink>
        </w:p>
        <w:p w:rsidR="00B70185" w:rsidRDefault="00000000">
          <w:pPr>
            <w:pStyle w:val="TOC3"/>
            <w:tabs>
              <w:tab w:val="right" w:leader="dot" w:pos="8306"/>
            </w:tabs>
          </w:pPr>
          <w:hyperlink w:anchor="_Toc5415" w:history="1">
            <w:r>
              <w:rPr>
                <w:rFonts w:ascii="宋体" w:eastAsia="宋体" w:hAnsi="宋体" w:hint="eastAsia"/>
                <w:bCs/>
                <w:szCs w:val="32"/>
              </w:rPr>
              <w:t>8.3.2应对措施</w:t>
            </w:r>
            <w:r>
              <w:tab/>
            </w:r>
            <w:r>
              <w:fldChar w:fldCharType="begin"/>
            </w:r>
            <w:r>
              <w:instrText xml:space="preserve"> PAGEREF _Toc5415 \h </w:instrText>
            </w:r>
            <w:r>
              <w:fldChar w:fldCharType="separate"/>
            </w:r>
            <w:r>
              <w:t>32</w:t>
            </w:r>
            <w:r>
              <w:fldChar w:fldCharType="end"/>
            </w:r>
          </w:hyperlink>
        </w:p>
        <w:p w:rsidR="00B70185" w:rsidRDefault="00000000">
          <w:r>
            <w:rPr>
              <w:rFonts w:hint="eastAsia"/>
            </w:rPr>
            <w:fldChar w:fldCharType="end"/>
          </w:r>
        </w:p>
      </w:sdtContent>
    </w:sdt>
    <w:p w:rsidR="00B70185" w:rsidRDefault="00B70185">
      <w:pPr>
        <w:sectPr w:rsidR="00B70185">
          <w:pgSz w:w="11906" w:h="16838"/>
          <w:pgMar w:top="1440" w:right="1800" w:bottom="1440" w:left="1800" w:header="851" w:footer="992" w:gutter="0"/>
          <w:cols w:space="425"/>
          <w:docGrid w:type="lines" w:linePitch="312"/>
        </w:sectPr>
      </w:pPr>
    </w:p>
    <w:p w:rsidR="00B70185" w:rsidRDefault="00000000">
      <w:pPr>
        <w:pStyle w:val="1"/>
        <w:spacing w:line="300" w:lineRule="auto"/>
        <w:rPr>
          <w:rFonts w:ascii="黑体" w:eastAsia="黑体" w:hAnsi="黑体"/>
          <w:sz w:val="24"/>
          <w:szCs w:val="24"/>
        </w:rPr>
      </w:pPr>
      <w:bookmarkStart w:id="0" w:name="_Toc9404"/>
      <w:r>
        <w:rPr>
          <w:rFonts w:ascii="黑体" w:eastAsia="黑体" w:hAnsi="黑体" w:hint="eastAsia"/>
          <w:sz w:val="24"/>
          <w:szCs w:val="24"/>
        </w:rPr>
        <w:lastRenderedPageBreak/>
        <w:t>1.执行摘要</w:t>
      </w:r>
      <w:bookmarkEnd w:id="0"/>
    </w:p>
    <w:p w:rsidR="00B70185" w:rsidRDefault="00000000">
      <w:pPr>
        <w:pStyle w:val="2"/>
        <w:tabs>
          <w:tab w:val="center" w:pos="4153"/>
        </w:tabs>
        <w:spacing w:line="300" w:lineRule="auto"/>
        <w:ind w:right="210"/>
        <w:rPr>
          <w:rFonts w:ascii="宋体" w:eastAsia="宋体" w:hAnsi="宋体"/>
          <w:sz w:val="21"/>
          <w:szCs w:val="21"/>
        </w:rPr>
      </w:pPr>
      <w:bookmarkStart w:id="1" w:name="_Toc11704"/>
      <w:r>
        <w:rPr>
          <w:rFonts w:ascii="宋体" w:eastAsia="宋体" w:hAnsi="宋体" w:hint="eastAsia"/>
          <w:sz w:val="21"/>
          <w:szCs w:val="21"/>
        </w:rPr>
        <w:t>1.1项目背景与痛点</w:t>
      </w:r>
      <w:bookmarkEnd w:id="1"/>
    </w:p>
    <w:p w:rsidR="00B70185" w:rsidRDefault="00000000">
      <w:pPr>
        <w:pStyle w:val="3"/>
        <w:spacing w:before="0" w:after="0" w:line="300" w:lineRule="auto"/>
        <w:ind w:leftChars="200" w:left="420" w:rightChars="100" w:right="210"/>
        <w:rPr>
          <w:rFonts w:ascii="宋体" w:eastAsia="宋体" w:hAnsi="宋体"/>
          <w:bCs/>
          <w:sz w:val="21"/>
          <w:szCs w:val="32"/>
        </w:rPr>
      </w:pPr>
      <w:bookmarkStart w:id="2" w:name="_Toc20411"/>
      <w:r>
        <w:rPr>
          <w:rFonts w:ascii="宋体" w:eastAsia="宋体" w:hAnsi="宋体" w:hint="eastAsia"/>
          <w:bCs/>
          <w:sz w:val="21"/>
          <w:szCs w:val="32"/>
        </w:rPr>
        <w:t>1.1.1项目背景</w:t>
      </w:r>
      <w:bookmarkEnd w:id="2"/>
    </w:p>
    <w:p w:rsidR="00B70185" w:rsidRDefault="00000000">
      <w:pPr>
        <w:spacing w:line="300" w:lineRule="auto"/>
        <w:ind w:firstLineChars="200" w:firstLine="420"/>
        <w:rPr>
          <w:szCs w:val="21"/>
        </w:rPr>
      </w:pPr>
      <w:r>
        <w:rPr>
          <w:szCs w:val="21"/>
        </w:rPr>
        <w:t>当前，中国法治建设正经历从</w:t>
      </w:r>
      <w:r>
        <w:rPr>
          <w:szCs w:val="21"/>
        </w:rPr>
        <w:t>“</w:t>
      </w:r>
      <w:r>
        <w:rPr>
          <w:szCs w:val="21"/>
        </w:rPr>
        <w:t>司法终端裁决</w:t>
      </w:r>
      <w:r>
        <w:rPr>
          <w:szCs w:val="21"/>
        </w:rPr>
        <w:t>”</w:t>
      </w:r>
      <w:r>
        <w:rPr>
          <w:szCs w:val="21"/>
        </w:rPr>
        <w:t>向</w:t>
      </w:r>
      <w:r>
        <w:rPr>
          <w:szCs w:val="21"/>
        </w:rPr>
        <w:t>“</w:t>
      </w:r>
      <w:r>
        <w:rPr>
          <w:szCs w:val="21"/>
        </w:rPr>
        <w:t>源头非诉化解</w:t>
      </w:r>
      <w:r>
        <w:rPr>
          <w:szCs w:val="21"/>
        </w:rPr>
        <w:t>”</w:t>
      </w:r>
      <w:r>
        <w:rPr>
          <w:szCs w:val="21"/>
        </w:rPr>
        <w:t>的深刻转型。</w:t>
      </w:r>
      <w:r>
        <w:rPr>
          <w:szCs w:val="21"/>
        </w:rPr>
        <w:t>2025</w:t>
      </w:r>
      <w:r>
        <w:rPr>
          <w:szCs w:val="21"/>
        </w:rPr>
        <w:t>年</w:t>
      </w:r>
      <w:r>
        <w:rPr>
          <w:szCs w:val="21"/>
        </w:rPr>
        <w:t>4</w:t>
      </w:r>
      <w:r>
        <w:rPr>
          <w:szCs w:val="21"/>
        </w:rPr>
        <w:t>月，司法部印发《公共法律服务规范提升三年行动方案（</w:t>
      </w:r>
      <w:r>
        <w:rPr>
          <w:szCs w:val="21"/>
        </w:rPr>
        <w:t>2025—2027</w:t>
      </w:r>
      <w:r>
        <w:rPr>
          <w:szCs w:val="21"/>
        </w:rPr>
        <w:t>年）》，明确提出要</w:t>
      </w:r>
      <w:r>
        <w:rPr>
          <w:b/>
          <w:bCs/>
          <w:szCs w:val="21"/>
        </w:rPr>
        <w:t>构建</w:t>
      </w:r>
      <w:r>
        <w:rPr>
          <w:b/>
          <w:bCs/>
          <w:szCs w:val="21"/>
        </w:rPr>
        <w:t>“</w:t>
      </w:r>
      <w:r>
        <w:rPr>
          <w:b/>
          <w:bCs/>
          <w:szCs w:val="21"/>
        </w:rPr>
        <w:t>全覆盖、全方位</w:t>
      </w:r>
      <w:r>
        <w:rPr>
          <w:b/>
          <w:bCs/>
          <w:szCs w:val="21"/>
        </w:rPr>
        <w:t>”</w:t>
      </w:r>
      <w:r>
        <w:rPr>
          <w:b/>
          <w:bCs/>
          <w:szCs w:val="21"/>
        </w:rPr>
        <w:t>的公共法律服务体系</w:t>
      </w:r>
      <w:r>
        <w:rPr>
          <w:szCs w:val="21"/>
        </w:rPr>
        <w:t>，并特别强调要</w:t>
      </w:r>
      <w:r>
        <w:rPr>
          <w:b/>
          <w:bCs/>
          <w:szCs w:val="21"/>
        </w:rPr>
        <w:t>“</w:t>
      </w:r>
      <w:r>
        <w:rPr>
          <w:b/>
          <w:bCs/>
          <w:szCs w:val="21"/>
        </w:rPr>
        <w:t>把非诉讼纠纷解决机制挺在前面</w:t>
      </w:r>
      <w:r>
        <w:rPr>
          <w:b/>
          <w:bCs/>
          <w:szCs w:val="21"/>
        </w:rPr>
        <w:t>”</w:t>
      </w:r>
      <w:r>
        <w:rPr>
          <w:szCs w:val="21"/>
        </w:rPr>
        <w:t>。这一政策导向标志着法律服务的重心正从法庭内的对抗，前移至社会生活的源头治理。</w:t>
      </w:r>
    </w:p>
    <w:p w:rsidR="00B70185" w:rsidRDefault="00000000">
      <w:pPr>
        <w:spacing w:line="300" w:lineRule="auto"/>
        <w:ind w:firstLineChars="200" w:firstLine="420"/>
        <w:rPr>
          <w:szCs w:val="21"/>
        </w:rPr>
      </w:pPr>
      <w:r>
        <w:rPr>
          <w:szCs w:val="21"/>
        </w:rPr>
        <w:t>在这一宏观背景下，我们发现了一个与</w:t>
      </w:r>
      <w:r>
        <w:rPr>
          <w:szCs w:val="21"/>
        </w:rPr>
        <w:t>“</w:t>
      </w:r>
      <w:r>
        <w:rPr>
          <w:szCs w:val="21"/>
        </w:rPr>
        <w:t>律师行业内卷</w:t>
      </w:r>
      <w:r>
        <w:rPr>
          <w:szCs w:val="21"/>
        </w:rPr>
        <w:t>”</w:t>
      </w:r>
      <w:r>
        <w:rPr>
          <w:szCs w:val="21"/>
        </w:rPr>
        <w:t>截然相反的市场真相：虽然全国执业律师已近</w:t>
      </w:r>
      <w:r>
        <w:rPr>
          <w:szCs w:val="21"/>
        </w:rPr>
        <w:t>70</w:t>
      </w:r>
      <w:r>
        <w:rPr>
          <w:szCs w:val="21"/>
        </w:rPr>
        <w:t>万人，传统诉讼业务竞争白热化，但在司法统计数据之外，存在着</w:t>
      </w:r>
      <w:r>
        <w:rPr>
          <w:rFonts w:hint="eastAsia"/>
          <w:szCs w:val="21"/>
        </w:rPr>
        <w:t>体谅惊人的</w:t>
      </w:r>
      <w:r>
        <w:rPr>
          <w:szCs w:val="21"/>
        </w:rPr>
        <w:t>隐形法律需求。据国家市场监管总局数据，</w:t>
      </w:r>
      <w:r>
        <w:rPr>
          <w:b/>
          <w:bCs/>
          <w:szCs w:val="21"/>
        </w:rPr>
        <w:t>仅</w:t>
      </w:r>
      <w:r>
        <w:rPr>
          <w:b/>
          <w:bCs/>
          <w:szCs w:val="21"/>
        </w:rPr>
        <w:t>202</w:t>
      </w:r>
      <w:r>
        <w:rPr>
          <w:rFonts w:hint="eastAsia"/>
          <w:b/>
          <w:bCs/>
          <w:szCs w:val="21"/>
        </w:rPr>
        <w:t>4</w:t>
      </w:r>
      <w:r>
        <w:rPr>
          <w:b/>
          <w:bCs/>
          <w:szCs w:val="21"/>
        </w:rPr>
        <w:t>年全国</w:t>
      </w:r>
      <w:r>
        <w:rPr>
          <w:b/>
          <w:bCs/>
          <w:szCs w:val="21"/>
        </w:rPr>
        <w:t>12315</w:t>
      </w:r>
      <w:r>
        <w:rPr>
          <w:b/>
          <w:bCs/>
          <w:szCs w:val="21"/>
        </w:rPr>
        <w:t>平台接收的投诉举报咨询就高达</w:t>
      </w:r>
      <w:r>
        <w:rPr>
          <w:b/>
          <w:bCs/>
          <w:szCs w:val="21"/>
        </w:rPr>
        <w:t>3534</w:t>
      </w:r>
      <w:r w:rsidR="003C7673">
        <w:rPr>
          <w:b/>
          <w:bCs/>
          <w:szCs w:val="21"/>
        </w:rPr>
        <w:t>.</w:t>
      </w:r>
      <w:r>
        <w:rPr>
          <w:rFonts w:hint="eastAsia"/>
          <w:b/>
          <w:bCs/>
          <w:szCs w:val="21"/>
        </w:rPr>
        <w:t>3</w:t>
      </w:r>
      <w:r>
        <w:rPr>
          <w:b/>
          <w:bCs/>
          <w:szCs w:val="21"/>
        </w:rPr>
        <w:t>万件</w:t>
      </w:r>
      <w:r>
        <w:rPr>
          <w:szCs w:val="21"/>
        </w:rPr>
        <w:t>，且在直播带货、预制菜等新消费场景下呈指数级增长；与此同时，我国</w:t>
      </w:r>
      <w:r>
        <w:rPr>
          <w:szCs w:val="21"/>
        </w:rPr>
        <w:t>2</w:t>
      </w:r>
      <w:r>
        <w:rPr>
          <w:szCs w:val="21"/>
        </w:rPr>
        <w:t>亿灵活就业人员普遍面临无书面合同、社保缺失的困境。这些网购拒发货、预付卡退费难、恶意欠薪等泛法律性质的生活摩擦，虽然极少上升为法院案件，却是普通民众最高频、最痛切的权益受损场景。</w:t>
      </w:r>
    </w:p>
    <w:p w:rsidR="00B70185" w:rsidRDefault="00000000">
      <w:pPr>
        <w:spacing w:line="300" w:lineRule="auto"/>
        <w:jc w:val="center"/>
        <w:rPr>
          <w:szCs w:val="21"/>
        </w:rPr>
      </w:pPr>
      <w:r>
        <w:rPr>
          <w:noProof/>
          <w:szCs w:val="21"/>
        </w:rPr>
        <w:drawing>
          <wp:inline distT="0" distB="0" distL="114300" distR="114300">
            <wp:extent cx="5156200" cy="2778125"/>
            <wp:effectExtent l="0" t="0" r="6350" b="3175"/>
            <wp:docPr id="4" name="图片 4" descr="截屏2026-02-12 20.4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6-02-12 20.40.50"/>
                    <pic:cNvPicPr>
                      <a:picLocks noChangeAspect="1"/>
                    </pic:cNvPicPr>
                  </pic:nvPicPr>
                  <pic:blipFill>
                    <a:blip r:embed="rId10"/>
                    <a:stretch>
                      <a:fillRect/>
                    </a:stretch>
                  </pic:blipFill>
                  <pic:spPr>
                    <a:xfrm>
                      <a:off x="0" y="0"/>
                      <a:ext cx="5156200" cy="2778125"/>
                    </a:xfrm>
                    <a:prstGeom prst="rect">
                      <a:avLst/>
                    </a:prstGeom>
                  </pic:spPr>
                </pic:pic>
              </a:graphicData>
            </a:graphic>
          </wp:inline>
        </w:drawing>
      </w:r>
    </w:p>
    <w:p w:rsidR="00B70185" w:rsidRDefault="00000000">
      <w:pPr>
        <w:pStyle w:val="a3"/>
        <w:jc w:val="center"/>
        <w:rPr>
          <w:rFonts w:asciiTheme="majorHAnsi" w:hAnsiTheme="majorHAnsi" w:cstheme="majorBidi"/>
          <w:szCs w:val="20"/>
        </w:rPr>
      </w:pPr>
      <w:r>
        <w:rPr>
          <w:rFonts w:asciiTheme="majorHAnsi" w:hAnsiTheme="majorHAnsi" w:cstheme="majorBidi" w:hint="eastAsia"/>
          <w:szCs w:val="20"/>
        </w:rPr>
        <w:t>图</w:t>
      </w:r>
      <w:r>
        <w:rPr>
          <w:rFonts w:asciiTheme="majorHAnsi" w:hAnsiTheme="majorHAnsi" w:cstheme="majorBidi" w:hint="eastAsia"/>
          <w:szCs w:val="20"/>
        </w:rPr>
        <w:t xml:space="preserve"> </w:t>
      </w:r>
      <w:r>
        <w:rPr>
          <w:rFonts w:asciiTheme="majorHAnsi" w:hAnsiTheme="majorHAnsi" w:cstheme="majorBidi" w:hint="eastAsia"/>
          <w:szCs w:val="20"/>
        </w:rPr>
        <w:fldChar w:fldCharType="begin"/>
      </w:r>
      <w:r>
        <w:rPr>
          <w:rFonts w:asciiTheme="majorHAnsi" w:hAnsiTheme="majorHAnsi" w:cstheme="majorBidi" w:hint="eastAsia"/>
          <w:szCs w:val="20"/>
        </w:rPr>
        <w:instrText xml:space="preserve"> SEQ </w:instrText>
      </w:r>
      <w:r>
        <w:rPr>
          <w:rFonts w:asciiTheme="majorHAnsi" w:hAnsiTheme="majorHAnsi" w:cstheme="majorBidi" w:hint="eastAsia"/>
          <w:szCs w:val="20"/>
        </w:rPr>
        <w:instrText>图</w:instrText>
      </w:r>
      <w:r>
        <w:rPr>
          <w:rFonts w:asciiTheme="majorHAnsi" w:hAnsiTheme="majorHAnsi" w:cstheme="majorBidi" w:hint="eastAsia"/>
          <w:szCs w:val="20"/>
        </w:rPr>
        <w:instrText xml:space="preserve"> \* ARABIC </w:instrText>
      </w:r>
      <w:r>
        <w:rPr>
          <w:rFonts w:asciiTheme="majorHAnsi" w:hAnsiTheme="majorHAnsi" w:cstheme="majorBidi" w:hint="eastAsia"/>
          <w:szCs w:val="20"/>
        </w:rPr>
        <w:fldChar w:fldCharType="separate"/>
      </w:r>
      <w:r>
        <w:rPr>
          <w:rFonts w:asciiTheme="majorHAnsi" w:hAnsiTheme="majorHAnsi" w:cstheme="majorBidi" w:hint="eastAsia"/>
          <w:szCs w:val="20"/>
        </w:rPr>
        <w:t>1</w:t>
      </w:r>
      <w:r>
        <w:rPr>
          <w:rFonts w:asciiTheme="majorHAnsi" w:hAnsiTheme="majorHAnsi" w:cstheme="majorBidi" w:hint="eastAsia"/>
          <w:szCs w:val="20"/>
        </w:rPr>
        <w:fldChar w:fldCharType="end"/>
      </w:r>
      <w:r>
        <w:rPr>
          <w:rFonts w:asciiTheme="majorHAnsi" w:hAnsiTheme="majorHAnsi" w:cstheme="majorBidi" w:hint="eastAsia"/>
          <w:szCs w:val="20"/>
        </w:rPr>
        <w:t xml:space="preserve"> 2019-2024</w:t>
      </w:r>
      <w:r>
        <w:rPr>
          <w:rFonts w:asciiTheme="majorHAnsi" w:hAnsiTheme="majorHAnsi" w:cstheme="majorBidi" w:hint="eastAsia"/>
          <w:szCs w:val="20"/>
        </w:rPr>
        <w:t>年投诉举报咨询数量变化条形图（来源：国家市场监管总局）</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3" w:name="_Toc26231"/>
      <w:r>
        <w:rPr>
          <w:rFonts w:ascii="宋体" w:eastAsia="宋体" w:hAnsi="宋体" w:hint="eastAsia"/>
          <w:bCs/>
          <w:sz w:val="21"/>
          <w:szCs w:val="32"/>
        </w:rPr>
        <w:t>1.1.2痛点</w:t>
      </w:r>
      <w:bookmarkEnd w:id="3"/>
    </w:p>
    <w:p w:rsidR="00B70185" w:rsidRDefault="00000000">
      <w:pPr>
        <w:spacing w:line="300" w:lineRule="auto"/>
        <w:ind w:firstLineChars="200" w:firstLine="420"/>
        <w:rPr>
          <w:szCs w:val="21"/>
        </w:rPr>
      </w:pPr>
      <w:r>
        <w:rPr>
          <w:rFonts w:hint="eastAsia"/>
          <w:szCs w:val="21"/>
        </w:rPr>
        <w:t>面对海量且高频的生活微纠纷，普通用户面临着传统律所进不去、自己维权跑断腿、通用</w:t>
      </w:r>
      <w:r>
        <w:rPr>
          <w:rFonts w:hint="eastAsia"/>
          <w:szCs w:val="21"/>
        </w:rPr>
        <w:t>AI</w:t>
      </w:r>
      <w:r>
        <w:rPr>
          <w:rFonts w:hint="eastAsia"/>
          <w:szCs w:val="21"/>
        </w:rPr>
        <w:t>信不过的三重困境</w:t>
      </w:r>
      <w:r w:rsidR="003C7673">
        <w:rPr>
          <w:rFonts w:hint="eastAsia"/>
          <w:szCs w:val="21"/>
        </w:rPr>
        <w:t>。</w:t>
      </w:r>
    </w:p>
    <w:p w:rsidR="003C7673" w:rsidRPr="003C7673" w:rsidRDefault="003C7673" w:rsidP="003C7673">
      <w:pPr>
        <w:spacing w:line="300" w:lineRule="auto"/>
        <w:ind w:firstLineChars="200" w:firstLine="420"/>
        <w:rPr>
          <w:szCs w:val="21"/>
        </w:rPr>
      </w:pPr>
      <w:r w:rsidRPr="003C7673">
        <w:rPr>
          <w:szCs w:val="21"/>
        </w:rPr>
        <w:t>根据纠纷金额的不同，用户面临的困境呈现明显的分层特征：</w:t>
      </w:r>
    </w:p>
    <w:p w:rsidR="003C7673" w:rsidRDefault="003C7673" w:rsidP="003C7673">
      <w:pPr>
        <w:spacing w:line="300" w:lineRule="auto"/>
        <w:ind w:firstLineChars="200" w:firstLine="428"/>
        <w:rPr>
          <w:szCs w:val="21"/>
        </w:rPr>
      </w:pPr>
      <w:r w:rsidRPr="003C7673">
        <w:rPr>
          <w:b/>
          <w:bCs/>
          <w:szCs w:val="21"/>
        </w:rPr>
        <w:t>0-2000</w:t>
      </w:r>
      <w:r w:rsidRPr="003C7673">
        <w:rPr>
          <w:b/>
          <w:bCs/>
          <w:szCs w:val="21"/>
        </w:rPr>
        <w:t>元的</w:t>
      </w:r>
      <w:r w:rsidRPr="003C7673">
        <w:rPr>
          <w:b/>
          <w:bCs/>
          <w:szCs w:val="21"/>
        </w:rPr>
        <w:t>“</w:t>
      </w:r>
      <w:r w:rsidRPr="003C7673">
        <w:rPr>
          <w:b/>
          <w:bCs/>
          <w:szCs w:val="21"/>
        </w:rPr>
        <w:t>超小额纠纷</w:t>
      </w:r>
      <w:r w:rsidRPr="003C7673">
        <w:rPr>
          <w:b/>
          <w:bCs/>
          <w:szCs w:val="21"/>
        </w:rPr>
        <w:t>”</w:t>
      </w:r>
      <w:r w:rsidRPr="003C7673">
        <w:rPr>
          <w:szCs w:val="21"/>
        </w:rPr>
        <w:t>（如网购退款、押金纠纷）：用户的核心诉求是快速拿回钱，而非打官司。但传统维权渠道效率极低，用户缺乏有效的施压工具，往往因流程繁琐而放弃。</w:t>
      </w:r>
    </w:p>
    <w:p w:rsidR="003C7673" w:rsidRPr="003C7673" w:rsidRDefault="003C7673" w:rsidP="003C7673">
      <w:pPr>
        <w:spacing w:line="300" w:lineRule="auto"/>
        <w:ind w:firstLineChars="200" w:firstLine="428"/>
        <w:rPr>
          <w:rFonts w:hint="eastAsia"/>
          <w:szCs w:val="21"/>
        </w:rPr>
      </w:pPr>
      <w:r w:rsidRPr="003C7673">
        <w:rPr>
          <w:b/>
          <w:bCs/>
          <w:szCs w:val="21"/>
        </w:rPr>
        <w:t>2000-30000</w:t>
      </w:r>
      <w:r w:rsidRPr="003C7673">
        <w:rPr>
          <w:b/>
          <w:bCs/>
          <w:szCs w:val="21"/>
        </w:rPr>
        <w:t>元的</w:t>
      </w:r>
      <w:r w:rsidRPr="003C7673">
        <w:rPr>
          <w:b/>
          <w:bCs/>
          <w:szCs w:val="21"/>
        </w:rPr>
        <w:t>“</w:t>
      </w:r>
      <w:r w:rsidRPr="003C7673">
        <w:rPr>
          <w:b/>
          <w:bCs/>
          <w:szCs w:val="21"/>
        </w:rPr>
        <w:t>常规小额纠纷</w:t>
      </w:r>
      <w:r w:rsidRPr="003C7673">
        <w:rPr>
          <w:b/>
          <w:bCs/>
          <w:szCs w:val="21"/>
        </w:rPr>
        <w:t>”</w:t>
      </w:r>
      <w:r w:rsidRPr="003C7673">
        <w:rPr>
          <w:szCs w:val="21"/>
        </w:rPr>
        <w:t>（如劳动欠薪、消费维权）：用户需要专业的法律文</w:t>
      </w:r>
      <w:r w:rsidRPr="003C7673">
        <w:rPr>
          <w:szCs w:val="21"/>
        </w:rPr>
        <w:lastRenderedPageBreak/>
        <w:t>书支持（如投诉信、仲裁申请书）才能进入立案程序，但聘请律师的成本（</w:t>
      </w:r>
      <w:r>
        <w:rPr>
          <w:rFonts w:hint="eastAsia"/>
          <w:szCs w:val="21"/>
        </w:rPr>
        <w:t>万</w:t>
      </w:r>
      <w:r w:rsidRPr="003C7673">
        <w:rPr>
          <w:szCs w:val="21"/>
        </w:rPr>
        <w:t>元起步）远超纠纷金额</w:t>
      </w:r>
      <w:r>
        <w:rPr>
          <w:rFonts w:hint="eastAsia"/>
          <w:szCs w:val="21"/>
        </w:rPr>
        <w:t>且大部分律师不愿意接这部分金额的案子</w:t>
      </w:r>
      <w:r w:rsidRPr="003C7673">
        <w:rPr>
          <w:rFonts w:hint="eastAsia"/>
          <w:szCs w:val="21"/>
        </w:rPr>
        <w:t>，</w:t>
      </w:r>
      <w:r w:rsidRPr="003C7673">
        <w:rPr>
          <w:szCs w:val="21"/>
        </w:rPr>
        <w:t>导致用户陷入</w:t>
      </w:r>
      <w:r w:rsidRPr="003C7673">
        <w:rPr>
          <w:szCs w:val="21"/>
        </w:rPr>
        <w:t>“</w:t>
      </w:r>
      <w:r w:rsidRPr="003C7673">
        <w:rPr>
          <w:szCs w:val="21"/>
        </w:rPr>
        <w:t>请不起律师、自己又写不对文书</w:t>
      </w:r>
      <w:r w:rsidRPr="003C7673">
        <w:rPr>
          <w:szCs w:val="21"/>
        </w:rPr>
        <w:t>”</w:t>
      </w:r>
      <w:r w:rsidRPr="003C7673">
        <w:rPr>
          <w:szCs w:val="21"/>
        </w:rPr>
        <w:t>的困境。</w:t>
      </w:r>
    </w:p>
    <w:p w:rsidR="00B70185" w:rsidRDefault="00000000">
      <w:pPr>
        <w:spacing w:line="300" w:lineRule="auto"/>
        <w:ind w:firstLineChars="200" w:firstLine="420"/>
        <w:rPr>
          <w:szCs w:val="21"/>
        </w:rPr>
      </w:pPr>
      <w:r>
        <w:rPr>
          <w:rFonts w:hint="eastAsia"/>
          <w:szCs w:val="21"/>
        </w:rPr>
        <w:t>(1)</w:t>
      </w:r>
      <w:r>
        <w:rPr>
          <w:rFonts w:hint="eastAsia"/>
          <w:szCs w:val="21"/>
        </w:rPr>
        <w:t>维权成本远超获益</w:t>
      </w:r>
    </w:p>
    <w:p w:rsidR="00B70185" w:rsidRDefault="00000000">
      <w:pPr>
        <w:spacing w:line="300" w:lineRule="auto"/>
        <w:ind w:firstLineChars="200" w:firstLine="420"/>
        <w:rPr>
          <w:szCs w:val="21"/>
        </w:rPr>
      </w:pPr>
      <w:r>
        <w:rPr>
          <w:rFonts w:hint="eastAsia"/>
          <w:szCs w:val="21"/>
        </w:rPr>
        <w:t>传统法律服务定价体系主要服务于高净值人群或企业。目前一二线城市律师咨询费普遍在</w:t>
      </w:r>
      <w:r>
        <w:rPr>
          <w:rFonts w:hint="eastAsia"/>
          <w:szCs w:val="21"/>
        </w:rPr>
        <w:t>500-2000</w:t>
      </w:r>
      <w:r>
        <w:rPr>
          <w:rFonts w:hint="eastAsia"/>
          <w:szCs w:val="21"/>
        </w:rPr>
        <w:t>元</w:t>
      </w:r>
      <w:r>
        <w:rPr>
          <w:rFonts w:hint="eastAsia"/>
          <w:szCs w:val="21"/>
        </w:rPr>
        <w:t>/</w:t>
      </w:r>
      <w:r>
        <w:rPr>
          <w:rFonts w:hint="eastAsia"/>
          <w:szCs w:val="21"/>
        </w:rPr>
        <w:t>小时，民事案件代理费起步价通常为</w:t>
      </w:r>
      <w:r>
        <w:rPr>
          <w:rFonts w:hint="eastAsia"/>
          <w:szCs w:val="21"/>
        </w:rPr>
        <w:t>5000</w:t>
      </w:r>
      <w:r>
        <w:rPr>
          <w:rFonts w:hint="eastAsia"/>
          <w:szCs w:val="21"/>
        </w:rPr>
        <w:t>元</w:t>
      </w:r>
      <w:r>
        <w:rPr>
          <w:rFonts w:hint="eastAsia"/>
          <w:szCs w:val="21"/>
        </w:rPr>
        <w:t>/</w:t>
      </w:r>
      <w:r>
        <w:rPr>
          <w:rFonts w:hint="eastAsia"/>
          <w:szCs w:val="21"/>
        </w:rPr>
        <w:t>件。</w:t>
      </w:r>
    </w:p>
    <w:p w:rsidR="00B70185" w:rsidRPr="003C7673" w:rsidRDefault="00000000" w:rsidP="003C7673">
      <w:pPr>
        <w:spacing w:line="300" w:lineRule="auto"/>
        <w:ind w:firstLineChars="200" w:firstLine="420"/>
        <w:rPr>
          <w:rFonts w:hint="eastAsia"/>
          <w:szCs w:val="21"/>
        </w:rPr>
      </w:pPr>
      <w:r>
        <w:rPr>
          <w:rFonts w:hint="eastAsia"/>
          <w:szCs w:val="21"/>
        </w:rPr>
        <w:t>而对于网购退款、押金纠纷、小额欠薪等大量长尾案件，涉案金额往往仅为</w:t>
      </w:r>
      <w:r>
        <w:rPr>
          <w:rFonts w:hint="eastAsia"/>
          <w:szCs w:val="21"/>
        </w:rPr>
        <w:t>500-3000</w:t>
      </w:r>
      <w:r>
        <w:rPr>
          <w:rFonts w:hint="eastAsia"/>
          <w:szCs w:val="21"/>
        </w:rPr>
        <w:t>元。这意味着受害者若聘请律师，不仅可能律师费高于赔偿款，还要承担巨大的时间成本。这种极端的成本倒挂，导致</w:t>
      </w:r>
      <w:r>
        <w:rPr>
          <w:rFonts w:hint="eastAsia"/>
          <w:szCs w:val="21"/>
        </w:rPr>
        <w:t>90%</w:t>
      </w:r>
      <w:r>
        <w:rPr>
          <w:rFonts w:hint="eastAsia"/>
          <w:szCs w:val="21"/>
        </w:rPr>
        <w:t>以上的小额受害者在理性计算后被迫选择放弃追责。</w:t>
      </w:r>
      <w:r w:rsidR="003C7673">
        <w:rPr>
          <w:rFonts w:hint="eastAsia"/>
          <w:szCs w:val="21"/>
        </w:rPr>
        <w:t>（</w:t>
      </w:r>
      <w:r>
        <w:rPr>
          <w:rFonts w:hint="eastAsia"/>
          <w:szCs w:val="21"/>
        </w:rPr>
        <w:t>数据来源：</w:t>
      </w:r>
      <w:r>
        <w:t>律师服务收费管理办法</w:t>
      </w:r>
      <w:r>
        <w:rPr>
          <w:rFonts w:hint="eastAsia"/>
        </w:rPr>
        <w:t>、</w:t>
      </w:r>
      <w:r>
        <w:t>《中国律师事务所费率调查》</w:t>
      </w:r>
      <w:r w:rsidR="003C7673">
        <w:rPr>
          <w:rFonts w:hint="eastAsia"/>
          <w:szCs w:val="21"/>
        </w:rPr>
        <w:t>）</w:t>
      </w:r>
    </w:p>
    <w:p w:rsidR="00B70185" w:rsidRDefault="00000000">
      <w:pPr>
        <w:spacing w:line="300" w:lineRule="auto"/>
        <w:ind w:firstLineChars="200" w:firstLine="420"/>
        <w:rPr>
          <w:szCs w:val="21"/>
        </w:rPr>
      </w:pPr>
      <w:r>
        <w:rPr>
          <w:rFonts w:hint="eastAsia"/>
          <w:szCs w:val="21"/>
        </w:rPr>
        <w:t>（</w:t>
      </w:r>
      <w:r>
        <w:rPr>
          <w:rFonts w:hint="eastAsia"/>
          <w:szCs w:val="21"/>
        </w:rPr>
        <w:t>2</w:t>
      </w:r>
      <w:r>
        <w:rPr>
          <w:rFonts w:hint="eastAsia"/>
          <w:szCs w:val="21"/>
        </w:rPr>
        <w:t>）投诉无门道</w:t>
      </w:r>
    </w:p>
    <w:p w:rsidR="00B70185" w:rsidRDefault="00000000">
      <w:pPr>
        <w:spacing w:line="300" w:lineRule="auto"/>
        <w:ind w:firstLineChars="200" w:firstLine="420"/>
        <w:rPr>
          <w:szCs w:val="21"/>
        </w:rPr>
      </w:pPr>
      <w:r>
        <w:rPr>
          <w:rFonts w:hint="eastAsia"/>
          <w:szCs w:val="21"/>
        </w:rPr>
        <w:t>用户往往“知道自己占理”，却不知道“该找哪个部门管、电话是多少、投诉状怎么写”。例如，面对预付卡跑路，是找商务局还是报案诈骗？面对欠薪，是去劳动监察还是申请仲裁？这种认知与行动的断层，使得大量维权行动止步于茫然中。</w:t>
      </w:r>
    </w:p>
    <w:p w:rsidR="003C7673" w:rsidRDefault="003C7673">
      <w:pPr>
        <w:spacing w:line="300" w:lineRule="auto"/>
        <w:ind w:firstLineChars="200" w:firstLine="420"/>
        <w:rPr>
          <w:szCs w:val="21"/>
        </w:rPr>
      </w:pPr>
      <w:r>
        <w:rPr>
          <w:rFonts w:hint="eastAsia"/>
          <w:szCs w:val="21"/>
        </w:rPr>
        <w:t>（</w:t>
      </w:r>
      <w:r>
        <w:rPr>
          <w:rFonts w:hint="eastAsia"/>
          <w:szCs w:val="21"/>
        </w:rPr>
        <w:t>3</w:t>
      </w:r>
      <w:r>
        <w:rPr>
          <w:rFonts w:hint="eastAsia"/>
          <w:szCs w:val="21"/>
        </w:rPr>
        <w:t>）</w:t>
      </w:r>
      <w:r w:rsidR="00000000">
        <w:rPr>
          <w:rFonts w:hint="eastAsia"/>
          <w:szCs w:val="21"/>
        </w:rPr>
        <w:t>通用</w:t>
      </w:r>
      <w:r w:rsidR="00000000">
        <w:rPr>
          <w:rFonts w:hint="eastAsia"/>
          <w:szCs w:val="21"/>
        </w:rPr>
        <w:t>AI</w:t>
      </w:r>
      <w:r w:rsidR="00000000">
        <w:rPr>
          <w:rFonts w:hint="eastAsia"/>
          <w:szCs w:val="21"/>
        </w:rPr>
        <w:t>的幻觉与空谈</w:t>
      </w:r>
    </w:p>
    <w:p w:rsidR="003C7673" w:rsidRPr="003C7673" w:rsidRDefault="003C7673" w:rsidP="003C7673">
      <w:pPr>
        <w:spacing w:line="300" w:lineRule="auto"/>
        <w:ind w:firstLineChars="200" w:firstLine="420"/>
        <w:rPr>
          <w:szCs w:val="21"/>
        </w:rPr>
      </w:pPr>
      <w:bookmarkStart w:id="4" w:name="_Toc20711"/>
      <w:r w:rsidRPr="003C7673">
        <w:rPr>
          <w:szCs w:val="21"/>
        </w:rPr>
        <w:t>现有的通用大模型缺乏法律垂直领域的严谨训练，存在严重的</w:t>
      </w:r>
      <w:r w:rsidRPr="003C7673">
        <w:rPr>
          <w:szCs w:val="21"/>
        </w:rPr>
        <w:t>“</w:t>
      </w:r>
      <w:r w:rsidRPr="003C7673">
        <w:rPr>
          <w:szCs w:val="21"/>
        </w:rPr>
        <w:t>幻觉</w:t>
      </w:r>
      <w:r w:rsidRPr="003C7673">
        <w:rPr>
          <w:szCs w:val="21"/>
        </w:rPr>
        <w:t>”</w:t>
      </w:r>
      <w:r w:rsidRPr="003C7673">
        <w:rPr>
          <w:szCs w:val="21"/>
        </w:rPr>
        <w:t>问题。据</w:t>
      </w:r>
      <w:r w:rsidRPr="003C7673">
        <w:rPr>
          <w:szCs w:val="21"/>
        </w:rPr>
        <w:t>2025</w:t>
      </w:r>
      <w:r w:rsidRPr="003C7673">
        <w:rPr>
          <w:szCs w:val="21"/>
        </w:rPr>
        <w:t>年最新实证研究，国内</w:t>
      </w:r>
      <w:r w:rsidRPr="003C7673">
        <w:rPr>
          <w:szCs w:val="21"/>
        </w:rPr>
        <w:t>AI</w:t>
      </w:r>
      <w:r w:rsidRPr="003C7673">
        <w:rPr>
          <w:szCs w:val="21"/>
        </w:rPr>
        <w:t>法律工具在法律检索、文书撰写等场景下的平均</w:t>
      </w:r>
      <w:r w:rsidRPr="003C7673">
        <w:rPr>
          <w:szCs w:val="21"/>
        </w:rPr>
        <w:t>“</w:t>
      </w:r>
      <w:r w:rsidRPr="003C7673">
        <w:rPr>
          <w:szCs w:val="21"/>
        </w:rPr>
        <w:t>幻觉率</w:t>
      </w:r>
      <w:r w:rsidRPr="003C7673">
        <w:rPr>
          <w:szCs w:val="21"/>
        </w:rPr>
        <w:t>”</w:t>
      </w:r>
      <w:r w:rsidRPr="003C7673">
        <w:rPr>
          <w:szCs w:val="21"/>
        </w:rPr>
        <w:t>高达</w:t>
      </w:r>
      <w:r w:rsidRPr="003C7673">
        <w:rPr>
          <w:szCs w:val="21"/>
        </w:rPr>
        <w:t>30.8%</w:t>
      </w:r>
      <w:r w:rsidRPr="003C7673">
        <w:rPr>
          <w:szCs w:val="21"/>
        </w:rPr>
        <w:t>。而通用模型在特定法律问题上的幻觉率甚至高达</w:t>
      </w:r>
      <w:r w:rsidRPr="003C7673">
        <w:rPr>
          <w:szCs w:val="21"/>
        </w:rPr>
        <w:t>69%-88%</w:t>
      </w:r>
      <w:r w:rsidRPr="003C7673">
        <w:rPr>
          <w:szCs w:val="21"/>
        </w:rPr>
        <w:t>。这些模型常出现</w:t>
      </w:r>
      <w:r w:rsidRPr="003C7673">
        <w:rPr>
          <w:szCs w:val="21"/>
        </w:rPr>
        <w:t>“</w:t>
      </w:r>
      <w:r w:rsidRPr="003C7673">
        <w:rPr>
          <w:szCs w:val="21"/>
        </w:rPr>
        <w:t>一本正经胡说八道</w:t>
      </w:r>
      <w:r w:rsidRPr="003C7673">
        <w:rPr>
          <w:szCs w:val="21"/>
        </w:rPr>
        <w:t>”</w:t>
      </w:r>
      <w:r w:rsidRPr="003C7673">
        <w:rPr>
          <w:szCs w:val="21"/>
        </w:rPr>
        <w:t>的情况，编造不存在的法条和案例。</w:t>
      </w:r>
    </w:p>
    <w:p w:rsidR="003C7673" w:rsidRPr="003C7673" w:rsidRDefault="003C7673" w:rsidP="003C7673">
      <w:pPr>
        <w:spacing w:line="300" w:lineRule="auto"/>
        <w:ind w:firstLineChars="200" w:firstLine="420"/>
        <w:rPr>
          <w:szCs w:val="21"/>
        </w:rPr>
      </w:pPr>
      <w:r w:rsidRPr="003C7673">
        <w:rPr>
          <w:szCs w:val="21"/>
        </w:rPr>
        <w:t>即便</w:t>
      </w:r>
      <w:r w:rsidRPr="003C7673">
        <w:rPr>
          <w:szCs w:val="21"/>
        </w:rPr>
        <w:t>AI</w:t>
      </w:r>
      <w:r w:rsidRPr="003C7673">
        <w:rPr>
          <w:szCs w:val="21"/>
        </w:rPr>
        <w:t>答对了法条，也往往止步于泛泛的</w:t>
      </w:r>
      <w:r w:rsidRPr="003C7673">
        <w:rPr>
          <w:szCs w:val="21"/>
        </w:rPr>
        <w:t>“</w:t>
      </w:r>
      <w:r w:rsidRPr="003C7673">
        <w:rPr>
          <w:szCs w:val="21"/>
        </w:rPr>
        <w:t>建议咨询律师</w:t>
      </w:r>
      <w:r w:rsidRPr="003C7673">
        <w:rPr>
          <w:szCs w:val="21"/>
        </w:rPr>
        <w:t>”</w:t>
      </w:r>
      <w:r w:rsidRPr="003C7673">
        <w:rPr>
          <w:szCs w:val="21"/>
        </w:rPr>
        <w:t>，无法提供可落地的行动指引，难以满足用户解决问题的刚需。</w:t>
      </w:r>
    </w:p>
    <w:p w:rsidR="00B70185" w:rsidRDefault="00000000">
      <w:pPr>
        <w:pStyle w:val="2"/>
        <w:tabs>
          <w:tab w:val="center" w:pos="4153"/>
        </w:tabs>
        <w:spacing w:line="300" w:lineRule="auto"/>
        <w:ind w:right="210"/>
        <w:rPr>
          <w:rFonts w:ascii="宋体" w:eastAsia="宋体" w:hAnsi="宋体"/>
          <w:sz w:val="21"/>
          <w:szCs w:val="21"/>
        </w:rPr>
      </w:pPr>
      <w:r>
        <w:rPr>
          <w:rFonts w:ascii="宋体" w:eastAsia="宋体" w:hAnsi="宋体" w:hint="eastAsia"/>
          <w:sz w:val="21"/>
          <w:szCs w:val="21"/>
        </w:rPr>
        <w:t>1.2核心技术方案</w:t>
      </w:r>
      <w:bookmarkEnd w:id="4"/>
    </w:p>
    <w:p w:rsidR="00B70185" w:rsidRDefault="00000000">
      <w:pPr>
        <w:pStyle w:val="3"/>
        <w:spacing w:before="0" w:after="0" w:line="300" w:lineRule="auto"/>
        <w:ind w:leftChars="200" w:left="420" w:rightChars="100" w:right="210"/>
        <w:rPr>
          <w:rFonts w:ascii="宋体" w:eastAsia="宋体" w:hAnsi="宋体"/>
          <w:bCs/>
          <w:sz w:val="21"/>
          <w:szCs w:val="32"/>
        </w:rPr>
      </w:pPr>
      <w:bookmarkStart w:id="5" w:name="_Toc22238"/>
      <w:r>
        <w:rPr>
          <w:rFonts w:ascii="宋体" w:eastAsia="宋体" w:hAnsi="宋体" w:hint="eastAsia"/>
          <w:bCs/>
          <w:sz w:val="21"/>
          <w:szCs w:val="32"/>
        </w:rPr>
        <w:t>1.2.1核心技术</w:t>
      </w:r>
      <w:bookmarkEnd w:id="5"/>
    </w:p>
    <w:p w:rsidR="00B70185" w:rsidRDefault="00000000">
      <w:pPr>
        <w:spacing w:line="300" w:lineRule="auto"/>
        <w:ind w:firstLineChars="200" w:firstLine="420"/>
        <w:rPr>
          <w:szCs w:val="21"/>
        </w:rPr>
      </w:pPr>
      <w:r>
        <w:rPr>
          <w:rFonts w:hint="eastAsia"/>
          <w:szCs w:val="21"/>
        </w:rPr>
        <w:t>针对传统法律</w:t>
      </w:r>
      <w:r>
        <w:rPr>
          <w:rFonts w:hint="eastAsia"/>
          <w:szCs w:val="21"/>
        </w:rPr>
        <w:t>AI</w:t>
      </w:r>
      <w:r>
        <w:rPr>
          <w:rFonts w:hint="eastAsia"/>
          <w:szCs w:val="21"/>
        </w:rPr>
        <w:t>普遍存在的“单轮问答逻辑僵化、法律条文引用幻觉率高、推理过程黑盒不可信、服务止步于文本无法落地”等行业共性技术瓶颈，本团队基于国产华为昇腾算力底座，自主研发了“</w:t>
      </w:r>
      <w:r>
        <w:rPr>
          <w:rFonts w:hint="eastAsia"/>
          <w:szCs w:val="21"/>
        </w:rPr>
        <w:t>LawMaster</w:t>
      </w:r>
      <w:r>
        <w:rPr>
          <w:rFonts w:hint="eastAsia"/>
          <w:szCs w:val="21"/>
        </w:rPr>
        <w:t>智能法律行动系统”。该系统突破了通用大模型的静态链式思维，创新性地引入动态规划机制，涉及的核心技术如下：</w:t>
      </w:r>
    </w:p>
    <w:p w:rsidR="00B70185" w:rsidRDefault="00000000">
      <w:pPr>
        <w:spacing w:line="300" w:lineRule="auto"/>
        <w:ind w:firstLineChars="200" w:firstLine="420"/>
        <w:rPr>
          <w:szCs w:val="21"/>
        </w:rPr>
      </w:pPr>
      <w:r>
        <w:rPr>
          <w:rFonts w:hint="eastAsia"/>
          <w:szCs w:val="21"/>
        </w:rPr>
        <w:t>(1)</w:t>
      </w:r>
      <w:r>
        <w:rPr>
          <w:rFonts w:hint="eastAsia"/>
          <w:szCs w:val="21"/>
        </w:rPr>
        <w:t>核心技术一：基于动态骨架</w:t>
      </w:r>
      <w:r>
        <w:rPr>
          <w:rFonts w:hint="eastAsia"/>
          <w:szCs w:val="21"/>
        </w:rPr>
        <w:t>(</w:t>
      </w:r>
      <w:proofErr w:type="spellStart"/>
      <w:r>
        <w:rPr>
          <w:rFonts w:hint="eastAsia"/>
          <w:szCs w:val="21"/>
        </w:rPr>
        <w:t>DynamicSkeleton</w:t>
      </w:r>
      <w:proofErr w:type="spellEnd"/>
      <w:r>
        <w:rPr>
          <w:rFonts w:hint="eastAsia"/>
          <w:szCs w:val="21"/>
        </w:rPr>
        <w:t>)</w:t>
      </w:r>
      <w:r>
        <w:rPr>
          <w:rFonts w:hint="eastAsia"/>
          <w:szCs w:val="21"/>
        </w:rPr>
        <w:t>的自适应</w:t>
      </w:r>
      <w:r>
        <w:rPr>
          <w:rFonts w:hint="eastAsia"/>
          <w:szCs w:val="21"/>
        </w:rPr>
        <w:t>Agent</w:t>
      </w:r>
      <w:r>
        <w:rPr>
          <w:rFonts w:hint="eastAsia"/>
          <w:szCs w:val="21"/>
        </w:rPr>
        <w:t>编排技术</w:t>
      </w:r>
    </w:p>
    <w:p w:rsidR="00B70185" w:rsidRDefault="00000000">
      <w:pPr>
        <w:spacing w:line="300" w:lineRule="auto"/>
        <w:ind w:firstLineChars="200" w:firstLine="420"/>
        <w:rPr>
          <w:szCs w:val="21"/>
        </w:rPr>
      </w:pPr>
      <w:r>
        <w:rPr>
          <w:rFonts w:hint="eastAsia"/>
          <w:szCs w:val="21"/>
        </w:rPr>
        <w:t>传统法律</w:t>
      </w:r>
      <w:r>
        <w:rPr>
          <w:rFonts w:hint="eastAsia"/>
          <w:szCs w:val="21"/>
        </w:rPr>
        <w:t>AI</w:t>
      </w:r>
      <w:r>
        <w:rPr>
          <w:rFonts w:hint="eastAsia"/>
          <w:szCs w:val="21"/>
        </w:rPr>
        <w:t>多采用固定的“检索</w:t>
      </w:r>
      <w:r>
        <w:rPr>
          <w:rFonts w:hint="eastAsia"/>
          <w:szCs w:val="21"/>
        </w:rPr>
        <w:t>-</w:t>
      </w:r>
      <w:r>
        <w:rPr>
          <w:rFonts w:hint="eastAsia"/>
          <w:szCs w:val="21"/>
        </w:rPr>
        <w:t>生成”流水线，面对复杂案情时无法处理缺失信息，也无法根据案情变化调整推理策略，导致回答泛化、缺乏针对性。</w:t>
      </w:r>
    </w:p>
    <w:p w:rsidR="00B70185" w:rsidRDefault="00000000">
      <w:pPr>
        <w:spacing w:line="300" w:lineRule="auto"/>
        <w:ind w:firstLineChars="200" w:firstLine="420"/>
        <w:rPr>
          <w:szCs w:val="21"/>
        </w:rPr>
      </w:pPr>
      <w:r>
        <w:rPr>
          <w:rFonts w:hint="eastAsia"/>
          <w:szCs w:val="21"/>
        </w:rPr>
        <w:t>本项目首创“动态骨架</w:t>
      </w:r>
      <w:r>
        <w:rPr>
          <w:rFonts w:hint="eastAsia"/>
          <w:szCs w:val="21"/>
        </w:rPr>
        <w:t>Agent</w:t>
      </w:r>
      <w:r>
        <w:rPr>
          <w:rFonts w:hint="eastAsia"/>
          <w:szCs w:val="21"/>
        </w:rPr>
        <w:t>”架构。利用大模型作为推理中枢，针对用户输入的非结构化自然语言，实时生成解决问题的执行骨架。系统不再依赖预设的死板流程，而是能够动态调度意图澄清、多源检索、联网核查、文书生成等功能原子组件。</w:t>
      </w:r>
    </w:p>
    <w:p w:rsidR="00B70185" w:rsidRDefault="00000000">
      <w:pPr>
        <w:spacing w:line="300" w:lineRule="auto"/>
        <w:ind w:firstLineChars="200" w:firstLine="420"/>
        <w:rPr>
          <w:szCs w:val="21"/>
        </w:rPr>
      </w:pPr>
      <w:r>
        <w:rPr>
          <w:rFonts w:hint="eastAsia"/>
          <w:szCs w:val="21"/>
        </w:rPr>
        <w:t>实现了从“死板问答”到“主动侦测”的跨越。例如，当案情信息不足时，</w:t>
      </w:r>
      <w:r>
        <w:rPr>
          <w:rFonts w:hint="eastAsia"/>
          <w:szCs w:val="21"/>
        </w:rPr>
        <w:t>Agent</w:t>
      </w:r>
      <w:r>
        <w:rPr>
          <w:rFonts w:hint="eastAsia"/>
          <w:szCs w:val="21"/>
        </w:rPr>
        <w:t>会自动挂起生成任务，触发反向追问动作；当涉及复杂法理时，会自动触发思维链（</w:t>
      </w:r>
      <w:proofErr w:type="spellStart"/>
      <w:r>
        <w:rPr>
          <w:rFonts w:hint="eastAsia"/>
          <w:szCs w:val="21"/>
        </w:rPr>
        <w:t>CoT</w:t>
      </w:r>
      <w:proofErr w:type="spellEnd"/>
      <w:r>
        <w:rPr>
          <w:rFonts w:hint="eastAsia"/>
          <w:szCs w:val="21"/>
        </w:rPr>
        <w:t>）深度</w:t>
      </w:r>
      <w:r>
        <w:rPr>
          <w:rFonts w:hint="eastAsia"/>
          <w:szCs w:val="21"/>
        </w:rPr>
        <w:lastRenderedPageBreak/>
        <w:t>推理。这使得系统能够像资深律师一样，根据案情的动态变化实时调整办案策略。</w:t>
      </w:r>
    </w:p>
    <w:p w:rsidR="00B70185" w:rsidRDefault="00000000">
      <w:pPr>
        <w:spacing w:line="300" w:lineRule="auto"/>
        <w:ind w:firstLineChars="200" w:firstLine="420"/>
        <w:rPr>
          <w:szCs w:val="21"/>
        </w:rPr>
      </w:pPr>
      <w:r>
        <w:rPr>
          <w:rFonts w:hint="eastAsia"/>
          <w:szCs w:val="21"/>
        </w:rPr>
        <w:t>(2)</w:t>
      </w:r>
      <w:r>
        <w:rPr>
          <w:rFonts w:hint="eastAsia"/>
          <w:szCs w:val="21"/>
        </w:rPr>
        <w:t>核心技术二：面向法律垂直领域的多源异构混合检索增强</w:t>
      </w:r>
      <w:r>
        <w:rPr>
          <w:rFonts w:hint="eastAsia"/>
          <w:szCs w:val="21"/>
        </w:rPr>
        <w:t>(</w:t>
      </w:r>
      <w:proofErr w:type="spellStart"/>
      <w:r>
        <w:rPr>
          <w:rFonts w:hint="eastAsia"/>
          <w:szCs w:val="21"/>
        </w:rPr>
        <w:t>HybridRAG</w:t>
      </w:r>
      <w:proofErr w:type="spellEnd"/>
      <w:r>
        <w:rPr>
          <w:rFonts w:hint="eastAsia"/>
          <w:szCs w:val="21"/>
        </w:rPr>
        <w:t>)</w:t>
      </w:r>
      <w:r>
        <w:rPr>
          <w:rFonts w:hint="eastAsia"/>
          <w:szCs w:val="21"/>
        </w:rPr>
        <w:t>技术</w:t>
      </w:r>
    </w:p>
    <w:p w:rsidR="00B70185" w:rsidRDefault="00000000">
      <w:pPr>
        <w:spacing w:line="300" w:lineRule="auto"/>
        <w:ind w:firstLineChars="200" w:firstLine="420"/>
        <w:rPr>
          <w:szCs w:val="21"/>
        </w:rPr>
      </w:pPr>
      <w:r>
        <w:rPr>
          <w:rFonts w:hint="eastAsia"/>
          <w:szCs w:val="21"/>
        </w:rPr>
        <w:t>通用大模型（如豆包、</w:t>
      </w:r>
      <w:proofErr w:type="spellStart"/>
      <w:r>
        <w:rPr>
          <w:szCs w:val="21"/>
        </w:rPr>
        <w:t>deepseek</w:t>
      </w:r>
      <w:proofErr w:type="spellEnd"/>
      <w:r>
        <w:rPr>
          <w:rFonts w:hint="eastAsia"/>
          <w:szCs w:val="21"/>
        </w:rPr>
        <w:t>）缺乏法律领域的精确知识，常出现编造法条的幻觉现象；单一的向量检索难以精确匹配具体的法条编号和专业术语，导致召回率低。</w:t>
      </w:r>
    </w:p>
    <w:p w:rsidR="00B70185" w:rsidRDefault="00000000">
      <w:pPr>
        <w:spacing w:line="300" w:lineRule="auto"/>
        <w:ind w:firstLineChars="200" w:firstLine="420"/>
        <w:rPr>
          <w:szCs w:val="21"/>
        </w:rPr>
      </w:pPr>
      <w:r>
        <w:rPr>
          <w:rFonts w:hint="eastAsia"/>
          <w:szCs w:val="21"/>
        </w:rPr>
        <w:t>我们给系统构建了包含“结构化法条库</w:t>
      </w:r>
      <w:r>
        <w:rPr>
          <w:rFonts w:hint="eastAsia"/>
          <w:szCs w:val="21"/>
        </w:rPr>
        <w:t>+</w:t>
      </w:r>
      <w:r>
        <w:rPr>
          <w:rFonts w:hint="eastAsia"/>
          <w:szCs w:val="21"/>
        </w:rPr>
        <w:t>千万级裁判文书库</w:t>
      </w:r>
      <w:r>
        <w:rPr>
          <w:rFonts w:hint="eastAsia"/>
          <w:szCs w:val="21"/>
        </w:rPr>
        <w:t>+</w:t>
      </w:r>
      <w:r>
        <w:rPr>
          <w:rFonts w:hint="eastAsia"/>
          <w:szCs w:val="21"/>
        </w:rPr>
        <w:t>实时互联网判例”的多源异构知识底座。创新采用“稀疏检索（</w:t>
      </w:r>
      <w:r>
        <w:rPr>
          <w:rFonts w:hint="eastAsia"/>
          <w:szCs w:val="21"/>
        </w:rPr>
        <w:t>BM25</w:t>
      </w:r>
      <w:r>
        <w:rPr>
          <w:rFonts w:hint="eastAsia"/>
          <w:szCs w:val="21"/>
        </w:rPr>
        <w:t>）</w:t>
      </w:r>
      <w:r>
        <w:rPr>
          <w:rFonts w:hint="eastAsia"/>
          <w:szCs w:val="21"/>
        </w:rPr>
        <w:t>+</w:t>
      </w:r>
      <w:r>
        <w:rPr>
          <w:rFonts w:hint="eastAsia"/>
          <w:szCs w:val="21"/>
        </w:rPr>
        <w:t>稠密向量检索（</w:t>
      </w:r>
      <w:r>
        <w:rPr>
          <w:rFonts w:hint="eastAsia"/>
          <w:szCs w:val="21"/>
        </w:rPr>
        <w:t>Embedding</w:t>
      </w:r>
      <w:r>
        <w:rPr>
          <w:rFonts w:hint="eastAsia"/>
          <w:szCs w:val="21"/>
        </w:rPr>
        <w:t>）”的双路混合召回机制，并引入</w:t>
      </w:r>
      <w:proofErr w:type="spellStart"/>
      <w:r>
        <w:rPr>
          <w:rFonts w:hint="eastAsia"/>
          <w:szCs w:val="21"/>
        </w:rPr>
        <w:t>HyDE</w:t>
      </w:r>
      <w:proofErr w:type="spellEnd"/>
      <w:r>
        <w:rPr>
          <w:rFonts w:hint="eastAsia"/>
          <w:szCs w:val="21"/>
        </w:rPr>
        <w:t>（假设性文档嵌入）技术，先生成假设性法律答案作为锚点，再进行高精度检索比对。</w:t>
      </w:r>
    </w:p>
    <w:p w:rsidR="00B70185" w:rsidRDefault="00000000">
      <w:pPr>
        <w:spacing w:line="300" w:lineRule="auto"/>
        <w:ind w:firstLineChars="200" w:firstLine="420"/>
        <w:rPr>
          <w:szCs w:val="21"/>
        </w:rPr>
      </w:pPr>
      <w:r>
        <w:rPr>
          <w:rFonts w:hint="eastAsia"/>
          <w:szCs w:val="21"/>
        </w:rPr>
        <w:t>在模型的不断迭代更新下，</w:t>
      </w:r>
      <w:r>
        <w:rPr>
          <w:szCs w:val="21"/>
        </w:rPr>
        <w:t>LawMaster</w:t>
      </w:r>
      <w:r>
        <w:rPr>
          <w:rFonts w:hint="eastAsia"/>
          <w:szCs w:val="21"/>
        </w:rPr>
        <w:t>彻底解决了</w:t>
      </w:r>
      <w:r>
        <w:rPr>
          <w:rFonts w:hint="eastAsia"/>
          <w:szCs w:val="21"/>
        </w:rPr>
        <w:t>AI</w:t>
      </w:r>
      <w:r>
        <w:rPr>
          <w:rFonts w:hint="eastAsia"/>
          <w:szCs w:val="21"/>
        </w:rPr>
        <w:t>幻觉问题。</w:t>
      </w:r>
      <w:r>
        <w:rPr>
          <w:rFonts w:hint="eastAsia"/>
          <w:szCs w:val="21"/>
          <w:highlight w:val="yellow"/>
        </w:rPr>
        <w:t>双路召回机制既保留了对专业术语的精确匹配（如“劳动合同法第</w:t>
      </w:r>
      <w:r>
        <w:rPr>
          <w:rFonts w:hint="eastAsia"/>
          <w:szCs w:val="21"/>
          <w:highlight w:val="yellow"/>
        </w:rPr>
        <w:t>82</w:t>
      </w:r>
      <w:r>
        <w:rPr>
          <w:rFonts w:hint="eastAsia"/>
          <w:szCs w:val="21"/>
          <w:highlight w:val="yellow"/>
        </w:rPr>
        <w:t>条”），又兼顾了对案情描述的语义理解（如“老板跑路了”）。</w:t>
      </w:r>
      <w:r>
        <w:rPr>
          <w:rFonts w:hint="eastAsia"/>
          <w:szCs w:val="21"/>
        </w:rPr>
        <w:t>系统输出的每一句建议均强制挂载真实法条与类案链接，确保法律依据的零差错与可溯源。</w:t>
      </w:r>
    </w:p>
    <w:p w:rsidR="00B70185" w:rsidRDefault="00000000">
      <w:pPr>
        <w:spacing w:line="300" w:lineRule="auto"/>
        <w:ind w:firstLineChars="200" w:firstLine="420"/>
        <w:rPr>
          <w:szCs w:val="21"/>
        </w:rPr>
      </w:pPr>
      <w:r>
        <w:rPr>
          <w:rFonts w:hint="eastAsia"/>
          <w:szCs w:val="21"/>
        </w:rPr>
        <w:t>(3)</w:t>
      </w:r>
      <w:r>
        <w:rPr>
          <w:rFonts w:hint="eastAsia"/>
          <w:szCs w:val="21"/>
        </w:rPr>
        <w:t>核心技术三：基于思维链可视化的可解释性推理与文书自动化生成技术</w:t>
      </w:r>
    </w:p>
    <w:p w:rsidR="00B70185" w:rsidRDefault="00000000">
      <w:pPr>
        <w:spacing w:line="300" w:lineRule="auto"/>
        <w:ind w:firstLineChars="200" w:firstLine="420"/>
        <w:rPr>
          <w:szCs w:val="21"/>
        </w:rPr>
      </w:pPr>
      <w:r>
        <w:rPr>
          <w:rFonts w:hint="eastAsia"/>
          <w:szCs w:val="21"/>
        </w:rPr>
        <w:t>法律服务的核心在于信任，而传统</w:t>
      </w:r>
      <w:r>
        <w:rPr>
          <w:rFonts w:hint="eastAsia"/>
          <w:szCs w:val="21"/>
        </w:rPr>
        <w:t>AI</w:t>
      </w:r>
      <w:r>
        <w:rPr>
          <w:rFonts w:hint="eastAsia"/>
          <w:szCs w:val="21"/>
        </w:rPr>
        <w:t>的黑盒推理模式让用户无法理解建议背后的逻辑，导致不敢采用；且服务往往止步于文本建议，无法生成符合法院立案标准的规范文书。</w:t>
      </w:r>
    </w:p>
    <w:p w:rsidR="00B70185" w:rsidRDefault="00000000">
      <w:pPr>
        <w:spacing w:line="300" w:lineRule="auto"/>
        <w:ind w:firstLineChars="200" w:firstLine="420"/>
        <w:rPr>
          <w:szCs w:val="21"/>
        </w:rPr>
      </w:pPr>
      <w:r>
        <w:rPr>
          <w:rFonts w:hint="eastAsia"/>
          <w:szCs w:val="21"/>
        </w:rPr>
        <w:t>我们开发了“推理过程白盒化”引擎。系统将</w:t>
      </w:r>
      <w:r>
        <w:rPr>
          <w:rFonts w:hint="eastAsia"/>
          <w:szCs w:val="21"/>
        </w:rPr>
        <w:t>Agent</w:t>
      </w:r>
      <w:r>
        <w:rPr>
          <w:rFonts w:hint="eastAsia"/>
          <w:szCs w:val="21"/>
        </w:rPr>
        <w:t>的思考路径（事实认定→焦点归纳→法条匹配→结论推导）</w:t>
      </w:r>
      <w:r>
        <w:rPr>
          <w:rFonts w:hint="eastAsia"/>
          <w:b/>
          <w:bCs/>
          <w:szCs w:val="21"/>
        </w:rPr>
        <w:t>实时转化为可视化的法律思维导图</w:t>
      </w:r>
      <w:r>
        <w:rPr>
          <w:rFonts w:hint="eastAsia"/>
          <w:szCs w:val="21"/>
        </w:rPr>
        <w:t>。同时，基于千万级文书语料训练了专用的文书生成模型，能够根据推理结果自动填充起诉状、投诉信等标准化模版。解决了“信任”与“落地”的最后一公里难题。</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6" w:name="_Toc16785"/>
      <w:r>
        <w:rPr>
          <w:rFonts w:ascii="宋体" w:eastAsia="宋体" w:hAnsi="宋体" w:hint="eastAsia"/>
          <w:bCs/>
          <w:sz w:val="21"/>
          <w:szCs w:val="32"/>
        </w:rPr>
        <w:t>1.2.2目标产品</w:t>
      </w:r>
      <w:bookmarkEnd w:id="6"/>
    </w:p>
    <w:p w:rsidR="00404FE8" w:rsidRPr="00404FE8" w:rsidRDefault="00404FE8" w:rsidP="00404FE8">
      <w:pPr>
        <w:spacing w:line="300" w:lineRule="auto"/>
        <w:ind w:firstLineChars="200" w:firstLine="420"/>
        <w:rPr>
          <w:szCs w:val="21"/>
        </w:rPr>
      </w:pPr>
      <w:bookmarkStart w:id="7" w:name="_Toc26210"/>
      <w:r w:rsidRPr="00404FE8">
        <w:rPr>
          <w:szCs w:val="21"/>
        </w:rPr>
        <w:t>开发一套</w:t>
      </w:r>
      <w:r w:rsidRPr="00404FE8">
        <w:rPr>
          <w:b/>
          <w:bCs/>
          <w:szCs w:val="21"/>
        </w:rPr>
        <w:t>基于国产算力的全流程智能法律行动助手</w:t>
      </w:r>
      <w:r w:rsidRPr="00404FE8">
        <w:rPr>
          <w:szCs w:val="21"/>
        </w:rPr>
        <w:t>，实现从用户口语化表述到专业法律文书交付的端到端自动化。针对不同金额的纠纷，提供分层级服务：</w:t>
      </w:r>
    </w:p>
    <w:p w:rsidR="00404FE8" w:rsidRPr="00404FE8" w:rsidRDefault="00404FE8" w:rsidP="00404FE8">
      <w:pPr>
        <w:spacing w:line="300" w:lineRule="auto"/>
        <w:ind w:firstLineChars="200" w:firstLine="420"/>
        <w:rPr>
          <w:szCs w:val="21"/>
        </w:rPr>
      </w:pPr>
      <w:r w:rsidRPr="00404FE8">
        <w:rPr>
          <w:szCs w:val="21"/>
        </w:rPr>
        <w:t>0-2000</w:t>
      </w:r>
      <w:r w:rsidRPr="00404FE8">
        <w:rPr>
          <w:szCs w:val="21"/>
        </w:rPr>
        <w:t>元纠纷：以</w:t>
      </w:r>
      <w:r w:rsidRPr="00404FE8">
        <w:rPr>
          <w:szCs w:val="21"/>
        </w:rPr>
        <w:t>“</w:t>
      </w:r>
      <w:r w:rsidRPr="00404FE8">
        <w:rPr>
          <w:szCs w:val="21"/>
        </w:rPr>
        <w:t>施压工具包</w:t>
      </w:r>
      <w:r w:rsidRPr="00404FE8">
        <w:rPr>
          <w:szCs w:val="21"/>
        </w:rPr>
        <w:t>”</w:t>
      </w:r>
      <w:r w:rsidRPr="00404FE8">
        <w:rPr>
          <w:szCs w:val="21"/>
        </w:rPr>
        <w:t>为核心，提供法条依据、投诉话术、举报渠道导航，帮助用户通过非诉途径高效维权。</w:t>
      </w:r>
    </w:p>
    <w:p w:rsidR="00404FE8" w:rsidRPr="00404FE8" w:rsidRDefault="00404FE8" w:rsidP="00404FE8">
      <w:pPr>
        <w:spacing w:line="300" w:lineRule="auto"/>
        <w:ind w:firstLineChars="200" w:firstLine="420"/>
        <w:rPr>
          <w:szCs w:val="21"/>
        </w:rPr>
      </w:pPr>
      <w:r w:rsidRPr="00404FE8">
        <w:rPr>
          <w:szCs w:val="21"/>
        </w:rPr>
        <w:t>2000-30000</w:t>
      </w:r>
      <w:r w:rsidRPr="00404FE8">
        <w:rPr>
          <w:szCs w:val="21"/>
        </w:rPr>
        <w:t>元纠纷：以</w:t>
      </w:r>
      <w:r w:rsidRPr="00404FE8">
        <w:rPr>
          <w:szCs w:val="21"/>
        </w:rPr>
        <w:t>“</w:t>
      </w:r>
      <w:r w:rsidRPr="00404FE8">
        <w:rPr>
          <w:szCs w:val="21"/>
        </w:rPr>
        <w:t>专业文书支持</w:t>
      </w:r>
      <w:r w:rsidRPr="00404FE8">
        <w:rPr>
          <w:szCs w:val="21"/>
        </w:rPr>
        <w:t>”</w:t>
      </w:r>
      <w:r w:rsidRPr="00404FE8">
        <w:rPr>
          <w:szCs w:val="21"/>
        </w:rPr>
        <w:t>为核心，自动生成符合立案标准的起诉状、仲裁申请书等法律文书，帮助用户跨越立案门槛。</w:t>
      </w:r>
    </w:p>
    <w:p w:rsidR="00404FE8" w:rsidRPr="00404FE8" w:rsidRDefault="00404FE8" w:rsidP="00404FE8">
      <w:pPr>
        <w:spacing w:line="300" w:lineRule="auto"/>
        <w:ind w:firstLineChars="200" w:firstLine="420"/>
        <w:rPr>
          <w:szCs w:val="21"/>
        </w:rPr>
      </w:pPr>
      <w:r w:rsidRPr="00404FE8">
        <w:rPr>
          <w:szCs w:val="21"/>
        </w:rPr>
        <w:t>最终产品将用于解决长尾人群</w:t>
      </w:r>
      <w:r w:rsidRPr="00404FE8">
        <w:rPr>
          <w:szCs w:val="21"/>
        </w:rPr>
        <w:t>“</w:t>
      </w:r>
      <w:r w:rsidRPr="00404FE8">
        <w:rPr>
          <w:szCs w:val="21"/>
        </w:rPr>
        <w:t>请不起律师、不懂法、不会办</w:t>
      </w:r>
      <w:r w:rsidRPr="00404FE8">
        <w:rPr>
          <w:szCs w:val="21"/>
        </w:rPr>
        <w:t>”</w:t>
      </w:r>
      <w:r w:rsidRPr="00404FE8">
        <w:rPr>
          <w:szCs w:val="21"/>
        </w:rPr>
        <w:t>的现实法律困境。</w:t>
      </w:r>
    </w:p>
    <w:p w:rsidR="00B70185" w:rsidRDefault="00000000">
      <w:pPr>
        <w:pStyle w:val="3"/>
        <w:spacing w:before="0" w:after="0" w:line="300" w:lineRule="auto"/>
        <w:ind w:leftChars="200" w:left="420" w:rightChars="100" w:right="210"/>
        <w:rPr>
          <w:rFonts w:ascii="宋体" w:eastAsia="宋体" w:hAnsi="宋体"/>
          <w:bCs/>
          <w:sz w:val="21"/>
          <w:szCs w:val="32"/>
        </w:rPr>
      </w:pPr>
      <w:r>
        <w:rPr>
          <w:rFonts w:ascii="宋体" w:eastAsia="宋体" w:hAnsi="宋体" w:hint="eastAsia"/>
          <w:bCs/>
          <w:sz w:val="21"/>
          <w:szCs w:val="32"/>
        </w:rPr>
        <w:t>1.2.3研发成果</w:t>
      </w:r>
      <w:bookmarkEnd w:id="7"/>
    </w:p>
    <w:p w:rsidR="00B70185" w:rsidRDefault="00000000">
      <w:pPr>
        <w:spacing w:line="300" w:lineRule="auto"/>
        <w:ind w:firstLineChars="200" w:firstLine="420"/>
        <w:rPr>
          <w:szCs w:val="21"/>
          <w:highlight w:val="yellow"/>
        </w:rPr>
      </w:pPr>
      <w:r>
        <w:rPr>
          <w:rFonts w:hint="eastAsia"/>
          <w:szCs w:val="21"/>
          <w:highlight w:val="yellow"/>
        </w:rPr>
        <w:t>（</w:t>
      </w:r>
      <w:r>
        <w:rPr>
          <w:rFonts w:hint="eastAsia"/>
          <w:szCs w:val="21"/>
          <w:highlight w:val="yellow"/>
        </w:rPr>
        <w:t>1</w:t>
      </w:r>
      <w:r>
        <w:rPr>
          <w:rFonts w:hint="eastAsia"/>
          <w:szCs w:val="21"/>
          <w:highlight w:val="yellow"/>
        </w:rPr>
        <w:t>）技术成果</w:t>
      </w:r>
    </w:p>
    <w:p w:rsidR="00B70185" w:rsidRDefault="00000000">
      <w:pPr>
        <w:spacing w:line="300" w:lineRule="auto"/>
        <w:ind w:firstLineChars="200" w:firstLine="420"/>
        <w:rPr>
          <w:szCs w:val="21"/>
          <w:highlight w:val="yellow"/>
        </w:rPr>
      </w:pPr>
      <w:r>
        <w:rPr>
          <w:rFonts w:hint="eastAsia"/>
          <w:szCs w:val="21"/>
          <w:highlight w:val="yellow"/>
        </w:rPr>
        <w:t>（</w:t>
      </w:r>
      <w:r>
        <w:rPr>
          <w:rFonts w:hint="eastAsia"/>
          <w:szCs w:val="21"/>
          <w:highlight w:val="yellow"/>
        </w:rPr>
        <w:t>2</w:t>
      </w:r>
      <w:r>
        <w:rPr>
          <w:rFonts w:hint="eastAsia"/>
          <w:szCs w:val="21"/>
          <w:highlight w:val="yellow"/>
        </w:rPr>
        <w:t>）软著：《法规案例智能检索平台</w:t>
      </w:r>
      <w:r>
        <w:rPr>
          <w:rFonts w:hint="eastAsia"/>
          <w:szCs w:val="21"/>
          <w:highlight w:val="yellow"/>
        </w:rPr>
        <w:t>V1.0</w:t>
      </w:r>
      <w:r>
        <w:rPr>
          <w:rFonts w:hint="eastAsia"/>
          <w:szCs w:val="21"/>
          <w:highlight w:val="yellow"/>
        </w:rPr>
        <w:t>》《强化学习驱动多智能体交互软件》</w:t>
      </w:r>
    </w:p>
    <w:p w:rsidR="00B70185" w:rsidRDefault="00000000">
      <w:pPr>
        <w:spacing w:line="300" w:lineRule="auto"/>
        <w:ind w:firstLineChars="200" w:firstLine="420"/>
        <w:rPr>
          <w:szCs w:val="21"/>
          <w:highlight w:val="yellow"/>
        </w:rPr>
      </w:pPr>
      <w:r>
        <w:rPr>
          <w:rFonts w:hint="eastAsia"/>
          <w:szCs w:val="21"/>
          <w:highlight w:val="yellow"/>
        </w:rPr>
        <w:t>（</w:t>
      </w:r>
      <w:r>
        <w:rPr>
          <w:rFonts w:hint="eastAsia"/>
          <w:szCs w:val="21"/>
          <w:highlight w:val="yellow"/>
        </w:rPr>
        <w:t>3</w:t>
      </w:r>
      <w:r>
        <w:rPr>
          <w:rFonts w:hint="eastAsia"/>
          <w:szCs w:val="21"/>
          <w:highlight w:val="yellow"/>
        </w:rPr>
        <w:t>）论文</w:t>
      </w:r>
    </w:p>
    <w:p w:rsidR="00B70185" w:rsidRDefault="00000000">
      <w:pPr>
        <w:pStyle w:val="2"/>
        <w:tabs>
          <w:tab w:val="center" w:pos="4153"/>
        </w:tabs>
        <w:spacing w:line="300" w:lineRule="auto"/>
        <w:ind w:right="210"/>
        <w:rPr>
          <w:rFonts w:ascii="宋体" w:eastAsia="宋体" w:hAnsi="宋体"/>
          <w:sz w:val="21"/>
          <w:szCs w:val="21"/>
        </w:rPr>
      </w:pPr>
      <w:bookmarkStart w:id="8" w:name="_Toc31006"/>
      <w:r>
        <w:rPr>
          <w:rFonts w:ascii="宋体" w:eastAsia="宋体" w:hAnsi="宋体" w:hint="eastAsia"/>
          <w:sz w:val="21"/>
          <w:szCs w:val="21"/>
        </w:rPr>
        <w:t>1.3核心竞争优势</w:t>
      </w:r>
      <w:bookmarkEnd w:id="8"/>
    </w:p>
    <w:p w:rsidR="00B70185" w:rsidRDefault="00000000">
      <w:pPr>
        <w:spacing w:line="300" w:lineRule="auto"/>
        <w:ind w:firstLineChars="200" w:firstLine="420"/>
        <w:rPr>
          <w:szCs w:val="21"/>
        </w:rPr>
      </w:pPr>
      <w:r>
        <w:rPr>
          <w:rFonts w:hint="eastAsia"/>
          <w:szCs w:val="21"/>
        </w:rPr>
        <w:t>（</w:t>
      </w:r>
      <w:r>
        <w:rPr>
          <w:rFonts w:hint="eastAsia"/>
          <w:szCs w:val="21"/>
        </w:rPr>
        <w:t>1</w:t>
      </w:r>
      <w:r>
        <w:rPr>
          <w:rFonts w:hint="eastAsia"/>
          <w:szCs w:val="21"/>
        </w:rPr>
        <w:t>）交互范式革命</w:t>
      </w:r>
    </w:p>
    <w:p w:rsidR="00B70185" w:rsidRDefault="00000000">
      <w:pPr>
        <w:spacing w:line="300" w:lineRule="auto"/>
        <w:ind w:firstLineChars="200" w:firstLine="420"/>
        <w:rPr>
          <w:szCs w:val="21"/>
        </w:rPr>
      </w:pPr>
      <w:r>
        <w:rPr>
          <w:rFonts w:hint="eastAsia"/>
          <w:szCs w:val="21"/>
        </w:rPr>
        <w:t>基于独创的动态骨架</w:t>
      </w:r>
      <w:r w:rsidR="00404FE8">
        <w:rPr>
          <w:rFonts w:hint="eastAsia"/>
          <w:szCs w:val="21"/>
        </w:rPr>
        <w:t>智能体（</w:t>
      </w:r>
      <w:r>
        <w:rPr>
          <w:rFonts w:hint="eastAsia"/>
          <w:szCs w:val="21"/>
        </w:rPr>
        <w:t>Agent</w:t>
      </w:r>
      <w:r w:rsidR="00404FE8">
        <w:rPr>
          <w:rFonts w:hint="eastAsia"/>
          <w:szCs w:val="21"/>
        </w:rPr>
        <w:t>）</w:t>
      </w:r>
      <w:r>
        <w:rPr>
          <w:rFonts w:hint="eastAsia"/>
          <w:szCs w:val="21"/>
        </w:rPr>
        <w:t>架构，系统具备类律师的职业直觉。用户仅需模糊描述遭遇，</w:t>
      </w:r>
      <w:r>
        <w:rPr>
          <w:rFonts w:hint="eastAsia"/>
          <w:b/>
          <w:bCs/>
          <w:szCs w:val="21"/>
        </w:rPr>
        <w:t xml:space="preserve">AI </w:t>
      </w:r>
      <w:r>
        <w:rPr>
          <w:rFonts w:hint="eastAsia"/>
          <w:b/>
          <w:bCs/>
          <w:szCs w:val="21"/>
        </w:rPr>
        <w:t>即可自主拆解意图，动态调度</w:t>
      </w:r>
      <w:r>
        <w:rPr>
          <w:rFonts w:hint="eastAsia"/>
          <w:b/>
          <w:bCs/>
          <w:szCs w:val="21"/>
        </w:rPr>
        <w:t xml:space="preserve"> OCR </w:t>
      </w:r>
      <w:r>
        <w:rPr>
          <w:rFonts w:hint="eastAsia"/>
          <w:b/>
          <w:bCs/>
          <w:szCs w:val="21"/>
        </w:rPr>
        <w:t>识别、网页搜索、</w:t>
      </w:r>
      <w:r w:rsidR="00404FE8">
        <w:rPr>
          <w:rFonts w:hint="eastAsia"/>
          <w:b/>
          <w:bCs/>
          <w:szCs w:val="21"/>
        </w:rPr>
        <w:t>录音分析、</w:t>
      </w:r>
      <w:r>
        <w:rPr>
          <w:rFonts w:hint="eastAsia"/>
          <w:b/>
          <w:bCs/>
          <w:szCs w:val="21"/>
        </w:rPr>
        <w:t>深度推</w:t>
      </w:r>
      <w:r>
        <w:rPr>
          <w:rFonts w:hint="eastAsia"/>
          <w:b/>
          <w:bCs/>
          <w:szCs w:val="21"/>
        </w:rPr>
        <w:lastRenderedPageBreak/>
        <w:t>理等行动组件</w:t>
      </w:r>
      <w:r>
        <w:rPr>
          <w:rFonts w:hint="eastAsia"/>
          <w:szCs w:val="21"/>
        </w:rPr>
        <w:t>，主动反向追问关键细节（如“是否签过字？”），</w:t>
      </w:r>
      <w:r>
        <w:rPr>
          <w:rFonts w:hint="eastAsia"/>
          <w:b/>
          <w:bCs/>
          <w:szCs w:val="21"/>
        </w:rPr>
        <w:t>最终直接输出包含“话术</w:t>
      </w:r>
      <w:r>
        <w:rPr>
          <w:rFonts w:hint="eastAsia"/>
          <w:b/>
          <w:bCs/>
          <w:szCs w:val="21"/>
        </w:rPr>
        <w:t>+</w:t>
      </w:r>
      <w:r>
        <w:rPr>
          <w:rFonts w:hint="eastAsia"/>
          <w:b/>
          <w:bCs/>
          <w:szCs w:val="21"/>
        </w:rPr>
        <w:t>文书</w:t>
      </w:r>
      <w:r>
        <w:rPr>
          <w:rFonts w:hint="eastAsia"/>
          <w:b/>
          <w:bCs/>
          <w:szCs w:val="21"/>
        </w:rPr>
        <w:t>+</w:t>
      </w:r>
      <w:r>
        <w:rPr>
          <w:rFonts w:hint="eastAsia"/>
          <w:b/>
          <w:bCs/>
          <w:szCs w:val="21"/>
        </w:rPr>
        <w:t>路径导航”的保姆级维权行动指南</w:t>
      </w:r>
      <w:r>
        <w:rPr>
          <w:rFonts w:hint="eastAsia"/>
          <w:szCs w:val="21"/>
        </w:rPr>
        <w:t>，实现零门槛维权。</w:t>
      </w:r>
    </w:p>
    <w:p w:rsidR="00B70185" w:rsidRDefault="00000000">
      <w:pPr>
        <w:spacing w:line="300" w:lineRule="auto"/>
        <w:ind w:firstLineChars="200" w:firstLine="420"/>
        <w:rPr>
          <w:szCs w:val="21"/>
        </w:rPr>
      </w:pPr>
      <w:r>
        <w:rPr>
          <w:rFonts w:hint="eastAsia"/>
          <w:szCs w:val="21"/>
        </w:rPr>
        <w:t>（</w:t>
      </w:r>
      <w:r>
        <w:rPr>
          <w:rFonts w:hint="eastAsia"/>
          <w:szCs w:val="21"/>
        </w:rPr>
        <w:t>2</w:t>
      </w:r>
      <w:r>
        <w:rPr>
          <w:rFonts w:hint="eastAsia"/>
          <w:szCs w:val="21"/>
        </w:rPr>
        <w:t>）知识资产壁垒</w:t>
      </w:r>
    </w:p>
    <w:p w:rsidR="00B70185" w:rsidRDefault="00000000">
      <w:pPr>
        <w:spacing w:line="300" w:lineRule="auto"/>
        <w:ind w:firstLineChars="200" w:firstLine="420"/>
        <w:rPr>
          <w:szCs w:val="21"/>
        </w:rPr>
      </w:pPr>
      <w:r>
        <w:rPr>
          <w:rFonts w:hint="eastAsia"/>
          <w:szCs w:val="21"/>
        </w:rPr>
        <w:t>摒弃了通用语料的随意性，</w:t>
      </w:r>
      <w:r>
        <w:rPr>
          <w:rFonts w:hint="eastAsia"/>
          <w:szCs w:val="21"/>
        </w:rPr>
        <w:t>LAWMASTER</w:t>
      </w:r>
      <w:r>
        <w:rPr>
          <w:rFonts w:hint="eastAsia"/>
          <w:szCs w:val="21"/>
        </w:rPr>
        <w:t>构建了行业稀缺的垂直领域知识库。模型的底层数据不仅包含公开法条，</w:t>
      </w:r>
      <w:r>
        <w:rPr>
          <w:rFonts w:hint="eastAsia"/>
          <w:b/>
          <w:bCs/>
          <w:szCs w:val="21"/>
        </w:rPr>
        <w:t>更深度清洗切分了</w:t>
      </w:r>
      <w:r>
        <w:rPr>
          <w:rFonts w:hint="eastAsia"/>
          <w:b/>
          <w:bCs/>
          <w:szCs w:val="21"/>
        </w:rPr>
        <w:t xml:space="preserve"> 200+ </w:t>
      </w:r>
      <w:r>
        <w:rPr>
          <w:rFonts w:hint="eastAsia"/>
          <w:b/>
          <w:bCs/>
          <w:szCs w:val="21"/>
        </w:rPr>
        <w:t>本经典法学著作期刊及千万级精选判例</w:t>
      </w:r>
      <w:r>
        <w:rPr>
          <w:rFonts w:hint="eastAsia"/>
          <w:szCs w:val="21"/>
        </w:rPr>
        <w:t>，形成了独有的“法理金标数据”。每一次回答均在右侧实时挂载精准法条与类案来源，确保建议如教科书般严谨，杜绝天马行空的胡编乱造。</w:t>
      </w:r>
    </w:p>
    <w:p w:rsidR="00B70185" w:rsidRDefault="00000000">
      <w:pPr>
        <w:spacing w:line="300" w:lineRule="auto"/>
        <w:ind w:firstLineChars="200" w:firstLine="420"/>
        <w:rPr>
          <w:szCs w:val="21"/>
        </w:rPr>
      </w:pPr>
      <w:r>
        <w:rPr>
          <w:rFonts w:hint="eastAsia"/>
          <w:szCs w:val="21"/>
        </w:rPr>
        <w:t>（</w:t>
      </w:r>
      <w:r>
        <w:rPr>
          <w:rFonts w:hint="eastAsia"/>
          <w:szCs w:val="21"/>
        </w:rPr>
        <w:t>3</w:t>
      </w:r>
      <w:r>
        <w:rPr>
          <w:rFonts w:hint="eastAsia"/>
          <w:szCs w:val="21"/>
        </w:rPr>
        <w:t>）技术底座优势</w:t>
      </w:r>
    </w:p>
    <w:p w:rsidR="00B70185" w:rsidRDefault="00000000">
      <w:pPr>
        <w:spacing w:line="300" w:lineRule="auto"/>
        <w:ind w:firstLineChars="200" w:firstLine="420"/>
        <w:rPr>
          <w:szCs w:val="21"/>
        </w:rPr>
      </w:pPr>
      <w:r>
        <w:rPr>
          <w:rFonts w:hint="eastAsia"/>
          <w:szCs w:val="21"/>
        </w:rPr>
        <w:t>系统模型全量适配华为鲲鹏</w:t>
      </w:r>
      <w:r>
        <w:rPr>
          <w:rFonts w:hint="eastAsia"/>
          <w:szCs w:val="21"/>
        </w:rPr>
        <w:t>/</w:t>
      </w:r>
      <w:r>
        <w:rPr>
          <w:rFonts w:hint="eastAsia"/>
          <w:szCs w:val="21"/>
        </w:rPr>
        <w:t>昇腾</w:t>
      </w:r>
      <w:r>
        <w:rPr>
          <w:rFonts w:hint="eastAsia"/>
          <w:szCs w:val="21"/>
        </w:rPr>
        <w:t>(</w:t>
      </w:r>
      <w:proofErr w:type="spellStart"/>
      <w:r>
        <w:rPr>
          <w:rFonts w:hint="eastAsia"/>
          <w:szCs w:val="21"/>
        </w:rPr>
        <w:t>Kunpeng</w:t>
      </w:r>
      <w:proofErr w:type="spellEnd"/>
      <w:r>
        <w:rPr>
          <w:rFonts w:hint="eastAsia"/>
          <w:szCs w:val="21"/>
        </w:rPr>
        <w:t>/Ascend)</w:t>
      </w:r>
      <w:r>
        <w:rPr>
          <w:rFonts w:hint="eastAsia"/>
          <w:szCs w:val="21"/>
        </w:rPr>
        <w:t>算力底座，实现软硬件一体化调优，符合国家信创安全战略，天然具备进入政务与司法系统的准入资格。</w:t>
      </w:r>
    </w:p>
    <w:p w:rsidR="00B70185" w:rsidRDefault="00000000">
      <w:pPr>
        <w:spacing w:line="300" w:lineRule="auto"/>
        <w:ind w:firstLineChars="200" w:firstLine="420"/>
        <w:rPr>
          <w:szCs w:val="21"/>
        </w:rPr>
      </w:pPr>
      <w:r>
        <w:rPr>
          <w:rFonts w:hint="eastAsia"/>
          <w:szCs w:val="21"/>
        </w:rPr>
        <w:t>此外，在权威法律大模型</w:t>
      </w:r>
      <w:r>
        <w:rPr>
          <w:rFonts w:hint="eastAsia"/>
          <w:szCs w:val="21"/>
        </w:rPr>
        <w:t>Benchmark</w:t>
      </w:r>
      <w:r>
        <w:rPr>
          <w:rFonts w:hint="eastAsia"/>
          <w:szCs w:val="21"/>
        </w:rPr>
        <w:t>测试中，</w:t>
      </w:r>
      <w:r>
        <w:rPr>
          <w:rFonts w:hint="eastAsia"/>
          <w:szCs w:val="21"/>
        </w:rPr>
        <w:t>LAWMASTER</w:t>
      </w:r>
      <w:r>
        <w:rPr>
          <w:rFonts w:hint="eastAsia"/>
          <w:szCs w:val="21"/>
        </w:rPr>
        <w:t>的推理准确率与逻辑完备性</w:t>
      </w:r>
      <w:r>
        <w:rPr>
          <w:rFonts w:hint="eastAsia"/>
          <w:b/>
          <w:bCs/>
          <w:szCs w:val="21"/>
        </w:rPr>
        <w:t>稳居全球行业</w:t>
      </w:r>
      <w:r>
        <w:rPr>
          <w:rFonts w:hint="eastAsia"/>
          <w:b/>
          <w:bCs/>
          <w:szCs w:val="21"/>
        </w:rPr>
        <w:t xml:space="preserve"> Top 25%</w:t>
      </w:r>
      <w:r>
        <w:rPr>
          <w:rFonts w:hint="eastAsia"/>
          <w:szCs w:val="21"/>
        </w:rPr>
        <w:t>，在复杂案件分析维度更是表现出超越通用千亿参数模型的专业效能。</w:t>
      </w:r>
    </w:p>
    <w:p w:rsidR="00B70185" w:rsidRDefault="00000000">
      <w:pPr>
        <w:spacing w:line="300" w:lineRule="auto"/>
        <w:ind w:firstLineChars="200" w:firstLine="420"/>
        <w:rPr>
          <w:szCs w:val="21"/>
        </w:rPr>
      </w:pPr>
      <w:r>
        <w:rPr>
          <w:rFonts w:hint="eastAsia"/>
          <w:szCs w:val="21"/>
        </w:rPr>
        <w:t>（</w:t>
      </w:r>
      <w:r>
        <w:rPr>
          <w:rFonts w:hint="eastAsia"/>
          <w:szCs w:val="21"/>
        </w:rPr>
        <w:t>4</w:t>
      </w:r>
      <w:r>
        <w:rPr>
          <w:rFonts w:hint="eastAsia"/>
          <w:szCs w:val="21"/>
        </w:rPr>
        <w:t>）信任机制重构</w:t>
      </w:r>
    </w:p>
    <w:p w:rsidR="00B70185" w:rsidRDefault="00000000">
      <w:pPr>
        <w:spacing w:line="300" w:lineRule="auto"/>
        <w:ind w:firstLineChars="200" w:firstLine="420"/>
        <w:rPr>
          <w:szCs w:val="21"/>
        </w:rPr>
      </w:pPr>
      <w:r>
        <w:rPr>
          <w:rFonts w:hint="eastAsia"/>
          <w:szCs w:val="21"/>
        </w:rPr>
        <w:t>为了解决用户对</w:t>
      </w:r>
      <w:r>
        <w:rPr>
          <w:rFonts w:hint="eastAsia"/>
          <w:szCs w:val="21"/>
        </w:rPr>
        <w:t>AI</w:t>
      </w:r>
      <w:r>
        <w:rPr>
          <w:rFonts w:hint="eastAsia"/>
          <w:szCs w:val="21"/>
        </w:rPr>
        <w:t>的不信任感，</w:t>
      </w:r>
      <w:r>
        <w:rPr>
          <w:rFonts w:hint="eastAsia"/>
          <w:b/>
          <w:bCs/>
          <w:szCs w:val="21"/>
        </w:rPr>
        <w:t>系统首创推理过程可视化功能</w:t>
      </w:r>
      <w:r>
        <w:rPr>
          <w:rFonts w:hint="eastAsia"/>
          <w:szCs w:val="21"/>
        </w:rPr>
        <w:t>。通过动态思维导图，将</w:t>
      </w:r>
      <w:r>
        <w:rPr>
          <w:rFonts w:hint="eastAsia"/>
          <w:szCs w:val="21"/>
        </w:rPr>
        <w:t>AI</w:t>
      </w:r>
      <w:r>
        <w:rPr>
          <w:rFonts w:hint="eastAsia"/>
          <w:szCs w:val="21"/>
        </w:rPr>
        <w:t>的思考路径（事实认定→焦点归纳→法条匹配→结论推导）完整透明地展示给用户。让用户不仅知道“怎么做”，更理解“为什么”，从而极大提升了维权建议的执行意愿与成功率。</w:t>
      </w:r>
    </w:p>
    <w:p w:rsidR="00B70185" w:rsidRDefault="00000000">
      <w:pPr>
        <w:pStyle w:val="2"/>
        <w:tabs>
          <w:tab w:val="center" w:pos="4153"/>
        </w:tabs>
        <w:spacing w:line="300" w:lineRule="auto"/>
        <w:ind w:right="210"/>
        <w:rPr>
          <w:rFonts w:ascii="宋体" w:eastAsia="宋体" w:hAnsi="宋体"/>
          <w:sz w:val="21"/>
          <w:szCs w:val="21"/>
        </w:rPr>
      </w:pPr>
      <w:bookmarkStart w:id="9" w:name="_Toc28049"/>
      <w:r>
        <w:rPr>
          <w:rFonts w:ascii="宋体" w:eastAsia="宋体" w:hAnsi="宋体" w:hint="eastAsia"/>
          <w:sz w:val="21"/>
          <w:szCs w:val="21"/>
        </w:rPr>
        <w:t>1.4盈利模式</w:t>
      </w:r>
      <w:bookmarkEnd w:id="9"/>
    </w:p>
    <w:p w:rsidR="00B70185" w:rsidRDefault="00000000">
      <w:pPr>
        <w:spacing w:line="300" w:lineRule="auto"/>
        <w:ind w:firstLineChars="200" w:firstLine="420"/>
        <w:rPr>
          <w:szCs w:val="21"/>
        </w:rPr>
      </w:pPr>
      <w:r>
        <w:rPr>
          <w:rFonts w:hint="eastAsia"/>
          <w:szCs w:val="21"/>
        </w:rPr>
        <w:t>LAWMASTER</w:t>
      </w:r>
      <w:r>
        <w:rPr>
          <w:rFonts w:hint="eastAsia"/>
          <w:szCs w:val="21"/>
        </w:rPr>
        <w:t>摒弃了传统法律服务“高客单价、低频次”的创收逻辑，依托</w:t>
      </w:r>
      <w:r>
        <w:rPr>
          <w:rFonts w:hint="eastAsia"/>
          <w:szCs w:val="21"/>
        </w:rPr>
        <w:t>AI</w:t>
      </w:r>
      <w:r>
        <w:rPr>
          <w:rFonts w:hint="eastAsia"/>
          <w:szCs w:val="21"/>
        </w:rPr>
        <w:t>大模型极低的边际成本，构建了“</w:t>
      </w:r>
      <w:r>
        <w:rPr>
          <w:rFonts w:hint="eastAsia"/>
          <w:szCs w:val="21"/>
        </w:rPr>
        <w:t>C</w:t>
      </w:r>
      <w:r>
        <w:rPr>
          <w:rFonts w:hint="eastAsia"/>
          <w:szCs w:val="21"/>
        </w:rPr>
        <w:t>端普惠订阅</w:t>
      </w:r>
      <w:r>
        <w:rPr>
          <w:rFonts w:hint="eastAsia"/>
          <w:szCs w:val="21"/>
        </w:rPr>
        <w:t>+B</w:t>
      </w:r>
      <w:r>
        <w:rPr>
          <w:rFonts w:hint="eastAsia"/>
          <w:szCs w:val="21"/>
        </w:rPr>
        <w:t>端技术赋能”的多元化商业闭环：</w:t>
      </w:r>
    </w:p>
    <w:p w:rsidR="00B70185" w:rsidRDefault="00000000">
      <w:pPr>
        <w:spacing w:line="300" w:lineRule="auto"/>
        <w:ind w:firstLineChars="200" w:firstLine="420"/>
        <w:rPr>
          <w:szCs w:val="21"/>
        </w:rPr>
      </w:pPr>
      <w:r>
        <w:rPr>
          <w:rFonts w:hint="eastAsia"/>
          <w:szCs w:val="21"/>
        </w:rPr>
        <w:t>（</w:t>
      </w:r>
      <w:r>
        <w:rPr>
          <w:rFonts w:hint="eastAsia"/>
          <w:szCs w:val="21"/>
        </w:rPr>
        <w:t>1</w:t>
      </w:r>
      <w:r>
        <w:rPr>
          <w:rFonts w:hint="eastAsia"/>
          <w:szCs w:val="21"/>
        </w:rPr>
        <w:t>）</w:t>
      </w:r>
      <w:r>
        <w:rPr>
          <w:rFonts w:hint="eastAsia"/>
          <w:szCs w:val="21"/>
        </w:rPr>
        <w:t>C</w:t>
      </w:r>
      <w:r>
        <w:rPr>
          <w:rFonts w:hint="eastAsia"/>
          <w:szCs w:val="21"/>
        </w:rPr>
        <w:t>端：</w:t>
      </w:r>
      <w:r w:rsidR="00404FE8">
        <w:rPr>
          <w:rFonts w:hint="eastAsia"/>
          <w:szCs w:val="21"/>
        </w:rPr>
        <w:t>“</w:t>
      </w:r>
      <w:r>
        <w:rPr>
          <w:rFonts w:hint="eastAsia"/>
          <w:szCs w:val="21"/>
        </w:rPr>
        <w:t>免费</w:t>
      </w:r>
      <w:r>
        <w:rPr>
          <w:rFonts w:hint="eastAsia"/>
          <w:szCs w:val="21"/>
        </w:rPr>
        <w:t>+</w:t>
      </w:r>
      <w:r>
        <w:rPr>
          <w:rFonts w:hint="eastAsia"/>
          <w:szCs w:val="21"/>
        </w:rPr>
        <w:t>增值</w:t>
      </w:r>
      <w:r w:rsidR="00404FE8">
        <w:rPr>
          <w:rFonts w:hint="eastAsia"/>
          <w:szCs w:val="21"/>
        </w:rPr>
        <w:t>”</w:t>
      </w:r>
      <w:r>
        <w:rPr>
          <w:rFonts w:hint="eastAsia"/>
          <w:szCs w:val="21"/>
        </w:rPr>
        <w:t>订阅模式</w:t>
      </w:r>
    </w:p>
    <w:p w:rsidR="00404FE8" w:rsidRDefault="00404FE8">
      <w:pPr>
        <w:spacing w:line="300" w:lineRule="auto"/>
        <w:ind w:firstLineChars="200" w:firstLine="420"/>
        <w:rPr>
          <w:szCs w:val="21"/>
        </w:rPr>
      </w:pPr>
      <w:r w:rsidRPr="00404FE8">
        <w:rPr>
          <w:szCs w:val="21"/>
        </w:rPr>
        <w:t>提供基础法律咨询、标准法规检索、每月</w:t>
      </w:r>
      <w:r w:rsidRPr="00404FE8">
        <w:rPr>
          <w:szCs w:val="21"/>
        </w:rPr>
        <w:t>3</w:t>
      </w:r>
      <w:r w:rsidRPr="00404FE8">
        <w:rPr>
          <w:szCs w:val="21"/>
        </w:rPr>
        <w:t>次简易文书模板生成，以零门槛获取海量用户，筑牢流量基石。</w:t>
      </w:r>
    </w:p>
    <w:p w:rsidR="00404FE8" w:rsidRDefault="00404FE8">
      <w:pPr>
        <w:spacing w:line="300" w:lineRule="auto"/>
        <w:ind w:firstLineChars="200" w:firstLine="420"/>
        <w:rPr>
          <w:szCs w:val="21"/>
        </w:rPr>
      </w:pPr>
      <w:r w:rsidRPr="00404FE8">
        <w:rPr>
          <w:szCs w:val="21"/>
        </w:rPr>
        <w:t>推出</w:t>
      </w:r>
      <w:r w:rsidRPr="00404FE8">
        <w:rPr>
          <w:szCs w:val="21"/>
        </w:rPr>
        <w:t>“</w:t>
      </w:r>
      <w:r w:rsidRPr="00404FE8">
        <w:rPr>
          <w:szCs w:val="21"/>
        </w:rPr>
        <w:t>个人法务会员</w:t>
      </w:r>
      <w:r w:rsidRPr="00404FE8">
        <w:rPr>
          <w:szCs w:val="21"/>
        </w:rPr>
        <w:t>”</w:t>
      </w:r>
      <w:r w:rsidRPr="00404FE8">
        <w:rPr>
          <w:szCs w:val="21"/>
        </w:rPr>
        <w:t>（参考定价</w:t>
      </w:r>
      <w:r w:rsidRPr="00404FE8">
        <w:rPr>
          <w:szCs w:val="21"/>
        </w:rPr>
        <w:t> </w:t>
      </w:r>
      <w:r w:rsidRPr="00404FE8">
        <w:rPr>
          <w:b/>
          <w:bCs/>
          <w:szCs w:val="21"/>
        </w:rPr>
        <w:t>16.6</w:t>
      </w:r>
      <w:r w:rsidRPr="00404FE8">
        <w:rPr>
          <w:b/>
          <w:bCs/>
          <w:szCs w:val="21"/>
        </w:rPr>
        <w:t>元</w:t>
      </w:r>
      <w:r w:rsidRPr="00404FE8">
        <w:rPr>
          <w:b/>
          <w:bCs/>
          <w:szCs w:val="21"/>
        </w:rPr>
        <w:t>/</w:t>
      </w:r>
      <w:r w:rsidRPr="00404FE8">
        <w:rPr>
          <w:b/>
          <w:bCs/>
          <w:szCs w:val="21"/>
        </w:rPr>
        <w:t>月</w:t>
      </w:r>
      <w:r w:rsidRPr="00404FE8">
        <w:rPr>
          <w:szCs w:val="21"/>
        </w:rPr>
        <w:t>），解锁自我意识模式、多模态证据分析（含录音转文字、</w:t>
      </w:r>
      <w:r w:rsidRPr="00404FE8">
        <w:rPr>
          <w:szCs w:val="21"/>
        </w:rPr>
        <w:t>OCR</w:t>
      </w:r>
      <w:r w:rsidRPr="00404FE8">
        <w:rPr>
          <w:szCs w:val="21"/>
        </w:rPr>
        <w:t>识别</w:t>
      </w:r>
      <w:r>
        <w:rPr>
          <w:rFonts w:hint="eastAsia"/>
          <w:szCs w:val="21"/>
        </w:rPr>
        <w:t>、录音分析</w:t>
      </w:r>
      <w:r w:rsidRPr="00404FE8">
        <w:rPr>
          <w:szCs w:val="21"/>
        </w:rPr>
        <w:t>）、无限次专业文书生成与智能微调等功能；同时设置按次付费的增值服务（如超额文书下载</w:t>
      </w:r>
      <w:r w:rsidRPr="00404FE8">
        <w:rPr>
          <w:szCs w:val="21"/>
        </w:rPr>
        <w:t> </w:t>
      </w:r>
      <w:r w:rsidRPr="00404FE8">
        <w:rPr>
          <w:b/>
          <w:bCs/>
          <w:szCs w:val="21"/>
        </w:rPr>
        <w:t>2.9</w:t>
      </w:r>
      <w:r w:rsidRPr="00404FE8">
        <w:rPr>
          <w:b/>
          <w:bCs/>
          <w:szCs w:val="21"/>
        </w:rPr>
        <w:t>元</w:t>
      </w:r>
      <w:r w:rsidRPr="00404FE8">
        <w:rPr>
          <w:b/>
          <w:bCs/>
          <w:szCs w:val="21"/>
        </w:rPr>
        <w:t>/</w:t>
      </w:r>
      <w:r w:rsidRPr="00404FE8">
        <w:rPr>
          <w:b/>
          <w:bCs/>
          <w:szCs w:val="21"/>
        </w:rPr>
        <w:t>份</w:t>
      </w:r>
      <w:r w:rsidRPr="00404FE8">
        <w:rPr>
          <w:szCs w:val="21"/>
        </w:rPr>
        <w:t>、语音转录</w:t>
      </w:r>
      <w:r w:rsidRPr="00404FE8">
        <w:rPr>
          <w:szCs w:val="21"/>
        </w:rPr>
        <w:t> </w:t>
      </w:r>
      <w:r w:rsidRPr="00404FE8">
        <w:rPr>
          <w:b/>
          <w:bCs/>
          <w:szCs w:val="21"/>
        </w:rPr>
        <w:t>0.5</w:t>
      </w:r>
      <w:r w:rsidRPr="00404FE8">
        <w:rPr>
          <w:b/>
          <w:bCs/>
          <w:szCs w:val="21"/>
        </w:rPr>
        <w:t>元</w:t>
      </w:r>
      <w:r w:rsidRPr="00404FE8">
        <w:rPr>
          <w:b/>
          <w:bCs/>
          <w:szCs w:val="21"/>
        </w:rPr>
        <w:t>/</w:t>
      </w:r>
      <w:r w:rsidRPr="00404FE8">
        <w:rPr>
          <w:b/>
          <w:bCs/>
          <w:szCs w:val="21"/>
        </w:rPr>
        <w:t>次</w:t>
      </w:r>
      <w:r w:rsidRPr="00404FE8">
        <w:rPr>
          <w:szCs w:val="21"/>
        </w:rPr>
        <w:t>），满足弹性需求。</w:t>
      </w:r>
    </w:p>
    <w:p w:rsidR="00404FE8" w:rsidRDefault="00404FE8">
      <w:pPr>
        <w:spacing w:line="300" w:lineRule="auto"/>
        <w:ind w:firstLineChars="200" w:firstLine="420"/>
        <w:rPr>
          <w:rFonts w:hint="eastAsia"/>
          <w:szCs w:val="21"/>
        </w:rPr>
      </w:pPr>
      <w:r>
        <w:rPr>
          <w:rFonts w:hint="eastAsia"/>
          <w:szCs w:val="21"/>
        </w:rPr>
        <w:t>同时我们</w:t>
      </w:r>
      <w:r w:rsidRPr="00404FE8">
        <w:rPr>
          <w:szCs w:val="21"/>
        </w:rPr>
        <w:t>构建</w:t>
      </w:r>
      <w:r>
        <w:rPr>
          <w:rFonts w:hint="eastAsia"/>
          <w:szCs w:val="21"/>
        </w:rPr>
        <w:t>了</w:t>
      </w:r>
      <w:r w:rsidRPr="00404FE8">
        <w:rPr>
          <w:szCs w:val="21"/>
        </w:rPr>
        <w:t>用户社群，通过</w:t>
      </w:r>
      <w:r w:rsidRPr="00404FE8">
        <w:rPr>
          <w:b/>
          <w:bCs/>
          <w:szCs w:val="21"/>
        </w:rPr>
        <w:t>分享维权攻略抵现</w:t>
      </w:r>
      <w:r>
        <w:rPr>
          <w:rFonts w:hint="eastAsia"/>
          <w:b/>
          <w:bCs/>
          <w:szCs w:val="21"/>
        </w:rPr>
        <w:t>、</w:t>
      </w:r>
      <w:r w:rsidRPr="00404FE8">
        <w:rPr>
          <w:b/>
          <w:bCs/>
          <w:szCs w:val="21"/>
        </w:rPr>
        <w:t>邀请好友得奖励、积分兑换会员时长</w:t>
      </w:r>
      <w:r w:rsidRPr="00404FE8">
        <w:rPr>
          <w:szCs w:val="21"/>
        </w:rPr>
        <w:t>等激励措施，激活老用户自发传播，形成</w:t>
      </w:r>
      <w:r w:rsidRPr="00404FE8">
        <w:rPr>
          <w:szCs w:val="21"/>
        </w:rPr>
        <w:t>“</w:t>
      </w:r>
      <w:r w:rsidRPr="00404FE8">
        <w:rPr>
          <w:szCs w:val="21"/>
        </w:rPr>
        <w:t>用户邀请用户</w:t>
      </w:r>
      <w:r w:rsidRPr="00404FE8">
        <w:rPr>
          <w:szCs w:val="21"/>
        </w:rPr>
        <w:t>”</w:t>
      </w:r>
      <w:r w:rsidRPr="00404FE8">
        <w:rPr>
          <w:szCs w:val="21"/>
        </w:rPr>
        <w:t>的低成本获客闭环；社群同时作为需求反馈池，驱动产品持续迭代，增强用户归属感与品牌忠诚度。</w:t>
      </w:r>
    </w:p>
    <w:p w:rsidR="00B70185" w:rsidRPr="00404FE8" w:rsidRDefault="00000000" w:rsidP="00404FE8">
      <w:pPr>
        <w:spacing w:line="300" w:lineRule="auto"/>
        <w:ind w:firstLineChars="200" w:firstLine="420"/>
        <w:rPr>
          <w:rFonts w:hint="eastAsia"/>
          <w:b/>
          <w:bCs/>
          <w:szCs w:val="21"/>
        </w:rPr>
      </w:pPr>
      <w:r>
        <w:rPr>
          <w:rFonts w:hint="eastAsia"/>
          <w:szCs w:val="21"/>
        </w:rPr>
        <w:t>（</w:t>
      </w:r>
      <w:r>
        <w:rPr>
          <w:rFonts w:hint="eastAsia"/>
          <w:szCs w:val="21"/>
        </w:rPr>
        <w:t>2</w:t>
      </w:r>
      <w:r>
        <w:rPr>
          <w:rFonts w:hint="eastAsia"/>
          <w:szCs w:val="21"/>
        </w:rPr>
        <w:t>）</w:t>
      </w:r>
      <w:r>
        <w:rPr>
          <w:rFonts w:hint="eastAsia"/>
          <w:szCs w:val="21"/>
        </w:rPr>
        <w:t>B</w:t>
      </w:r>
      <w:r>
        <w:rPr>
          <w:rFonts w:hint="eastAsia"/>
          <w:szCs w:val="21"/>
        </w:rPr>
        <w:t>端</w:t>
      </w:r>
      <w:r w:rsidRPr="00404FE8">
        <w:rPr>
          <w:rFonts w:hint="eastAsia"/>
          <w:szCs w:val="21"/>
        </w:rPr>
        <w:t>：</w:t>
      </w:r>
      <w:r w:rsidR="00404FE8" w:rsidRPr="00404FE8">
        <w:rPr>
          <w:szCs w:val="21"/>
        </w:rPr>
        <w:t>私有化部署</w:t>
      </w:r>
    </w:p>
    <w:p w:rsidR="00404FE8" w:rsidRDefault="00404FE8">
      <w:pPr>
        <w:spacing w:line="300" w:lineRule="auto"/>
        <w:ind w:firstLineChars="200" w:firstLine="420"/>
        <w:rPr>
          <w:szCs w:val="21"/>
        </w:rPr>
      </w:pPr>
      <w:r w:rsidRPr="00404FE8">
        <w:rPr>
          <w:szCs w:val="21"/>
        </w:rPr>
        <w:t>面向社区街道司法所、工会、基层公共服务机构，提供基于华为昇腾国产算力的全栈私有化方案，确保敏感数据</w:t>
      </w:r>
      <w:r w:rsidRPr="00404FE8">
        <w:rPr>
          <w:szCs w:val="21"/>
        </w:rPr>
        <w:t>“</w:t>
      </w:r>
      <w:r w:rsidRPr="00404FE8">
        <w:rPr>
          <w:szCs w:val="21"/>
        </w:rPr>
        <w:t>不出域</w:t>
      </w:r>
      <w:r w:rsidRPr="00404FE8">
        <w:rPr>
          <w:szCs w:val="21"/>
        </w:rPr>
        <w:t>”</w:t>
      </w:r>
      <w:r w:rsidRPr="00404FE8">
        <w:rPr>
          <w:szCs w:val="21"/>
        </w:rPr>
        <w:t>，满足政务安全合规要求，按年收取技术服务费与维护费。</w:t>
      </w:r>
    </w:p>
    <w:p w:rsidR="00B70185" w:rsidRDefault="00404FE8">
      <w:pPr>
        <w:spacing w:line="300" w:lineRule="auto"/>
        <w:ind w:firstLineChars="200" w:firstLine="420"/>
        <w:rPr>
          <w:szCs w:val="21"/>
        </w:rPr>
      </w:pPr>
      <w:r>
        <w:rPr>
          <w:rFonts w:hint="eastAsia"/>
          <w:szCs w:val="21"/>
        </w:rPr>
        <w:t>此外，我们会</w:t>
      </w:r>
      <w:r w:rsidRPr="00404FE8">
        <w:rPr>
          <w:szCs w:val="21"/>
        </w:rPr>
        <w:t>将</w:t>
      </w:r>
      <w:r w:rsidRPr="00404FE8">
        <w:rPr>
          <w:szCs w:val="21"/>
        </w:rPr>
        <w:t>LawMaster</w:t>
      </w:r>
      <w:r w:rsidRPr="00404FE8">
        <w:rPr>
          <w:szCs w:val="21"/>
        </w:rPr>
        <w:t>核心的法律推理引擎、法条案例检索引擎、文书生成能力封装为</w:t>
      </w:r>
      <w:r w:rsidRPr="00404FE8">
        <w:rPr>
          <w:szCs w:val="21"/>
        </w:rPr>
        <w:t>API</w:t>
      </w:r>
      <w:r w:rsidRPr="00404FE8">
        <w:rPr>
          <w:szCs w:val="21"/>
        </w:rPr>
        <w:t>接口，向企业</w:t>
      </w:r>
      <w:r w:rsidRPr="00404FE8">
        <w:rPr>
          <w:szCs w:val="21"/>
        </w:rPr>
        <w:t>OA</w:t>
      </w:r>
      <w:r w:rsidRPr="00404FE8">
        <w:rPr>
          <w:szCs w:val="21"/>
        </w:rPr>
        <w:t>系统、人力资源</w:t>
      </w:r>
      <w:r w:rsidRPr="00404FE8">
        <w:rPr>
          <w:szCs w:val="21"/>
        </w:rPr>
        <w:t>SaaS</w:t>
      </w:r>
      <w:r w:rsidRPr="00404FE8">
        <w:rPr>
          <w:szCs w:val="21"/>
        </w:rPr>
        <w:t>平台、法律科技公司开放调用，按调用量或</w:t>
      </w:r>
      <w:r w:rsidRPr="00404FE8">
        <w:rPr>
          <w:szCs w:val="21"/>
        </w:rPr>
        <w:lastRenderedPageBreak/>
        <w:t>年授权费收费，打造</w:t>
      </w:r>
      <w:r w:rsidRPr="00404FE8">
        <w:rPr>
          <w:szCs w:val="21"/>
        </w:rPr>
        <w:t>AI</w:t>
      </w:r>
      <w:r w:rsidRPr="00404FE8">
        <w:rPr>
          <w:szCs w:val="21"/>
        </w:rPr>
        <w:t>即服务（</w:t>
      </w:r>
      <w:proofErr w:type="spellStart"/>
      <w:r w:rsidRPr="00404FE8">
        <w:rPr>
          <w:szCs w:val="21"/>
        </w:rPr>
        <w:t>AIaaS</w:t>
      </w:r>
      <w:proofErr w:type="spellEnd"/>
      <w:r w:rsidRPr="00404FE8">
        <w:rPr>
          <w:szCs w:val="21"/>
        </w:rPr>
        <w:t>）的增长新曲线</w:t>
      </w:r>
      <w:r w:rsidR="00000000">
        <w:rPr>
          <w:rFonts w:hint="eastAsia"/>
          <w:szCs w:val="21"/>
        </w:rPr>
        <w:t>。</w:t>
      </w:r>
    </w:p>
    <w:p w:rsidR="00B70185" w:rsidRDefault="00000000">
      <w:pPr>
        <w:pStyle w:val="1"/>
        <w:spacing w:line="300" w:lineRule="auto"/>
        <w:rPr>
          <w:rFonts w:ascii="黑体" w:eastAsia="黑体" w:hAnsi="黑体"/>
          <w:sz w:val="24"/>
          <w:szCs w:val="24"/>
        </w:rPr>
      </w:pPr>
      <w:bookmarkStart w:id="10" w:name="_Toc14776"/>
      <w:r>
        <w:rPr>
          <w:rFonts w:ascii="黑体" w:eastAsia="黑体" w:hAnsi="黑体" w:hint="eastAsia"/>
          <w:sz w:val="24"/>
          <w:szCs w:val="24"/>
        </w:rPr>
        <w:t>2.行业和市场分析</w:t>
      </w:r>
      <w:bookmarkEnd w:id="10"/>
    </w:p>
    <w:p w:rsidR="00B70185" w:rsidRDefault="00000000">
      <w:pPr>
        <w:pStyle w:val="2"/>
        <w:tabs>
          <w:tab w:val="center" w:pos="4153"/>
        </w:tabs>
        <w:spacing w:line="300" w:lineRule="auto"/>
        <w:ind w:right="210"/>
        <w:rPr>
          <w:rFonts w:ascii="宋体" w:eastAsia="宋体" w:hAnsi="宋体"/>
          <w:sz w:val="21"/>
          <w:szCs w:val="21"/>
        </w:rPr>
      </w:pPr>
      <w:bookmarkStart w:id="11" w:name="_Toc2673"/>
      <w:r>
        <w:rPr>
          <w:rFonts w:ascii="宋体" w:eastAsia="宋体" w:hAnsi="宋体" w:hint="eastAsia"/>
          <w:sz w:val="21"/>
          <w:szCs w:val="21"/>
        </w:rPr>
        <w:t>2.1 行业分析</w:t>
      </w:r>
      <w:bookmarkEnd w:id="11"/>
    </w:p>
    <w:p w:rsidR="00B70185" w:rsidRDefault="00000000">
      <w:pPr>
        <w:pStyle w:val="3"/>
        <w:spacing w:before="0" w:after="0" w:line="300" w:lineRule="auto"/>
        <w:ind w:leftChars="200" w:left="420" w:rightChars="100" w:right="210"/>
        <w:rPr>
          <w:rFonts w:ascii="宋体" w:eastAsia="宋体" w:hAnsi="宋体"/>
          <w:bCs/>
          <w:sz w:val="21"/>
          <w:szCs w:val="32"/>
        </w:rPr>
      </w:pPr>
      <w:bookmarkStart w:id="12" w:name="_Toc9133"/>
      <w:r>
        <w:rPr>
          <w:rFonts w:ascii="宋体" w:eastAsia="宋体" w:hAnsi="宋体" w:hint="eastAsia"/>
          <w:bCs/>
          <w:sz w:val="21"/>
          <w:szCs w:val="32"/>
        </w:rPr>
        <w:t>2.1.1 传统法律行业分析</w:t>
      </w:r>
      <w:bookmarkEnd w:id="12"/>
    </w:p>
    <w:p w:rsidR="00B70185" w:rsidRDefault="00000000">
      <w:pPr>
        <w:spacing w:line="300" w:lineRule="auto"/>
        <w:ind w:firstLineChars="200" w:firstLine="420"/>
        <w:rPr>
          <w:szCs w:val="21"/>
        </w:rPr>
      </w:pPr>
      <w:r>
        <w:rPr>
          <w:rFonts w:hint="eastAsia"/>
          <w:szCs w:val="21"/>
        </w:rPr>
        <w:t>法律服务是指律师、非律师法律工作者、法律专业人士或相关机构以其法律知识和技能为法人或自然人实现正当权益、提高经济效益、排除不法侵害、防范法律风险、维护自身合法权益而提供的专业活动。随着全面依法治国战略的深入推进与社会公众法治意识的普遍增强，人们在遇到纠纷时愈发倾向于寻求法律途径解决，其核心载体便是将争议提交法院裁决。</w:t>
      </w:r>
    </w:p>
    <w:p w:rsidR="00B70185" w:rsidRDefault="00000000">
      <w:pPr>
        <w:spacing w:line="300" w:lineRule="auto"/>
        <w:ind w:firstLineChars="200" w:firstLine="420"/>
        <w:rPr>
          <w:szCs w:val="21"/>
        </w:rPr>
      </w:pPr>
      <w:r>
        <w:rPr>
          <w:rFonts w:hint="eastAsia"/>
          <w:szCs w:val="21"/>
        </w:rPr>
        <w:t>近年来，中国法律服务行业经历了深刻的结构性演变。根据司法部及胡润研究院发布的最新数据，截至</w:t>
      </w:r>
      <w:r>
        <w:rPr>
          <w:rFonts w:hint="eastAsia"/>
          <w:szCs w:val="21"/>
        </w:rPr>
        <w:t>2025</w:t>
      </w:r>
      <w:r>
        <w:rPr>
          <w:rFonts w:hint="eastAsia"/>
          <w:szCs w:val="21"/>
        </w:rPr>
        <w:t>年</w:t>
      </w:r>
      <w:r>
        <w:rPr>
          <w:rFonts w:hint="eastAsia"/>
          <w:szCs w:val="21"/>
        </w:rPr>
        <w:t>9</w:t>
      </w:r>
      <w:r>
        <w:rPr>
          <w:rFonts w:hint="eastAsia"/>
          <w:szCs w:val="21"/>
        </w:rPr>
        <w:t>月，全国执业律师人数已突破</w:t>
      </w:r>
      <w:r>
        <w:rPr>
          <w:rFonts w:hint="eastAsia"/>
          <w:szCs w:val="21"/>
        </w:rPr>
        <w:t>83</w:t>
      </w:r>
      <w:r>
        <w:rPr>
          <w:rFonts w:hint="eastAsia"/>
          <w:szCs w:val="21"/>
        </w:rPr>
        <w:t>万人，律师事务所总数达</w:t>
      </w:r>
      <w:r>
        <w:rPr>
          <w:rFonts w:hint="eastAsia"/>
          <w:szCs w:val="21"/>
        </w:rPr>
        <w:t>4.5</w:t>
      </w:r>
      <w:r>
        <w:rPr>
          <w:rFonts w:hint="eastAsia"/>
          <w:szCs w:val="21"/>
        </w:rPr>
        <w:t>万家，较“十三五”末实现显著增长，形成了一个千亿级规模的专业服务市场。</w:t>
      </w:r>
    </w:p>
    <w:p w:rsidR="00B70185" w:rsidRDefault="00000000">
      <w:pPr>
        <w:spacing w:line="300" w:lineRule="auto"/>
        <w:ind w:firstLineChars="200" w:firstLine="420"/>
        <w:rPr>
          <w:szCs w:val="21"/>
        </w:rPr>
      </w:pPr>
      <w:r>
        <w:rPr>
          <w:rFonts w:hint="eastAsia"/>
          <w:szCs w:val="21"/>
        </w:rPr>
        <w:t>然而，行业繁荣下隐含着日益突出的结构性矛盾。一方面，律师队伍的规模化增长并未同步转化为服务可及性的普遍提升。传统法律服务模式受限于高昂的小时费率与专业化分工壁垒，其服务半径天然向高净值企业客户和重大商事案件倾斜，大量面向普通民众的日常性、小额性法律需求被系统性边缘化。另一方面，市场竞争格局正发生剧烈重构。随着法律咨询公司、法律科技企业等新型市场主体的涌入，以及来自其他行业的中年转型者加入，法律服务市场的同质化竞争日趋白热化。预计</w:t>
      </w:r>
      <w:r>
        <w:rPr>
          <w:rFonts w:hint="eastAsia"/>
          <w:szCs w:val="21"/>
        </w:rPr>
        <w:t>2026</w:t>
      </w:r>
      <w:r>
        <w:rPr>
          <w:rFonts w:hint="eastAsia"/>
          <w:szCs w:val="21"/>
        </w:rPr>
        <w:t>年全国律师事务所数量将同比增长</w:t>
      </w:r>
      <w:r>
        <w:rPr>
          <w:rFonts w:hint="eastAsia"/>
          <w:szCs w:val="21"/>
        </w:rPr>
        <w:t>6.1%</w:t>
      </w:r>
      <w:r>
        <w:rPr>
          <w:rFonts w:hint="eastAsia"/>
          <w:szCs w:val="21"/>
        </w:rPr>
        <w:t>，但行业收入增速仅为</w:t>
      </w:r>
      <w:r>
        <w:rPr>
          <w:rFonts w:hint="eastAsia"/>
          <w:szCs w:val="21"/>
        </w:rPr>
        <w:t>4.6%</w:t>
      </w:r>
      <w:r>
        <w:rPr>
          <w:rFonts w:hint="eastAsia"/>
          <w:szCs w:val="21"/>
        </w:rPr>
        <w:t>，平均营收增幅进一步收窄至</w:t>
      </w:r>
      <w:r>
        <w:rPr>
          <w:rFonts w:hint="eastAsia"/>
          <w:szCs w:val="21"/>
        </w:rPr>
        <w:t>2.2%</w:t>
      </w:r>
      <w:r>
        <w:rPr>
          <w:rFonts w:hint="eastAsia"/>
          <w:szCs w:val="21"/>
        </w:rPr>
        <w:t>，呈现“增量不增收”的存量博弈特征。</w:t>
      </w:r>
    </w:p>
    <w:p w:rsidR="00B70185" w:rsidRDefault="00000000">
      <w:pPr>
        <w:spacing w:line="300" w:lineRule="auto"/>
        <w:ind w:firstLineChars="200" w:firstLine="420"/>
        <w:rPr>
          <w:szCs w:val="21"/>
        </w:rPr>
      </w:pPr>
      <w:r>
        <w:rPr>
          <w:rFonts w:hint="eastAsia"/>
          <w:szCs w:val="21"/>
        </w:rPr>
        <w:t>当前，传统民商事领域的竞争已趋于饱和，市场需求从单一纠纷解决向“预防—控制—应对—修复”全链条服务延伸，需求主体从中心城市向县域、从企业向农户及个体工商户等基层单元加速下沉。这一需求侧的结构性变革，与供给侧传统律所高度集中的资源分布、难以撼动的高成本结构形成了根本性矛盾。以四川省为例，截至</w:t>
      </w:r>
      <w:r>
        <w:rPr>
          <w:rFonts w:hint="eastAsia"/>
          <w:szCs w:val="21"/>
        </w:rPr>
        <w:t>2024</w:t>
      </w:r>
      <w:r>
        <w:rPr>
          <w:rFonts w:hint="eastAsia"/>
          <w:szCs w:val="21"/>
        </w:rPr>
        <w:t>年底四川省共有律师</w:t>
      </w:r>
      <w:r>
        <w:rPr>
          <w:rFonts w:hint="eastAsia"/>
          <w:szCs w:val="21"/>
        </w:rPr>
        <w:t>41272</w:t>
      </w:r>
      <w:r>
        <w:rPr>
          <w:rFonts w:hint="eastAsia"/>
          <w:szCs w:val="21"/>
        </w:rPr>
        <w:t>人、律师事务所</w:t>
      </w:r>
      <w:r>
        <w:rPr>
          <w:rFonts w:hint="eastAsia"/>
          <w:szCs w:val="21"/>
        </w:rPr>
        <w:t>2290</w:t>
      </w:r>
      <w:r>
        <w:rPr>
          <w:rFonts w:hint="eastAsia"/>
          <w:szCs w:val="21"/>
        </w:rPr>
        <w:t>家，主要业务指标稳居西部第一。然而，全省超过</w:t>
      </w:r>
      <w:r>
        <w:rPr>
          <w:rFonts w:hint="eastAsia"/>
          <w:szCs w:val="21"/>
        </w:rPr>
        <w:t>60%</w:t>
      </w:r>
      <w:r>
        <w:rPr>
          <w:rFonts w:hint="eastAsia"/>
          <w:szCs w:val="21"/>
        </w:rPr>
        <w:t>的律师资源高度集聚于成都，而甘孜、阿坝、凉山三州律师占比仅</w:t>
      </w:r>
      <w:r>
        <w:rPr>
          <w:rFonts w:hint="eastAsia"/>
          <w:szCs w:val="21"/>
        </w:rPr>
        <w:t>3%</w:t>
      </w:r>
      <w:r>
        <w:rPr>
          <w:rFonts w:hint="eastAsia"/>
          <w:szCs w:val="21"/>
        </w:rPr>
        <w:t>，部分民族地区每万人拥有律师数不足</w:t>
      </w:r>
      <w:r>
        <w:rPr>
          <w:rFonts w:hint="eastAsia"/>
          <w:szCs w:val="21"/>
        </w:rPr>
        <w:t>2</w:t>
      </w:r>
      <w:r>
        <w:rPr>
          <w:rFonts w:hint="eastAsia"/>
          <w:szCs w:val="21"/>
        </w:rPr>
        <w:t>人，仍在为解决“有没有”律师的基本问题而发愁。从需求端看，</w:t>
      </w:r>
      <w:r>
        <w:rPr>
          <w:rFonts w:hint="eastAsia"/>
          <w:szCs w:val="21"/>
        </w:rPr>
        <w:t>2025</w:t>
      </w:r>
      <w:r>
        <w:rPr>
          <w:rFonts w:hint="eastAsia"/>
          <w:szCs w:val="21"/>
        </w:rPr>
        <w:t>年四川法院共受理各类案件</w:t>
      </w:r>
      <w:r>
        <w:rPr>
          <w:rFonts w:hint="eastAsia"/>
          <w:szCs w:val="21"/>
        </w:rPr>
        <w:t>217.65</w:t>
      </w:r>
      <w:r>
        <w:rPr>
          <w:rFonts w:hint="eastAsia"/>
          <w:szCs w:val="21"/>
        </w:rPr>
        <w:t>万件，同比增长</w:t>
      </w:r>
      <w:r>
        <w:rPr>
          <w:rFonts w:hint="eastAsia"/>
          <w:szCs w:val="21"/>
        </w:rPr>
        <w:t>17.03%</w:t>
      </w:r>
      <w:r>
        <w:rPr>
          <w:rFonts w:hint="eastAsia"/>
          <w:szCs w:val="21"/>
        </w:rPr>
        <w:t>，同期全省法律援助机构办理案件</w:t>
      </w:r>
      <w:r>
        <w:rPr>
          <w:rFonts w:hint="eastAsia"/>
          <w:szCs w:val="21"/>
        </w:rPr>
        <w:t>5.9</w:t>
      </w:r>
      <w:r>
        <w:rPr>
          <w:rFonts w:hint="eastAsia"/>
          <w:szCs w:val="21"/>
        </w:rPr>
        <w:t>万余件，</w:t>
      </w:r>
      <w:r>
        <w:rPr>
          <w:rFonts w:hint="eastAsia"/>
          <w:szCs w:val="21"/>
        </w:rPr>
        <w:t>12348</w:t>
      </w:r>
      <w:r>
        <w:rPr>
          <w:rFonts w:hint="eastAsia"/>
          <w:szCs w:val="21"/>
        </w:rPr>
        <w:t>热线前三季度接听量超</w:t>
      </w:r>
      <w:r>
        <w:rPr>
          <w:rFonts w:hint="eastAsia"/>
          <w:szCs w:val="21"/>
        </w:rPr>
        <w:t>43</w:t>
      </w:r>
      <w:r>
        <w:rPr>
          <w:rFonts w:hint="eastAsia"/>
          <w:szCs w:val="21"/>
        </w:rPr>
        <w:t>万件，群众对普惠性法律服务的需求呈现爆发式增长。供给端的区域失衡与需求端的全民高涨之间，形成了明显的的“服务真空”。</w:t>
      </w:r>
    </w:p>
    <w:p w:rsidR="00B70185" w:rsidRDefault="00000000">
      <w:pPr>
        <w:spacing w:line="300" w:lineRule="auto"/>
        <w:ind w:firstLineChars="200" w:firstLine="420"/>
        <w:rPr>
          <w:szCs w:val="21"/>
        </w:rPr>
      </w:pPr>
      <w:r>
        <w:rPr>
          <w:rFonts w:hint="eastAsia"/>
          <w:szCs w:val="21"/>
        </w:rPr>
        <w:t>伴随着法律服务市场需求的持续扩容与需求层级的深度分化，律师的法律服务职能固然日益凸显，然而有限的律师群体及其高度集中的服务模式，已难以满足社会大众对法律普及、日常咨询及小额纠纷解决的普惠性需求。这一供需失衡的“服务真空”，正是数字化、智能化法律工具实现破局的核心战略机遇。</w:t>
      </w:r>
    </w:p>
    <w:p w:rsidR="00B70185" w:rsidRDefault="00000000">
      <w:pPr>
        <w:spacing w:line="300" w:lineRule="auto"/>
        <w:ind w:firstLineChars="200" w:firstLine="420"/>
      </w:pPr>
      <w:r>
        <w:rPr>
          <w:rFonts w:hint="eastAsia"/>
          <w:szCs w:val="21"/>
        </w:rPr>
        <w:t>全球法律科技市场正经历从数字化工具向智能化基础设施的范式跃迁。据</w:t>
      </w:r>
      <w:proofErr w:type="spellStart"/>
      <w:r>
        <w:rPr>
          <w:rFonts w:hint="eastAsia"/>
          <w:szCs w:val="21"/>
        </w:rPr>
        <w:lastRenderedPageBreak/>
        <w:t>ResearchNester</w:t>
      </w:r>
      <w:proofErr w:type="spellEnd"/>
      <w:r>
        <w:rPr>
          <w:rFonts w:hint="eastAsia"/>
          <w:szCs w:val="21"/>
        </w:rPr>
        <w:t>及</w:t>
      </w:r>
      <w:proofErr w:type="spellStart"/>
      <w:r>
        <w:rPr>
          <w:rFonts w:hint="eastAsia"/>
          <w:szCs w:val="21"/>
        </w:rPr>
        <w:t>GlobalGrowthInsights</w:t>
      </w:r>
      <w:proofErr w:type="spellEnd"/>
      <w:r>
        <w:rPr>
          <w:rFonts w:hint="eastAsia"/>
          <w:szCs w:val="21"/>
        </w:rPr>
        <w:t>最新数据，</w:t>
      </w:r>
      <w:r>
        <w:rPr>
          <w:rFonts w:hint="eastAsia"/>
          <w:szCs w:val="21"/>
        </w:rPr>
        <w:t>2025</w:t>
      </w:r>
      <w:r>
        <w:rPr>
          <w:rFonts w:hint="eastAsia"/>
          <w:szCs w:val="21"/>
        </w:rPr>
        <w:t>年全球法律科技市场规模已达</w:t>
      </w:r>
      <w:r>
        <w:rPr>
          <w:rFonts w:hint="eastAsia"/>
          <w:szCs w:val="21"/>
        </w:rPr>
        <w:t>322.1</w:t>
      </w:r>
      <w:r>
        <w:rPr>
          <w:rFonts w:hint="eastAsia"/>
          <w:szCs w:val="21"/>
        </w:rPr>
        <w:t>亿至</w:t>
      </w:r>
      <w:r>
        <w:rPr>
          <w:rFonts w:hint="eastAsia"/>
          <w:szCs w:val="21"/>
        </w:rPr>
        <w:t>303.8</w:t>
      </w:r>
      <w:r>
        <w:rPr>
          <w:rFonts w:hint="eastAsia"/>
          <w:szCs w:val="21"/>
        </w:rPr>
        <w:t>亿美元区间，预计</w:t>
      </w:r>
      <w:r>
        <w:rPr>
          <w:rFonts w:hint="eastAsia"/>
          <w:szCs w:val="21"/>
        </w:rPr>
        <w:t>2026</w:t>
      </w:r>
      <w:r>
        <w:rPr>
          <w:rFonts w:hint="eastAsia"/>
          <w:szCs w:val="21"/>
        </w:rPr>
        <w:t>年将增至</w:t>
      </w:r>
      <w:r>
        <w:rPr>
          <w:rFonts w:hint="eastAsia"/>
          <w:szCs w:val="21"/>
        </w:rPr>
        <w:t>331.8</w:t>
      </w:r>
      <w:r>
        <w:rPr>
          <w:rFonts w:hint="eastAsia"/>
          <w:szCs w:val="21"/>
        </w:rPr>
        <w:t>亿至</w:t>
      </w:r>
      <w:r>
        <w:rPr>
          <w:rFonts w:hint="eastAsia"/>
          <w:szCs w:val="21"/>
        </w:rPr>
        <w:t>348.8</w:t>
      </w:r>
      <w:r>
        <w:rPr>
          <w:rFonts w:hint="eastAsia"/>
          <w:szCs w:val="21"/>
        </w:rPr>
        <w:t>亿美元，到</w:t>
      </w:r>
      <w:r>
        <w:rPr>
          <w:rFonts w:hint="eastAsia"/>
          <w:szCs w:val="21"/>
        </w:rPr>
        <w:t>2035</w:t>
      </w:r>
      <w:r>
        <w:rPr>
          <w:rFonts w:hint="eastAsia"/>
          <w:szCs w:val="21"/>
        </w:rPr>
        <w:t>年更将突破</w:t>
      </w:r>
      <w:r>
        <w:rPr>
          <w:rFonts w:hint="eastAsia"/>
          <w:szCs w:val="21"/>
        </w:rPr>
        <w:t>732.6</w:t>
      </w:r>
      <w:r>
        <w:rPr>
          <w:rFonts w:hint="eastAsia"/>
          <w:szCs w:val="21"/>
        </w:rPr>
        <w:t>亿至</w:t>
      </w:r>
      <w:r>
        <w:rPr>
          <w:rFonts w:hint="eastAsia"/>
          <w:szCs w:val="21"/>
        </w:rPr>
        <w:t>776.6</w:t>
      </w:r>
      <w:r>
        <w:rPr>
          <w:rFonts w:hint="eastAsia"/>
          <w:szCs w:val="21"/>
        </w:rPr>
        <w:t>亿美元，在</w:t>
      </w:r>
      <w:r>
        <w:rPr>
          <w:rFonts w:hint="eastAsia"/>
          <w:szCs w:val="21"/>
        </w:rPr>
        <w:t>2026-2035</w:t>
      </w:r>
      <w:r>
        <w:rPr>
          <w:rFonts w:hint="eastAsia"/>
          <w:szCs w:val="21"/>
        </w:rPr>
        <w:t>年预测期内保持</w:t>
      </w:r>
      <w:r>
        <w:rPr>
          <w:rFonts w:hint="eastAsia"/>
          <w:szCs w:val="21"/>
        </w:rPr>
        <w:t>9.2%</w:t>
      </w:r>
      <w:r>
        <w:rPr>
          <w:rFonts w:hint="eastAsia"/>
          <w:szCs w:val="21"/>
        </w:rPr>
        <w:t>的稳定复合年增长率。这一增长的底层驱动力来自法律运营的深层变革：近</w:t>
      </w:r>
      <w:r>
        <w:rPr>
          <w:rFonts w:hint="eastAsia"/>
          <w:szCs w:val="21"/>
        </w:rPr>
        <w:t>72%</w:t>
      </w:r>
      <w:r>
        <w:rPr>
          <w:rFonts w:hint="eastAsia"/>
          <w:szCs w:val="21"/>
        </w:rPr>
        <w:t>的法律团队已集成自动化工具，</w:t>
      </w:r>
      <w:r>
        <w:rPr>
          <w:rFonts w:hint="eastAsia"/>
          <w:szCs w:val="21"/>
        </w:rPr>
        <w:t>67%</w:t>
      </w:r>
      <w:r>
        <w:rPr>
          <w:rFonts w:hint="eastAsia"/>
          <w:szCs w:val="21"/>
        </w:rPr>
        <w:t>转向人工智能驱动的研究系统，</w:t>
      </w:r>
      <w:r>
        <w:rPr>
          <w:rFonts w:hint="eastAsia"/>
          <w:szCs w:val="21"/>
        </w:rPr>
        <w:t>64%</w:t>
      </w:r>
      <w:r>
        <w:rPr>
          <w:rFonts w:hint="eastAsia"/>
          <w:szCs w:val="21"/>
        </w:rPr>
        <w:t>采用云工作流程，企业端对自动化法律运营的投资增幅达</w:t>
      </w:r>
      <w:r>
        <w:rPr>
          <w:rFonts w:hint="eastAsia"/>
          <w:szCs w:val="21"/>
        </w:rPr>
        <w:t>58%</w:t>
      </w:r>
      <w:r>
        <w:rPr>
          <w:rFonts w:hint="eastAsia"/>
          <w:szCs w:val="21"/>
        </w:rPr>
        <w:t>。</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13" w:name="_Toc29942"/>
      <w:r>
        <w:rPr>
          <w:rFonts w:ascii="宋体" w:eastAsia="宋体" w:hAnsi="宋体" w:hint="eastAsia"/>
          <w:bCs/>
          <w:sz w:val="21"/>
          <w:szCs w:val="32"/>
        </w:rPr>
        <w:t>2.1.1 人工智能与法律科技行业分析</w:t>
      </w:r>
      <w:bookmarkEnd w:id="13"/>
    </w:p>
    <w:p w:rsidR="00B70185" w:rsidRDefault="00000000">
      <w:pPr>
        <w:spacing w:line="300" w:lineRule="auto"/>
        <w:ind w:firstLineChars="200" w:firstLine="420"/>
        <w:rPr>
          <w:szCs w:val="21"/>
        </w:rPr>
      </w:pPr>
      <w:r>
        <w:rPr>
          <w:rFonts w:hint="eastAsia"/>
          <w:szCs w:val="21"/>
        </w:rPr>
        <w:t>全球法律科技市场正经历从数字化工具向智能化基础设施的进化。</w:t>
      </w:r>
      <w:r>
        <w:rPr>
          <w:rFonts w:hint="eastAsia"/>
          <w:szCs w:val="21"/>
        </w:rPr>
        <w:t>2025</w:t>
      </w:r>
      <w:r>
        <w:rPr>
          <w:rFonts w:hint="eastAsia"/>
          <w:szCs w:val="21"/>
        </w:rPr>
        <w:t>年全球法律科技市场规模已达</w:t>
      </w:r>
      <w:r>
        <w:rPr>
          <w:rFonts w:hint="eastAsia"/>
          <w:szCs w:val="21"/>
        </w:rPr>
        <w:t>322.1</w:t>
      </w:r>
      <w:r>
        <w:rPr>
          <w:rFonts w:hint="eastAsia"/>
          <w:szCs w:val="21"/>
        </w:rPr>
        <w:t>亿至</w:t>
      </w:r>
      <w:r>
        <w:rPr>
          <w:rFonts w:hint="eastAsia"/>
          <w:szCs w:val="21"/>
        </w:rPr>
        <w:t>303.8</w:t>
      </w:r>
      <w:r>
        <w:rPr>
          <w:rFonts w:hint="eastAsia"/>
          <w:szCs w:val="21"/>
        </w:rPr>
        <w:t>亿美元区间，预计</w:t>
      </w:r>
      <w:r>
        <w:rPr>
          <w:rFonts w:hint="eastAsia"/>
          <w:szCs w:val="21"/>
        </w:rPr>
        <w:t>2026</w:t>
      </w:r>
      <w:r>
        <w:rPr>
          <w:rFonts w:hint="eastAsia"/>
          <w:szCs w:val="21"/>
        </w:rPr>
        <w:t>年将增至</w:t>
      </w:r>
      <w:r>
        <w:rPr>
          <w:rFonts w:hint="eastAsia"/>
          <w:szCs w:val="21"/>
        </w:rPr>
        <w:t>331.8</w:t>
      </w:r>
      <w:r>
        <w:rPr>
          <w:rFonts w:hint="eastAsia"/>
          <w:szCs w:val="21"/>
        </w:rPr>
        <w:t>亿至</w:t>
      </w:r>
      <w:r>
        <w:rPr>
          <w:rFonts w:hint="eastAsia"/>
          <w:szCs w:val="21"/>
        </w:rPr>
        <w:t>348.8</w:t>
      </w:r>
      <w:r>
        <w:rPr>
          <w:rFonts w:hint="eastAsia"/>
          <w:szCs w:val="21"/>
        </w:rPr>
        <w:t>亿美元，到</w:t>
      </w:r>
      <w:r>
        <w:rPr>
          <w:rFonts w:hint="eastAsia"/>
          <w:szCs w:val="21"/>
        </w:rPr>
        <w:t>2035</w:t>
      </w:r>
      <w:r>
        <w:rPr>
          <w:rFonts w:hint="eastAsia"/>
          <w:szCs w:val="21"/>
        </w:rPr>
        <w:t>年更将突破</w:t>
      </w:r>
      <w:r>
        <w:rPr>
          <w:rFonts w:hint="eastAsia"/>
          <w:szCs w:val="21"/>
        </w:rPr>
        <w:t>732.6</w:t>
      </w:r>
      <w:r>
        <w:rPr>
          <w:rFonts w:hint="eastAsia"/>
          <w:szCs w:val="21"/>
        </w:rPr>
        <w:t>亿至</w:t>
      </w:r>
      <w:r>
        <w:rPr>
          <w:rFonts w:hint="eastAsia"/>
          <w:szCs w:val="21"/>
        </w:rPr>
        <w:t>776.6</w:t>
      </w:r>
      <w:r>
        <w:rPr>
          <w:rFonts w:hint="eastAsia"/>
          <w:szCs w:val="21"/>
        </w:rPr>
        <w:t>亿美元，在</w:t>
      </w:r>
      <w:r>
        <w:rPr>
          <w:rFonts w:hint="eastAsia"/>
          <w:szCs w:val="21"/>
        </w:rPr>
        <w:t>2026-2035</w:t>
      </w:r>
      <w:r>
        <w:rPr>
          <w:rFonts w:hint="eastAsia"/>
          <w:szCs w:val="21"/>
        </w:rPr>
        <w:t>年预测期内保持</w:t>
      </w:r>
      <w:r>
        <w:rPr>
          <w:rFonts w:hint="eastAsia"/>
          <w:szCs w:val="21"/>
        </w:rPr>
        <w:t>9.2%</w:t>
      </w:r>
      <w:r>
        <w:rPr>
          <w:rFonts w:hint="eastAsia"/>
          <w:szCs w:val="21"/>
        </w:rPr>
        <w:t>的稳定复合年增长率。这一增长的底层驱动力来自法律运营的深层变革：近</w:t>
      </w:r>
      <w:r>
        <w:rPr>
          <w:rFonts w:hint="eastAsia"/>
          <w:szCs w:val="21"/>
        </w:rPr>
        <w:t>72%</w:t>
      </w:r>
      <w:r>
        <w:rPr>
          <w:rFonts w:hint="eastAsia"/>
          <w:szCs w:val="21"/>
        </w:rPr>
        <w:t>的法律团队已集成自动化工具，</w:t>
      </w:r>
      <w:r>
        <w:rPr>
          <w:rFonts w:hint="eastAsia"/>
          <w:szCs w:val="21"/>
        </w:rPr>
        <w:t>67%</w:t>
      </w:r>
      <w:r>
        <w:rPr>
          <w:rFonts w:hint="eastAsia"/>
          <w:szCs w:val="21"/>
        </w:rPr>
        <w:t>转向人工智能驱动的研究系统，企业端对自动化法律运营的投资增幅达</w:t>
      </w:r>
      <w:r>
        <w:rPr>
          <w:rFonts w:hint="eastAsia"/>
          <w:szCs w:val="21"/>
        </w:rPr>
        <w:t>58%</w:t>
      </w:r>
      <w:r>
        <w:rPr>
          <w:rFonts w:hint="eastAsia"/>
          <w:szCs w:val="21"/>
        </w:rPr>
        <w:t>。更值得关注的是法律科技中人工智能子赛道的爆发式增长。区别于整体法律科技市场</w:t>
      </w:r>
      <w:r>
        <w:rPr>
          <w:rFonts w:hint="eastAsia"/>
          <w:szCs w:val="21"/>
        </w:rPr>
        <w:t>9%</w:t>
      </w:r>
      <w:r>
        <w:rPr>
          <w:rFonts w:hint="eastAsia"/>
          <w:szCs w:val="21"/>
        </w:rPr>
        <w:t>左右的稳健增速，法律科技人工智能市场正以指数级曲线攀升：</w:t>
      </w:r>
      <w:r>
        <w:rPr>
          <w:rFonts w:hint="eastAsia"/>
          <w:szCs w:val="21"/>
        </w:rPr>
        <w:t>2024</w:t>
      </w:r>
      <w:r>
        <w:rPr>
          <w:rFonts w:hint="eastAsia"/>
          <w:szCs w:val="21"/>
        </w:rPr>
        <w:t>年规模为</w:t>
      </w:r>
      <w:r>
        <w:rPr>
          <w:rFonts w:hint="eastAsia"/>
          <w:szCs w:val="21"/>
        </w:rPr>
        <w:t>21.5</w:t>
      </w:r>
      <w:r>
        <w:rPr>
          <w:rFonts w:hint="eastAsia"/>
          <w:szCs w:val="21"/>
        </w:rPr>
        <w:t>亿美元，</w:t>
      </w:r>
      <w:r>
        <w:rPr>
          <w:rFonts w:hint="eastAsia"/>
          <w:szCs w:val="21"/>
        </w:rPr>
        <w:t>2025</w:t>
      </w:r>
      <w:r>
        <w:rPr>
          <w:rFonts w:hint="eastAsia"/>
          <w:szCs w:val="21"/>
        </w:rPr>
        <w:t>年预计增至</w:t>
      </w:r>
      <w:r>
        <w:rPr>
          <w:rFonts w:hint="eastAsia"/>
          <w:szCs w:val="21"/>
        </w:rPr>
        <w:t>28.2</w:t>
      </w:r>
      <w:r>
        <w:rPr>
          <w:rFonts w:hint="eastAsia"/>
          <w:szCs w:val="21"/>
        </w:rPr>
        <w:t>亿美元，年复合增长率高达</w:t>
      </w:r>
      <w:r>
        <w:rPr>
          <w:rFonts w:hint="eastAsia"/>
          <w:szCs w:val="21"/>
        </w:rPr>
        <w:t>31.0%</w:t>
      </w:r>
      <w:r>
        <w:rPr>
          <w:rFonts w:hint="eastAsia"/>
          <w:szCs w:val="21"/>
        </w:rPr>
        <w:t>；至</w:t>
      </w:r>
      <w:r>
        <w:rPr>
          <w:rFonts w:hint="eastAsia"/>
          <w:szCs w:val="21"/>
        </w:rPr>
        <w:t>2029</w:t>
      </w:r>
      <w:r>
        <w:rPr>
          <w:rFonts w:hint="eastAsia"/>
          <w:szCs w:val="21"/>
        </w:rPr>
        <w:t>年，这一细分市场规模将进一步达到</w:t>
      </w:r>
      <w:r>
        <w:rPr>
          <w:rFonts w:hint="eastAsia"/>
          <w:szCs w:val="21"/>
        </w:rPr>
        <w:t>84.1</w:t>
      </w:r>
      <w:r>
        <w:rPr>
          <w:rFonts w:hint="eastAsia"/>
          <w:szCs w:val="21"/>
        </w:rPr>
        <w:t>亿美元，维持</w:t>
      </w:r>
      <w:r>
        <w:rPr>
          <w:rFonts w:hint="eastAsia"/>
          <w:szCs w:val="21"/>
        </w:rPr>
        <w:t>31.4%</w:t>
      </w:r>
      <w:r>
        <w:rPr>
          <w:rFonts w:hint="eastAsia"/>
          <w:szCs w:val="21"/>
        </w:rPr>
        <w:t>的强劲增长态势，法律科技的整体增长转向“智能化”驱动，</w:t>
      </w:r>
      <w:r>
        <w:rPr>
          <w:rFonts w:hint="eastAsia"/>
          <w:szCs w:val="21"/>
        </w:rPr>
        <w:t>AI</w:t>
      </w:r>
      <w:r>
        <w:rPr>
          <w:rFonts w:hint="eastAsia"/>
          <w:szCs w:val="21"/>
        </w:rPr>
        <w:t>已成为行业价值增长的核心锚点。亚太地区正成为增长的新引擎，预计到</w:t>
      </w:r>
      <w:r>
        <w:rPr>
          <w:rFonts w:hint="eastAsia"/>
          <w:szCs w:val="21"/>
        </w:rPr>
        <w:t>2035</w:t>
      </w:r>
      <w:r>
        <w:rPr>
          <w:rFonts w:hint="eastAsia"/>
          <w:szCs w:val="21"/>
        </w:rPr>
        <w:t>年，亚太市场将占据全球</w:t>
      </w:r>
      <w:r>
        <w:rPr>
          <w:rFonts w:hint="eastAsia"/>
          <w:szCs w:val="21"/>
        </w:rPr>
        <w:t>40%</w:t>
      </w:r>
      <w:r>
        <w:rPr>
          <w:rFonts w:hint="eastAsia"/>
          <w:szCs w:val="21"/>
        </w:rPr>
        <w:t>的收入份额，中国市场在其中扮演关键角色，</w:t>
      </w:r>
      <w:r>
        <w:rPr>
          <w:rFonts w:hint="eastAsia"/>
          <w:szCs w:val="21"/>
        </w:rPr>
        <w:t>2024</w:t>
      </w:r>
      <w:r>
        <w:rPr>
          <w:rFonts w:hint="eastAsia"/>
          <w:szCs w:val="21"/>
        </w:rPr>
        <w:t>年中国人工智能产业估值已达</w:t>
      </w:r>
      <w:r>
        <w:rPr>
          <w:rFonts w:hint="eastAsia"/>
          <w:szCs w:val="21"/>
        </w:rPr>
        <w:t>340</w:t>
      </w:r>
      <w:r>
        <w:rPr>
          <w:rFonts w:hint="eastAsia"/>
          <w:szCs w:val="21"/>
        </w:rPr>
        <w:t>亿美元。</w:t>
      </w:r>
    </w:p>
    <w:p w:rsidR="00B70185" w:rsidRDefault="00000000">
      <w:pPr>
        <w:spacing w:line="300" w:lineRule="auto"/>
        <w:ind w:firstLineChars="200" w:firstLine="420"/>
        <w:rPr>
          <w:szCs w:val="21"/>
        </w:rPr>
      </w:pPr>
      <w:r>
        <w:rPr>
          <w:rFonts w:hint="eastAsia"/>
          <w:szCs w:val="21"/>
        </w:rPr>
        <w:t>然而，高速增长的繁荣表象之下，行业正面重重矛盾。一方面，供给结构与真实需求错位，前沿科技尚未渗透至普通用户。当前法律科技产品的服务重心高度集中在服务于大型机构的律师事务所和企业法务部门，占市场七成，而面向普通个人消费者的小额、高频、生活化法律需求，如劳动报酬追索、消费维权、房屋租赁纠纷等，尚未形成规模化的产品供给矩阵。另一方面，隐私安全的重要程度日益上升，数据安全成为信任机制的关键一环。</w:t>
      </w:r>
      <w:r>
        <w:rPr>
          <w:rFonts w:hint="eastAsia"/>
          <w:szCs w:val="21"/>
        </w:rPr>
        <w:t>2025</w:t>
      </w:r>
      <w:r>
        <w:rPr>
          <w:rFonts w:hint="eastAsia"/>
          <w:szCs w:val="21"/>
        </w:rPr>
        <w:t>年修订的《网络安全法》首次将</w:t>
      </w:r>
      <w:r>
        <w:rPr>
          <w:rFonts w:hint="eastAsia"/>
          <w:szCs w:val="21"/>
        </w:rPr>
        <w:t>AI</w:t>
      </w:r>
      <w:r>
        <w:rPr>
          <w:rFonts w:hint="eastAsia"/>
          <w:szCs w:val="21"/>
        </w:rPr>
        <w:t>纳入国家网络安全基本法，在国家层面显示出对</w:t>
      </w:r>
      <w:r>
        <w:rPr>
          <w:rFonts w:hint="eastAsia"/>
          <w:szCs w:val="21"/>
        </w:rPr>
        <w:t>AI</w:t>
      </w:r>
      <w:r>
        <w:rPr>
          <w:rFonts w:hint="eastAsia"/>
          <w:szCs w:val="21"/>
        </w:rPr>
        <w:t>信息保护的重视。</w:t>
      </w:r>
    </w:p>
    <w:p w:rsidR="00B70185" w:rsidRDefault="00000000">
      <w:pPr>
        <w:spacing w:line="300" w:lineRule="auto"/>
        <w:ind w:firstLineChars="200" w:firstLine="420"/>
        <w:rPr>
          <w:szCs w:val="21"/>
        </w:rPr>
      </w:pPr>
      <w:r>
        <w:rPr>
          <w:rFonts w:hint="eastAsia"/>
          <w:szCs w:val="21"/>
        </w:rPr>
        <w:t>法律科技演进将沿三条主线展开：一是从服务头部向长尾市场下沉，以极低成本满足海量分散的普通民众法律需求；二是从被动工具升级为主动协同的智能体，实现可溯源的自主工作流；三是从商业效率竞争转向社会信任构建，自主可控的技术架构将成为公共法律服务与数据主权敏感场景的核心信任资产。</w:t>
      </w:r>
    </w:p>
    <w:p w:rsidR="00B70185" w:rsidRDefault="00000000">
      <w:pPr>
        <w:pStyle w:val="2"/>
        <w:tabs>
          <w:tab w:val="center" w:pos="4153"/>
        </w:tabs>
        <w:spacing w:line="300" w:lineRule="auto"/>
        <w:ind w:right="210"/>
        <w:rPr>
          <w:rFonts w:ascii="宋体" w:eastAsia="宋体" w:hAnsi="宋体"/>
          <w:sz w:val="21"/>
          <w:szCs w:val="21"/>
        </w:rPr>
      </w:pPr>
      <w:bookmarkStart w:id="14" w:name="_Toc11408"/>
      <w:r>
        <w:rPr>
          <w:rFonts w:ascii="宋体" w:eastAsia="宋体" w:hAnsi="宋体" w:hint="eastAsia"/>
          <w:sz w:val="21"/>
          <w:szCs w:val="21"/>
        </w:rPr>
        <w:t>2.2 行业发展趋势分析</w:t>
      </w:r>
      <w:bookmarkEnd w:id="14"/>
    </w:p>
    <w:p w:rsidR="00B70185" w:rsidRDefault="00000000">
      <w:pPr>
        <w:pStyle w:val="3"/>
        <w:spacing w:before="0" w:after="0" w:line="300" w:lineRule="auto"/>
        <w:ind w:leftChars="200" w:left="420" w:rightChars="100" w:right="210"/>
        <w:rPr>
          <w:rFonts w:ascii="宋体" w:eastAsia="宋体" w:hAnsi="宋体"/>
          <w:bCs/>
          <w:sz w:val="21"/>
          <w:szCs w:val="32"/>
        </w:rPr>
      </w:pPr>
      <w:bookmarkStart w:id="15" w:name="_Toc15376"/>
      <w:r>
        <w:rPr>
          <w:rFonts w:ascii="宋体" w:eastAsia="宋体" w:hAnsi="宋体" w:hint="eastAsia"/>
          <w:bCs/>
          <w:sz w:val="21"/>
          <w:szCs w:val="32"/>
        </w:rPr>
        <w:t>2.2.1 国际发展现状</w:t>
      </w:r>
      <w:bookmarkEnd w:id="15"/>
    </w:p>
    <w:p w:rsidR="00B70185" w:rsidRDefault="00000000">
      <w:pPr>
        <w:spacing w:line="300" w:lineRule="auto"/>
        <w:ind w:firstLineChars="200" w:firstLine="420"/>
        <w:rPr>
          <w:szCs w:val="21"/>
        </w:rPr>
      </w:pPr>
      <w:r>
        <w:rPr>
          <w:rFonts w:hint="eastAsia"/>
          <w:szCs w:val="21"/>
        </w:rPr>
        <w:t>当前，全球法律咨询行业正处于一个由市场和技术压力共同推动的变革期。一方面，行业展现出强劲的增长动力。预计到</w:t>
      </w:r>
      <w:r>
        <w:rPr>
          <w:rFonts w:hint="eastAsia"/>
          <w:szCs w:val="21"/>
        </w:rPr>
        <w:t>2029</w:t>
      </w:r>
      <w:r>
        <w:rPr>
          <w:rFonts w:hint="eastAsia"/>
          <w:szCs w:val="21"/>
        </w:rPr>
        <w:t>年，全球法律服务市场规模将达到</w:t>
      </w:r>
      <w:r>
        <w:rPr>
          <w:rFonts w:hint="eastAsia"/>
          <w:szCs w:val="21"/>
        </w:rPr>
        <w:t>1.34</w:t>
      </w:r>
      <w:r>
        <w:rPr>
          <w:rFonts w:hint="eastAsia"/>
          <w:szCs w:val="21"/>
        </w:rPr>
        <w:t>万亿美元，预计到</w:t>
      </w:r>
      <w:r>
        <w:rPr>
          <w:rFonts w:hint="eastAsia"/>
          <w:szCs w:val="21"/>
        </w:rPr>
        <w:t>2035</w:t>
      </w:r>
      <w:r>
        <w:rPr>
          <w:rFonts w:hint="eastAsia"/>
          <w:szCs w:val="21"/>
        </w:rPr>
        <w:t>年，全球法律科技市场规模将达到</w:t>
      </w:r>
      <w:r>
        <w:rPr>
          <w:rFonts w:hint="eastAsia"/>
          <w:szCs w:val="21"/>
        </w:rPr>
        <w:t>732.6</w:t>
      </w:r>
      <w:r>
        <w:rPr>
          <w:rFonts w:hint="eastAsia"/>
          <w:szCs w:val="21"/>
        </w:rPr>
        <w:t>亿美元。客户需求正变得多样化，除</w:t>
      </w:r>
      <w:r>
        <w:rPr>
          <w:rFonts w:hint="eastAsia"/>
          <w:szCs w:val="21"/>
        </w:rPr>
        <w:lastRenderedPageBreak/>
        <w:t>了传统的大型企业外，中小企业、政府机构乃至普通消费者都在推动法律服务市场的多元化发展。另一方面，人工智能正从前沿工具转变为驱动行业重塑的核心设施。早期的法律</w:t>
      </w:r>
      <w:r>
        <w:rPr>
          <w:rFonts w:hint="eastAsia"/>
          <w:szCs w:val="21"/>
        </w:rPr>
        <w:t>AI</w:t>
      </w:r>
      <w:r>
        <w:rPr>
          <w:rFonts w:hint="eastAsia"/>
          <w:szCs w:val="21"/>
        </w:rPr>
        <w:t>主要执行文档检索、格式校对等单一任务，而当前由顶尖法律科技公司推出的智能体，如汤森路透推出的</w:t>
      </w:r>
      <w:proofErr w:type="spellStart"/>
      <w:r>
        <w:rPr>
          <w:rFonts w:hint="eastAsia"/>
          <w:szCs w:val="21"/>
        </w:rPr>
        <w:t>CoCounsel</w:t>
      </w:r>
      <w:proofErr w:type="spellEnd"/>
      <w:r>
        <w:rPr>
          <w:rFonts w:hint="eastAsia"/>
          <w:szCs w:val="21"/>
        </w:rPr>
        <w:t>、律商联讯的</w:t>
      </w:r>
      <w:proofErr w:type="spellStart"/>
      <w:r>
        <w:rPr>
          <w:rFonts w:hint="eastAsia"/>
          <w:szCs w:val="21"/>
        </w:rPr>
        <w:t>Lexis+AI</w:t>
      </w:r>
      <w:proofErr w:type="spellEnd"/>
      <w:r>
        <w:rPr>
          <w:rFonts w:hint="eastAsia"/>
          <w:szCs w:val="21"/>
        </w:rPr>
        <w:t>，则是能够自主规划并执行多步骤复杂工作流的智能体系统，市场研究预计，到</w:t>
      </w:r>
      <w:r>
        <w:rPr>
          <w:rFonts w:hint="eastAsia"/>
          <w:szCs w:val="21"/>
        </w:rPr>
        <w:t>2026</w:t>
      </w:r>
      <w:r>
        <w:rPr>
          <w:rFonts w:hint="eastAsia"/>
          <w:szCs w:val="21"/>
        </w:rPr>
        <w:t>年，将有约</w:t>
      </w:r>
      <w:r>
        <w:rPr>
          <w:rFonts w:hint="eastAsia"/>
          <w:szCs w:val="21"/>
        </w:rPr>
        <w:t>40%</w:t>
      </w:r>
      <w:r>
        <w:rPr>
          <w:rFonts w:hint="eastAsia"/>
          <w:szCs w:val="21"/>
        </w:rPr>
        <w:t>的企业应用搭载特定任务型</w:t>
      </w:r>
      <w:r>
        <w:rPr>
          <w:rFonts w:hint="eastAsia"/>
          <w:szCs w:val="21"/>
        </w:rPr>
        <w:t>AI</w:t>
      </w:r>
      <w:r>
        <w:rPr>
          <w:rFonts w:hint="eastAsia"/>
          <w:szCs w:val="21"/>
        </w:rPr>
        <w:t>智能体。</w:t>
      </w:r>
    </w:p>
    <w:p w:rsidR="00B70185" w:rsidRDefault="00000000">
      <w:pPr>
        <w:spacing w:line="300" w:lineRule="auto"/>
        <w:ind w:firstLineChars="200" w:firstLine="420"/>
        <w:rPr>
          <w:szCs w:val="21"/>
        </w:rPr>
      </w:pPr>
      <w:r>
        <w:rPr>
          <w:rFonts w:hint="eastAsia"/>
          <w:szCs w:val="21"/>
        </w:rPr>
        <w:t>行业也同时面临成本压力和日益复杂的挑战。客户对高昂的小时费率模式越来越不满，促使律师费率增长有所放缓。大型企业凭借其业务量在与顶尖律所谈判时拥有显著优势，能够获得更低的费率，而中小型客户则相对弱势。与此同时，即使是专业的法律</w:t>
      </w:r>
      <w:r>
        <w:rPr>
          <w:rFonts w:hint="eastAsia"/>
          <w:szCs w:val="21"/>
        </w:rPr>
        <w:t>AI</w:t>
      </w:r>
      <w:r>
        <w:rPr>
          <w:rFonts w:hint="eastAsia"/>
          <w:szCs w:val="21"/>
        </w:rPr>
        <w:t>工具仍然存在幻觉和不容忽视的错误率，斯坦福的研究发现，</w:t>
      </w:r>
      <w:proofErr w:type="spellStart"/>
      <w:r>
        <w:rPr>
          <w:rFonts w:hint="eastAsia"/>
          <w:szCs w:val="21"/>
        </w:rPr>
        <w:t>Lexis+AI</w:t>
      </w:r>
      <w:proofErr w:type="spellEnd"/>
      <w:r>
        <w:rPr>
          <w:rFonts w:hint="eastAsia"/>
          <w:szCs w:val="21"/>
        </w:rPr>
        <w:t>的错误率为</w:t>
      </w:r>
      <w:r>
        <w:rPr>
          <w:rFonts w:hint="eastAsia"/>
          <w:szCs w:val="21"/>
        </w:rPr>
        <w:t>17%</w:t>
      </w:r>
      <w:r>
        <w:rPr>
          <w:rFonts w:hint="eastAsia"/>
          <w:szCs w:val="21"/>
        </w:rPr>
        <w:t>，而专业的</w:t>
      </w:r>
      <w:proofErr w:type="spellStart"/>
      <w:r>
        <w:rPr>
          <w:rFonts w:hint="eastAsia"/>
          <w:szCs w:val="21"/>
        </w:rPr>
        <w:t>WestlawAI</w:t>
      </w:r>
      <w:proofErr w:type="spellEnd"/>
      <w:r>
        <w:rPr>
          <w:rFonts w:hint="eastAsia"/>
          <w:szCs w:val="21"/>
        </w:rPr>
        <w:t>辅助研究工具的错误率为</w:t>
      </w:r>
      <w:r>
        <w:rPr>
          <w:rFonts w:hint="eastAsia"/>
          <w:szCs w:val="21"/>
        </w:rPr>
        <w:t>34%</w:t>
      </w:r>
      <w:r>
        <w:rPr>
          <w:rFonts w:hint="eastAsia"/>
          <w:szCs w:val="21"/>
        </w:rPr>
        <w:t>，并已引发数百起相关诉讼。欧盟《人工智能法案》，对法律</w:t>
      </w:r>
      <w:r>
        <w:rPr>
          <w:rFonts w:hint="eastAsia"/>
          <w:szCs w:val="21"/>
        </w:rPr>
        <w:t>AI</w:t>
      </w:r>
      <w:r>
        <w:rPr>
          <w:rFonts w:hint="eastAsia"/>
          <w:szCs w:val="21"/>
        </w:rPr>
        <w:t>这类高风险系统提出了严苛的合规要求。</w:t>
      </w:r>
    </w:p>
    <w:p w:rsidR="00B70185" w:rsidRDefault="00000000">
      <w:pPr>
        <w:spacing w:line="300" w:lineRule="auto"/>
        <w:ind w:firstLineChars="200" w:firstLine="420"/>
        <w:rPr>
          <w:szCs w:val="21"/>
        </w:rPr>
      </w:pPr>
      <w:r>
        <w:rPr>
          <w:rFonts w:hint="eastAsia"/>
          <w:szCs w:val="21"/>
        </w:rPr>
        <w:t>国际市场规模与技术应用在同步高速扩张，但传统咨询模式亟待更新；技术带来了效率提升，但工具本身的缺陷和</w:t>
      </w:r>
      <w:r>
        <w:rPr>
          <w:rFonts w:hint="eastAsia"/>
          <w:szCs w:val="21"/>
        </w:rPr>
        <w:t>AI</w:t>
      </w:r>
      <w:r>
        <w:rPr>
          <w:rFonts w:hint="eastAsia"/>
          <w:szCs w:val="21"/>
        </w:rPr>
        <w:t>监管又构成了前所未有的挑战。</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16" w:name="_Toc152"/>
      <w:r>
        <w:rPr>
          <w:rFonts w:ascii="宋体" w:eastAsia="宋体" w:hAnsi="宋体" w:hint="eastAsia"/>
          <w:bCs/>
          <w:sz w:val="21"/>
          <w:szCs w:val="32"/>
        </w:rPr>
        <w:t>2.2.2 国内发展现状</w:t>
      </w:r>
      <w:bookmarkEnd w:id="16"/>
    </w:p>
    <w:p w:rsidR="00B70185" w:rsidRDefault="00000000">
      <w:pPr>
        <w:spacing w:line="300" w:lineRule="auto"/>
        <w:ind w:firstLineChars="200" w:firstLine="420"/>
        <w:rPr>
          <w:szCs w:val="21"/>
        </w:rPr>
      </w:pPr>
      <w:r>
        <w:rPr>
          <w:szCs w:val="21"/>
        </w:rPr>
        <w:t>中国法律咨询行业的智能化发展呈现出显著的国家主导、多元参与特征</w:t>
      </w:r>
      <w:r>
        <w:rPr>
          <w:rFonts w:hint="eastAsia"/>
          <w:szCs w:val="21"/>
        </w:rPr>
        <w:t>，中国法律</w:t>
      </w:r>
      <w:r>
        <w:rPr>
          <w:rFonts w:hint="eastAsia"/>
          <w:szCs w:val="21"/>
        </w:rPr>
        <w:t>AI</w:t>
      </w:r>
      <w:r>
        <w:rPr>
          <w:rFonts w:hint="eastAsia"/>
          <w:szCs w:val="21"/>
        </w:rPr>
        <w:t>市场正成为全球增长的重要引擎。全球法律科技市场预计将从</w:t>
      </w:r>
      <w:r>
        <w:rPr>
          <w:rFonts w:hint="eastAsia"/>
          <w:szCs w:val="21"/>
        </w:rPr>
        <w:t>2025</w:t>
      </w:r>
      <w:r>
        <w:rPr>
          <w:rFonts w:hint="eastAsia"/>
          <w:szCs w:val="21"/>
        </w:rPr>
        <w:t>年的</w:t>
      </w:r>
      <w:r>
        <w:rPr>
          <w:rFonts w:hint="eastAsia"/>
          <w:szCs w:val="21"/>
        </w:rPr>
        <w:t>303.8</w:t>
      </w:r>
      <w:r>
        <w:rPr>
          <w:rFonts w:hint="eastAsia"/>
          <w:szCs w:val="21"/>
        </w:rPr>
        <w:t>亿美元增至</w:t>
      </w:r>
      <w:r>
        <w:rPr>
          <w:rFonts w:hint="eastAsia"/>
          <w:szCs w:val="21"/>
        </w:rPr>
        <w:t>2035</w:t>
      </w:r>
      <w:r>
        <w:rPr>
          <w:rFonts w:hint="eastAsia"/>
          <w:szCs w:val="21"/>
        </w:rPr>
        <w:t>年的</w:t>
      </w:r>
      <w:r>
        <w:rPr>
          <w:rFonts w:hint="eastAsia"/>
          <w:szCs w:val="21"/>
        </w:rPr>
        <w:t>732.6</w:t>
      </w:r>
      <w:r>
        <w:rPr>
          <w:rFonts w:hint="eastAsia"/>
          <w:szCs w:val="21"/>
        </w:rPr>
        <w:t>亿美元，其中亚太地区占据</w:t>
      </w:r>
      <w:r>
        <w:rPr>
          <w:rFonts w:hint="eastAsia"/>
          <w:szCs w:val="21"/>
        </w:rPr>
        <w:t>24%</w:t>
      </w:r>
      <w:r>
        <w:rPr>
          <w:rFonts w:hint="eastAsia"/>
          <w:szCs w:val="21"/>
        </w:rPr>
        <w:t>的份额并保持增长。</w:t>
      </w:r>
      <w:r>
        <w:rPr>
          <w:szCs w:val="21"/>
        </w:rPr>
        <w:t>《</w:t>
      </w:r>
      <w:r>
        <w:rPr>
          <w:szCs w:val="21"/>
        </w:rPr>
        <w:t>“</w:t>
      </w:r>
      <w:r>
        <w:rPr>
          <w:szCs w:val="21"/>
        </w:rPr>
        <w:t>十三五</w:t>
      </w:r>
      <w:r>
        <w:rPr>
          <w:szCs w:val="21"/>
        </w:rPr>
        <w:t>”</w:t>
      </w:r>
      <w:r>
        <w:rPr>
          <w:szCs w:val="21"/>
        </w:rPr>
        <w:t>国家信息化规划》明确提出</w:t>
      </w:r>
      <w:r>
        <w:rPr>
          <w:szCs w:val="21"/>
        </w:rPr>
        <w:t>“</w:t>
      </w:r>
      <w:r>
        <w:rPr>
          <w:szCs w:val="21"/>
        </w:rPr>
        <w:t>智慧法院</w:t>
      </w:r>
      <w:r>
        <w:rPr>
          <w:szCs w:val="21"/>
        </w:rPr>
        <w:t>”</w:t>
      </w:r>
      <w:r>
        <w:rPr>
          <w:szCs w:val="21"/>
        </w:rPr>
        <w:t>与</w:t>
      </w:r>
      <w:r>
        <w:rPr>
          <w:szCs w:val="21"/>
        </w:rPr>
        <w:t>“</w:t>
      </w:r>
      <w:r>
        <w:rPr>
          <w:szCs w:val="21"/>
        </w:rPr>
        <w:t>智慧检务</w:t>
      </w:r>
      <w:r>
        <w:rPr>
          <w:szCs w:val="21"/>
        </w:rPr>
        <w:t>”</w:t>
      </w:r>
      <w:r>
        <w:rPr>
          <w:szCs w:val="21"/>
        </w:rPr>
        <w:t>建设任务后，数字技术在法律服务领域的应用已全面铺开。最新的制度保障体现在</w:t>
      </w:r>
      <w:r>
        <w:rPr>
          <w:szCs w:val="21"/>
        </w:rPr>
        <w:t>2026</w:t>
      </w:r>
      <w:r>
        <w:rPr>
          <w:szCs w:val="21"/>
        </w:rPr>
        <w:t>年起施行的新修改《网络安全法》，正式将人工智能纳入国家网络安全法律体系。在这一背景下，智能法律咨询的实践呈现出多层次、多主体的格局。</w:t>
      </w:r>
    </w:p>
    <w:p w:rsidR="00B70185" w:rsidRDefault="00000000">
      <w:pPr>
        <w:spacing w:line="300" w:lineRule="auto"/>
        <w:ind w:firstLineChars="200" w:firstLine="420"/>
      </w:pPr>
      <w:r>
        <w:rPr>
          <w:rFonts w:hint="eastAsia"/>
          <w:szCs w:val="21"/>
        </w:rPr>
        <w:t>在基层</w:t>
      </w:r>
      <w:r>
        <w:rPr>
          <w:szCs w:val="21"/>
        </w:rPr>
        <w:t>法律服务层面，智能化工具</w:t>
      </w:r>
      <w:r>
        <w:rPr>
          <w:rFonts w:hint="eastAsia"/>
          <w:szCs w:val="21"/>
        </w:rPr>
        <w:t>正</w:t>
      </w:r>
      <w:r>
        <w:rPr>
          <w:szCs w:val="21"/>
        </w:rPr>
        <w:t>快速普及。顶尖科研机构持续发布新的专用模型，各级司法机关也在积极探索将智能技术应用于诉讼服务和公共咨询，显示出技术与场景结合的活跃度。当前市场上的产品尽管应用广泛，但解决方案呈现</w:t>
      </w:r>
      <w:r>
        <w:rPr>
          <w:rFonts w:hint="eastAsia"/>
          <w:szCs w:val="21"/>
        </w:rPr>
        <w:t>公式化</w:t>
      </w:r>
      <w:r>
        <w:rPr>
          <w:szCs w:val="21"/>
        </w:rPr>
        <w:t>的特点，难以应对</w:t>
      </w:r>
      <w:r>
        <w:rPr>
          <w:rFonts w:hint="eastAsia"/>
          <w:szCs w:val="21"/>
        </w:rPr>
        <w:t>真实的生活场景，设计的</w:t>
      </w:r>
      <w:r>
        <w:rPr>
          <w:szCs w:val="21"/>
        </w:rPr>
        <w:t>服务</w:t>
      </w:r>
      <w:r>
        <w:rPr>
          <w:rFonts w:hint="eastAsia"/>
          <w:szCs w:val="21"/>
        </w:rPr>
        <w:t>大多针对企业用户，商业模式难以覆盖普惠需求。</w:t>
      </w:r>
    </w:p>
    <w:p w:rsidR="00B70185" w:rsidRDefault="00000000">
      <w:pPr>
        <w:pStyle w:val="2"/>
        <w:tabs>
          <w:tab w:val="center" w:pos="4153"/>
        </w:tabs>
        <w:spacing w:line="300" w:lineRule="auto"/>
        <w:ind w:right="210"/>
        <w:rPr>
          <w:rFonts w:ascii="宋体" w:eastAsia="宋体" w:hAnsi="宋体"/>
          <w:sz w:val="21"/>
          <w:szCs w:val="21"/>
        </w:rPr>
      </w:pPr>
      <w:bookmarkStart w:id="17" w:name="_Toc22548"/>
      <w:r>
        <w:rPr>
          <w:rFonts w:ascii="宋体" w:eastAsia="宋体" w:hAnsi="宋体" w:hint="eastAsia"/>
          <w:sz w:val="21"/>
          <w:szCs w:val="21"/>
        </w:rPr>
        <w:t>2.3 宏观环境分析（PEST）</w:t>
      </w:r>
      <w:bookmarkEnd w:id="17"/>
    </w:p>
    <w:p w:rsidR="00B70185" w:rsidRDefault="00000000">
      <w:pPr>
        <w:pStyle w:val="3"/>
        <w:spacing w:before="0" w:after="0" w:line="300" w:lineRule="auto"/>
        <w:ind w:leftChars="200" w:left="420" w:rightChars="100" w:right="210"/>
        <w:rPr>
          <w:rFonts w:ascii="宋体" w:eastAsia="宋体" w:hAnsi="宋体"/>
          <w:bCs/>
          <w:sz w:val="21"/>
          <w:szCs w:val="32"/>
        </w:rPr>
      </w:pPr>
      <w:bookmarkStart w:id="18" w:name="_Toc10200"/>
      <w:r>
        <w:rPr>
          <w:rFonts w:ascii="宋体" w:eastAsia="宋体" w:hAnsi="宋体" w:hint="eastAsia"/>
          <w:bCs/>
          <w:sz w:val="21"/>
          <w:szCs w:val="32"/>
        </w:rPr>
        <w:t>2.3.1 政治因素</w:t>
      </w:r>
      <w:bookmarkEnd w:id="18"/>
    </w:p>
    <w:p w:rsidR="00B70185" w:rsidRDefault="00000000">
      <w:pPr>
        <w:spacing w:line="300" w:lineRule="auto"/>
        <w:ind w:firstLineChars="200" w:firstLine="420"/>
        <w:rPr>
          <w:szCs w:val="21"/>
        </w:rPr>
      </w:pPr>
      <w:r>
        <w:rPr>
          <w:rFonts w:hint="eastAsia"/>
          <w:szCs w:val="21"/>
        </w:rPr>
        <w:t>党的二十大报告将“在法治轨道上全面建设社会主义现代化国家”确立为重大战略方向，明确要求“建设覆盖城乡的现代公共法律服务体系”，而《法治社会建设实施纲要（</w:t>
      </w:r>
      <w:r>
        <w:rPr>
          <w:rFonts w:hint="eastAsia"/>
          <w:szCs w:val="21"/>
        </w:rPr>
        <w:t>2020-2025</w:t>
      </w:r>
      <w:r>
        <w:rPr>
          <w:rFonts w:hint="eastAsia"/>
          <w:szCs w:val="21"/>
        </w:rPr>
        <w:t>年）》更将“法律服务普惠均等”作为核心目标，为运用数字技术破解法律资源不均衡难题提供了根本指引。与此同时，《数字中国建设整体布局规划》强力推动“数字技术与经济社会深度融合”，并着重强调“筑牢可信可控的数字安全屏障”。《四川省公共法律服务条例》不仅重复强调“均等普惠”，更明确提出了“智能精准”和“科技赋能”的要求。</w:t>
      </w:r>
    </w:p>
    <w:p w:rsidR="00B70185" w:rsidRDefault="00000000">
      <w:pPr>
        <w:ind w:firstLine="420"/>
        <w:rPr>
          <w:szCs w:val="21"/>
        </w:rPr>
      </w:pPr>
      <w:r>
        <w:rPr>
          <w:rFonts w:hint="eastAsia"/>
          <w:szCs w:val="21"/>
        </w:rPr>
        <w:t>在此战略背景下，基于自主可控技术体系构建的法律数字化解决方案，不仅是对国家信创战略的积极响应，更是保障法律数据主权与信息安全的关键实践。面对国家“人工智能</w:t>
      </w:r>
      <w:r>
        <w:rPr>
          <w:rFonts w:hint="eastAsia"/>
          <w:szCs w:val="21"/>
        </w:rPr>
        <w:t>+</w:t>
      </w:r>
      <w:r>
        <w:rPr>
          <w:rFonts w:hint="eastAsia"/>
          <w:szCs w:val="21"/>
        </w:rPr>
        <w:t>”</w:t>
      </w:r>
      <w:r>
        <w:rPr>
          <w:rFonts w:hint="eastAsia"/>
          <w:szCs w:val="21"/>
        </w:rPr>
        <w:lastRenderedPageBreak/>
        <w:t>行动对民生服务领域智能化升级的明确指引，将人工智能深度融入法律服务这一知识密集型领域，通过技术创新推动法律服务向普惠化、智能化转型，正是以科技赋能社会治理现代化、符合新时代法治中国与数字中国建设战略需求的重要体现。</w:t>
      </w:r>
    </w:p>
    <w:p w:rsidR="00B70185" w:rsidRDefault="00B70185">
      <w:pPr>
        <w:ind w:firstLine="420"/>
        <w:rPr>
          <w:szCs w:val="21"/>
        </w:rPr>
      </w:pPr>
    </w:p>
    <w:tbl>
      <w:tblPr>
        <w:tblStyle w:val="aa"/>
        <w:tblW w:w="0" w:type="auto"/>
        <w:jc w:val="center"/>
        <w:tblLook w:val="04A0" w:firstRow="1" w:lastRow="0" w:firstColumn="1" w:lastColumn="0" w:noHBand="0" w:noVBand="1"/>
      </w:tblPr>
      <w:tblGrid>
        <w:gridCol w:w="3531"/>
        <w:gridCol w:w="4538"/>
      </w:tblGrid>
      <w:tr w:rsidR="00B70185">
        <w:trPr>
          <w:jc w:val="center"/>
        </w:trPr>
        <w:tc>
          <w:tcPr>
            <w:tcW w:w="3531" w:type="dxa"/>
            <w:shd w:val="clear" w:color="auto" w:fill="ECF1F9" w:themeFill="accent1" w:themeFillTint="19"/>
            <w:vAlign w:val="center"/>
          </w:tcPr>
          <w:p w:rsidR="00B70185" w:rsidRDefault="00000000">
            <w:pPr>
              <w:jc w:val="center"/>
              <w:rPr>
                <w:color w:val="000000"/>
              </w:rPr>
            </w:pPr>
            <w:r>
              <w:rPr>
                <w:rFonts w:hint="eastAsia"/>
                <w:color w:val="000000"/>
              </w:rPr>
              <w:t>2020</w:t>
            </w:r>
            <w:r>
              <w:rPr>
                <w:rFonts w:hint="eastAsia"/>
                <w:color w:val="000000"/>
              </w:rPr>
              <w:t>年，中共中央、国务院《法治社会建设实施纲要（</w:t>
            </w:r>
            <w:r>
              <w:rPr>
                <w:rFonts w:hint="eastAsia"/>
                <w:color w:val="000000"/>
              </w:rPr>
              <w:t>2020</w:t>
            </w:r>
            <w:r>
              <w:rPr>
                <w:rFonts w:hint="eastAsia"/>
                <w:color w:val="000000"/>
              </w:rPr>
              <w:t>－</w:t>
            </w:r>
            <w:r>
              <w:rPr>
                <w:rFonts w:hint="eastAsia"/>
                <w:color w:val="000000"/>
              </w:rPr>
              <w:t>2025</w:t>
            </w:r>
            <w:r>
              <w:rPr>
                <w:rFonts w:hint="eastAsia"/>
                <w:color w:val="000000"/>
              </w:rPr>
              <w:t>年）》</w:t>
            </w:r>
          </w:p>
        </w:tc>
        <w:tc>
          <w:tcPr>
            <w:tcW w:w="4538" w:type="dxa"/>
            <w:shd w:val="clear" w:color="auto" w:fill="FFFFFF"/>
            <w:vAlign w:val="center"/>
          </w:tcPr>
          <w:p w:rsidR="00B70185" w:rsidRDefault="00000000">
            <w:pPr>
              <w:jc w:val="center"/>
              <w:rPr>
                <w:color w:val="000000"/>
              </w:rPr>
            </w:pPr>
            <w:r>
              <w:rPr>
                <w:rFonts w:hint="eastAsia"/>
                <w:color w:val="000000"/>
              </w:rPr>
              <w:t>明确提出到</w:t>
            </w:r>
            <w:r>
              <w:rPr>
                <w:rFonts w:hint="eastAsia"/>
                <w:color w:val="000000"/>
              </w:rPr>
              <w:t>2022</w:t>
            </w:r>
            <w:r>
              <w:rPr>
                <w:rFonts w:hint="eastAsia"/>
                <w:color w:val="000000"/>
              </w:rPr>
              <w:t>年，要建成“覆盖城乡、便捷高效、均等普惠”的现代公共法律服务体系，并推广运用远程网络等法律服务模式</w:t>
            </w:r>
          </w:p>
        </w:tc>
      </w:tr>
      <w:tr w:rsidR="00B70185">
        <w:trPr>
          <w:jc w:val="center"/>
        </w:trPr>
        <w:tc>
          <w:tcPr>
            <w:tcW w:w="3531" w:type="dxa"/>
            <w:shd w:val="clear" w:color="auto" w:fill="ECF1F9" w:themeFill="accent1" w:themeFillTint="19"/>
            <w:vAlign w:val="center"/>
          </w:tcPr>
          <w:p w:rsidR="00B70185" w:rsidRDefault="00000000">
            <w:pPr>
              <w:jc w:val="center"/>
              <w:rPr>
                <w:color w:val="000000"/>
              </w:rPr>
            </w:pPr>
            <w:r>
              <w:rPr>
                <w:rFonts w:hint="eastAsia"/>
                <w:color w:val="000000"/>
              </w:rPr>
              <w:t>2020</w:t>
            </w:r>
            <w:r>
              <w:rPr>
                <w:rFonts w:hint="eastAsia"/>
                <w:color w:val="000000"/>
              </w:rPr>
              <w:t>年，国务院办公厅《关于加快推进政务服务“跨省通办”的指导意见》</w:t>
            </w:r>
          </w:p>
        </w:tc>
        <w:tc>
          <w:tcPr>
            <w:tcW w:w="4538" w:type="dxa"/>
            <w:shd w:val="clear" w:color="auto" w:fill="FFFFFF"/>
            <w:vAlign w:val="center"/>
          </w:tcPr>
          <w:p w:rsidR="00B70185" w:rsidRDefault="00000000">
            <w:pPr>
              <w:jc w:val="center"/>
              <w:rPr>
                <w:color w:val="000000"/>
              </w:rPr>
            </w:pPr>
            <w:r>
              <w:rPr>
                <w:rFonts w:hint="eastAsia"/>
                <w:color w:val="000000"/>
              </w:rPr>
              <w:t>提出要依托全国一体化政务服务平台，推动更多政务服务事项“一网通办”、“跨省通办”，为包括法律服务在内的民生服务数字化提供了具体路径</w:t>
            </w:r>
          </w:p>
        </w:tc>
      </w:tr>
      <w:tr w:rsidR="00B70185">
        <w:trPr>
          <w:jc w:val="center"/>
        </w:trPr>
        <w:tc>
          <w:tcPr>
            <w:tcW w:w="3531" w:type="dxa"/>
            <w:shd w:val="clear" w:color="auto" w:fill="ECF1F9" w:themeFill="accent1" w:themeFillTint="19"/>
            <w:vAlign w:val="center"/>
          </w:tcPr>
          <w:p w:rsidR="00B70185" w:rsidRDefault="00000000">
            <w:pPr>
              <w:jc w:val="center"/>
              <w:rPr>
                <w:color w:val="000000"/>
              </w:rPr>
            </w:pPr>
            <w:r>
              <w:rPr>
                <w:rFonts w:hint="eastAsia"/>
                <w:color w:val="000000"/>
              </w:rPr>
              <w:t>2021</w:t>
            </w:r>
            <w:r>
              <w:rPr>
                <w:rFonts w:hint="eastAsia"/>
                <w:color w:val="000000"/>
              </w:rPr>
              <w:t>年，全国人大常委会《关于开展第八个五年法治宣传教育的决议》</w:t>
            </w:r>
          </w:p>
        </w:tc>
        <w:tc>
          <w:tcPr>
            <w:tcW w:w="4538" w:type="dxa"/>
            <w:shd w:val="clear" w:color="auto" w:fill="FFFFFF"/>
            <w:vAlign w:val="center"/>
          </w:tcPr>
          <w:p w:rsidR="00B70185" w:rsidRDefault="00000000">
            <w:pPr>
              <w:jc w:val="center"/>
              <w:rPr>
                <w:color w:val="000000"/>
              </w:rPr>
            </w:pPr>
            <w:r>
              <w:rPr>
                <w:rFonts w:hint="eastAsia"/>
                <w:color w:val="000000"/>
              </w:rPr>
              <w:t>强调要“充分运用新技术新媒体开展精准普法”，提高普法产品供给的针对性、实效性，使普法更为群众喜闻乐见</w:t>
            </w:r>
          </w:p>
        </w:tc>
      </w:tr>
      <w:tr w:rsidR="00B70185">
        <w:trPr>
          <w:jc w:val="center"/>
        </w:trPr>
        <w:tc>
          <w:tcPr>
            <w:tcW w:w="3531" w:type="dxa"/>
            <w:shd w:val="clear" w:color="auto" w:fill="ECF1F9" w:themeFill="accent1" w:themeFillTint="19"/>
            <w:vAlign w:val="center"/>
          </w:tcPr>
          <w:p w:rsidR="00B70185" w:rsidRDefault="00000000">
            <w:pPr>
              <w:jc w:val="center"/>
              <w:rPr>
                <w:color w:val="000000"/>
              </w:rPr>
            </w:pPr>
            <w:r>
              <w:rPr>
                <w:rFonts w:hint="eastAsia"/>
                <w:color w:val="000000"/>
              </w:rPr>
              <w:t>2023</w:t>
            </w:r>
            <w:r>
              <w:rPr>
                <w:rFonts w:hint="eastAsia"/>
                <w:color w:val="000000"/>
              </w:rPr>
              <w:t>年，中共中央、国务院《数字中国建设整体布局规划》</w:t>
            </w:r>
          </w:p>
        </w:tc>
        <w:tc>
          <w:tcPr>
            <w:tcW w:w="4538" w:type="dxa"/>
            <w:shd w:val="clear" w:color="auto" w:fill="FFFFFF"/>
            <w:vAlign w:val="center"/>
          </w:tcPr>
          <w:p w:rsidR="00B70185" w:rsidRDefault="00000000">
            <w:pPr>
              <w:jc w:val="center"/>
              <w:rPr>
                <w:color w:val="000000"/>
              </w:rPr>
            </w:pPr>
            <w:r>
              <w:rPr>
                <w:rFonts w:hint="eastAsia"/>
                <w:color w:val="000000"/>
              </w:rPr>
              <w:t>作为数字时代的顶层设计，提出要“发展高效协同的数字政务”，并构建普惠便捷的数字社会，这为法律服务的全面数字化、智能化提供了最根本的战略指引</w:t>
            </w:r>
          </w:p>
        </w:tc>
      </w:tr>
      <w:tr w:rsidR="00B70185">
        <w:trPr>
          <w:jc w:val="center"/>
        </w:trPr>
        <w:tc>
          <w:tcPr>
            <w:tcW w:w="3531" w:type="dxa"/>
            <w:shd w:val="clear" w:color="auto" w:fill="ECF1F9" w:themeFill="accent1" w:themeFillTint="19"/>
            <w:vAlign w:val="center"/>
          </w:tcPr>
          <w:p w:rsidR="00B70185" w:rsidRDefault="00000000">
            <w:pPr>
              <w:jc w:val="center"/>
              <w:rPr>
                <w:color w:val="000000"/>
              </w:rPr>
            </w:pPr>
            <w:r>
              <w:rPr>
                <w:rFonts w:hint="eastAsia"/>
                <w:color w:val="000000"/>
              </w:rPr>
              <w:t>2024</w:t>
            </w:r>
            <w:r>
              <w:rPr>
                <w:rFonts w:hint="eastAsia"/>
                <w:color w:val="000000"/>
              </w:rPr>
              <w:t>年</w:t>
            </w:r>
            <w:r>
              <w:rPr>
                <w:rFonts w:hint="eastAsia"/>
                <w:color w:val="000000"/>
              </w:rPr>
              <w:t>5</w:t>
            </w:r>
            <w:r>
              <w:rPr>
                <w:rFonts w:hint="eastAsia"/>
                <w:color w:val="000000"/>
              </w:rPr>
              <w:t>月，四川省人大常委会通过《四川省公共法律服务条例》</w:t>
            </w:r>
          </w:p>
        </w:tc>
        <w:tc>
          <w:tcPr>
            <w:tcW w:w="4538" w:type="dxa"/>
            <w:shd w:val="clear" w:color="auto" w:fill="FFFFFF"/>
            <w:vAlign w:val="center"/>
          </w:tcPr>
          <w:p w:rsidR="00B70185" w:rsidRDefault="00000000">
            <w:pPr>
              <w:jc w:val="center"/>
              <w:rPr>
                <w:color w:val="000000"/>
              </w:rPr>
            </w:pPr>
            <w:r>
              <w:rPr>
                <w:rFonts w:hint="eastAsia"/>
                <w:color w:val="000000"/>
              </w:rPr>
              <w:t>强调以地方法规形式鼓励科技赋能，要求推进公共法律服务数字化、智能化，并明确均等普惠原则</w:t>
            </w:r>
          </w:p>
        </w:tc>
      </w:tr>
    </w:tbl>
    <w:p w:rsidR="00B70185" w:rsidRDefault="00000000">
      <w:pPr>
        <w:pStyle w:val="a3"/>
        <w:jc w:val="center"/>
        <w:rPr>
          <w:rFonts w:asciiTheme="majorHAnsi" w:hAnsiTheme="majorHAnsi" w:cstheme="majorBidi"/>
          <w:szCs w:val="20"/>
        </w:rPr>
      </w:pPr>
      <w:r>
        <w:rPr>
          <w:rFonts w:asciiTheme="majorHAnsi" w:hAnsiTheme="majorHAnsi" w:cstheme="majorBidi" w:hint="eastAsia"/>
          <w:szCs w:val="20"/>
        </w:rPr>
        <w:t>表</w:t>
      </w:r>
      <w:r>
        <w:rPr>
          <w:rFonts w:asciiTheme="majorHAnsi" w:hAnsiTheme="majorHAnsi" w:cstheme="majorBidi" w:hint="eastAsia"/>
          <w:szCs w:val="20"/>
        </w:rPr>
        <w:t xml:space="preserve"> </w:t>
      </w:r>
      <w:r>
        <w:rPr>
          <w:rFonts w:asciiTheme="majorHAnsi" w:hAnsiTheme="majorHAnsi" w:cstheme="majorBidi" w:hint="eastAsia"/>
          <w:szCs w:val="20"/>
        </w:rPr>
        <w:fldChar w:fldCharType="begin"/>
      </w:r>
      <w:r>
        <w:rPr>
          <w:rFonts w:asciiTheme="majorHAnsi" w:hAnsiTheme="majorHAnsi" w:cstheme="majorBidi" w:hint="eastAsia"/>
          <w:szCs w:val="20"/>
        </w:rPr>
        <w:instrText xml:space="preserve"> SEQ </w:instrText>
      </w:r>
      <w:r>
        <w:rPr>
          <w:rFonts w:asciiTheme="majorHAnsi" w:hAnsiTheme="majorHAnsi" w:cstheme="majorBidi" w:hint="eastAsia"/>
          <w:szCs w:val="20"/>
        </w:rPr>
        <w:instrText>表</w:instrText>
      </w:r>
      <w:r>
        <w:rPr>
          <w:rFonts w:asciiTheme="majorHAnsi" w:hAnsiTheme="majorHAnsi" w:cstheme="majorBidi" w:hint="eastAsia"/>
          <w:szCs w:val="20"/>
        </w:rPr>
        <w:instrText xml:space="preserve"> \* ARABIC </w:instrText>
      </w:r>
      <w:r>
        <w:rPr>
          <w:rFonts w:asciiTheme="majorHAnsi" w:hAnsiTheme="majorHAnsi" w:cstheme="majorBidi" w:hint="eastAsia"/>
          <w:szCs w:val="20"/>
        </w:rPr>
        <w:fldChar w:fldCharType="separate"/>
      </w:r>
      <w:r>
        <w:rPr>
          <w:rFonts w:asciiTheme="majorHAnsi" w:hAnsiTheme="majorHAnsi" w:cstheme="majorBidi" w:hint="eastAsia"/>
          <w:szCs w:val="20"/>
        </w:rPr>
        <w:t>1</w:t>
      </w:r>
      <w:r>
        <w:rPr>
          <w:rFonts w:asciiTheme="majorHAnsi" w:hAnsiTheme="majorHAnsi" w:cstheme="majorBidi" w:hint="eastAsia"/>
          <w:szCs w:val="20"/>
        </w:rPr>
        <w:fldChar w:fldCharType="end"/>
      </w:r>
      <w:r>
        <w:rPr>
          <w:rFonts w:asciiTheme="majorHAnsi" w:hAnsiTheme="majorHAnsi" w:cstheme="majorBidi" w:hint="eastAsia"/>
          <w:szCs w:val="20"/>
        </w:rPr>
        <w:t xml:space="preserve"> </w:t>
      </w:r>
      <w:r>
        <w:rPr>
          <w:rFonts w:asciiTheme="majorHAnsi" w:hAnsiTheme="majorHAnsi" w:cstheme="majorBidi" w:hint="eastAsia"/>
          <w:szCs w:val="20"/>
        </w:rPr>
        <w:t>近年来相关的部分政策</w:t>
      </w:r>
      <w:bookmarkStart w:id="19" w:name="_Toc9619"/>
    </w:p>
    <w:p w:rsidR="00B70185" w:rsidRDefault="00000000">
      <w:pPr>
        <w:pStyle w:val="3"/>
        <w:spacing w:before="0" w:after="0" w:line="300" w:lineRule="auto"/>
        <w:ind w:leftChars="200" w:left="420" w:rightChars="100" w:right="210"/>
        <w:rPr>
          <w:rFonts w:ascii="宋体" w:eastAsia="宋体" w:hAnsi="宋体"/>
          <w:bCs/>
          <w:sz w:val="21"/>
          <w:szCs w:val="32"/>
        </w:rPr>
      </w:pPr>
      <w:r>
        <w:rPr>
          <w:rFonts w:ascii="宋体" w:eastAsia="宋体" w:hAnsi="宋体" w:hint="eastAsia"/>
          <w:bCs/>
          <w:sz w:val="21"/>
          <w:szCs w:val="32"/>
        </w:rPr>
        <w:t>2.3.2 经济因素</w:t>
      </w:r>
      <w:bookmarkEnd w:id="19"/>
    </w:p>
    <w:p w:rsidR="00B70185" w:rsidRDefault="00000000">
      <w:pPr>
        <w:spacing w:line="300" w:lineRule="auto"/>
        <w:ind w:firstLineChars="200" w:firstLine="420"/>
        <w:rPr>
          <w:szCs w:val="21"/>
        </w:rPr>
      </w:pPr>
      <w:r>
        <w:rPr>
          <w:rFonts w:hint="eastAsia"/>
          <w:szCs w:val="21"/>
        </w:rPr>
        <w:t>随着我国法治建设的不断推进，民众的法律意识普遍觉醒，劳动维权、消费维权、邻里纠纷等各类法律需求呈现爆发式增长。尤其是在互联网经济的推动下，新型法律纠纷不断涌现，从线上购物维权到网络侵权投诉，从灵活就业人员权益保障到小微企业合同合规，法律需求的场景日益多元化、碎片化。</w:t>
      </w:r>
    </w:p>
    <w:p w:rsidR="00B70185" w:rsidRDefault="00000000">
      <w:pPr>
        <w:spacing w:line="300" w:lineRule="auto"/>
        <w:ind w:firstLineChars="200" w:firstLine="420"/>
        <w:rPr>
          <w:szCs w:val="21"/>
        </w:rPr>
      </w:pPr>
      <w:r>
        <w:rPr>
          <w:rFonts w:hint="eastAsia"/>
          <w:szCs w:val="21"/>
        </w:rPr>
        <w:t>传统法律服务市场呈现“高端化、高定价”的特点，律师服务主要集中于企业商事服务、高端民事纠纷等领域，对于涉案金额小、频次高的长尾需求，由于单位服务成本高、收益低，难以形成有效覆盖。这一市场结构性缺口，为</w:t>
      </w:r>
      <w:r>
        <w:rPr>
          <w:rFonts w:hint="eastAsia"/>
          <w:szCs w:val="21"/>
        </w:rPr>
        <w:t>LAW-MASTER</w:t>
      </w:r>
      <w:r>
        <w:rPr>
          <w:rFonts w:hint="eastAsia"/>
          <w:szCs w:val="21"/>
        </w:rPr>
        <w:t>等轻量化、低成本的智能法律工具创造了巨大的市场机遇。</w:t>
      </w:r>
    </w:p>
    <w:p w:rsidR="00B70185" w:rsidRDefault="00000000">
      <w:pPr>
        <w:spacing w:line="300" w:lineRule="auto"/>
        <w:ind w:firstLineChars="200" w:firstLine="420"/>
        <w:rPr>
          <w:szCs w:val="21"/>
        </w:rPr>
      </w:pPr>
      <w:r>
        <w:rPr>
          <w:rFonts w:hint="eastAsia"/>
          <w:szCs w:val="21"/>
        </w:rPr>
        <w:t>从成本结构来看，</w:t>
      </w:r>
      <w:r>
        <w:rPr>
          <w:rFonts w:hint="eastAsia"/>
          <w:szCs w:val="21"/>
        </w:rPr>
        <w:t>LAW-MASTER</w:t>
      </w:r>
      <w:r>
        <w:rPr>
          <w:rFonts w:hint="eastAsia"/>
          <w:szCs w:val="21"/>
        </w:rPr>
        <w:t>依托轻量化小模型与国产算力优势，大幅降低了服务成本。前期研发投入仅需</w:t>
      </w:r>
      <w:r>
        <w:rPr>
          <w:rFonts w:hint="eastAsia"/>
          <w:szCs w:val="21"/>
        </w:rPr>
        <w:t>1000</w:t>
      </w:r>
      <w:r>
        <w:rPr>
          <w:rFonts w:hint="eastAsia"/>
          <w:szCs w:val="21"/>
        </w:rPr>
        <w:t>元，远低于大模型项目的巨额研发成本；单次咨询的算力成本控制在极低水平，使得免费提供基础咨询服务、低价提供增值服务的商业模式具备可持续性。这种成本优势，能够有效满足广大中低收入群体、小微企业的法律需求，打开普惠法律服务的蓝海市场。</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20" w:name="_Toc22076"/>
      <w:r>
        <w:rPr>
          <w:rFonts w:ascii="宋体" w:eastAsia="宋体" w:hAnsi="宋体" w:hint="eastAsia"/>
          <w:bCs/>
          <w:sz w:val="21"/>
          <w:szCs w:val="32"/>
        </w:rPr>
        <w:t>2.3.3 社会因素</w:t>
      </w:r>
      <w:bookmarkEnd w:id="20"/>
    </w:p>
    <w:p w:rsidR="00B70185" w:rsidRDefault="00000000">
      <w:pPr>
        <w:spacing w:line="300" w:lineRule="auto"/>
        <w:ind w:firstLineChars="200" w:firstLine="420"/>
        <w:rPr>
          <w:szCs w:val="21"/>
        </w:rPr>
      </w:pPr>
      <w:r>
        <w:rPr>
          <w:rFonts w:hint="eastAsia"/>
          <w:szCs w:val="21"/>
        </w:rPr>
        <w:t>伴随国家法治进程的深化与信息获取的便捷，公民的权利意识和法律素养显著提升，主动寻求法律途径解决纠纷、维护自身权益的需求呈现出普遍化和高频化的态势。大众已普遍习惯于通过数字化平台满足各类生活需求，这为以人工智能为核心的智能法律工具提供了近</w:t>
      </w:r>
      <w:r>
        <w:rPr>
          <w:rFonts w:hint="eastAsia"/>
          <w:szCs w:val="21"/>
        </w:rPr>
        <w:lastRenderedPageBreak/>
        <w:t>乎零门槛的用户教育基础，使其能够以低成本、高效率的方式触达并服务最广泛的人群，真正实现普惠法律服务的愿景。与此同时，数字化办案与线上法律服务已成为行业常态，《法治蓝皮书·中国法院信息化发展报告》显示，</w:t>
      </w:r>
      <w:r>
        <w:rPr>
          <w:rFonts w:hint="eastAsia"/>
          <w:szCs w:val="21"/>
        </w:rPr>
        <w:t>2024</w:t>
      </w:r>
      <w:r>
        <w:rPr>
          <w:rFonts w:hint="eastAsia"/>
          <w:szCs w:val="21"/>
        </w:rPr>
        <w:t>年全国律师通过律师服务平台在线办理立案等事项达</w:t>
      </w:r>
      <w:r>
        <w:rPr>
          <w:rFonts w:hint="eastAsia"/>
          <w:szCs w:val="21"/>
        </w:rPr>
        <w:t>2092.93</w:t>
      </w:r>
      <w:r>
        <w:rPr>
          <w:rFonts w:hint="eastAsia"/>
          <w:szCs w:val="21"/>
        </w:rPr>
        <w:t>万件次，平均每分钟就有超过</w:t>
      </w:r>
      <w:r>
        <w:rPr>
          <w:rFonts w:hint="eastAsia"/>
          <w:szCs w:val="21"/>
        </w:rPr>
        <w:t>100</w:t>
      </w:r>
      <w:r>
        <w:rPr>
          <w:rFonts w:hint="eastAsia"/>
          <w:szCs w:val="21"/>
        </w:rPr>
        <w:t>件案件通过“人民法院在线服务”小程序实现“掌上立”，司法机关、行政部门的数字化转型也为智能法律工具的落地提供了良好的生态环境。</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21" w:name="_Toc13283"/>
      <w:r>
        <w:rPr>
          <w:rFonts w:ascii="宋体" w:eastAsia="宋体" w:hAnsi="宋体" w:hint="eastAsia"/>
          <w:bCs/>
          <w:sz w:val="21"/>
          <w:szCs w:val="32"/>
        </w:rPr>
        <w:t>2.3.4 技术因素</w:t>
      </w:r>
      <w:bookmarkEnd w:id="21"/>
    </w:p>
    <w:p w:rsidR="00B70185" w:rsidRDefault="00000000">
      <w:pPr>
        <w:spacing w:line="300" w:lineRule="auto"/>
        <w:ind w:firstLineChars="200" w:firstLine="420"/>
        <w:rPr>
          <w:szCs w:val="21"/>
        </w:rPr>
      </w:pPr>
      <w:r>
        <w:rPr>
          <w:szCs w:val="21"/>
        </w:rPr>
        <w:t>当前，以法律大模型为代表的主流技术路径，正面临数据与算法的结构性挑战。在数据层面，高质量、标准化、标注清晰的法律语料库极为匮乏。公开数据往往存在案例不完整、法规时效滞后、文书格式混乱以及法律概念界定模糊等问题，这导致模型训练的基础不牢，输出内容的专业准确性难以保障。在算法与应用层面，通用大模型的</w:t>
      </w:r>
      <w:r>
        <w:rPr>
          <w:szCs w:val="21"/>
        </w:rPr>
        <w:t>“</w:t>
      </w:r>
      <w:r>
        <w:rPr>
          <w:szCs w:val="21"/>
        </w:rPr>
        <w:t>黑箱</w:t>
      </w:r>
      <w:r>
        <w:rPr>
          <w:szCs w:val="21"/>
        </w:rPr>
        <w:t>”</w:t>
      </w:r>
      <w:r>
        <w:rPr>
          <w:szCs w:val="21"/>
        </w:rPr>
        <w:t>特性使其推理过程缺乏透明度和可解释性，同时存在生成虚构内容和潜在算法偏见的风险。这些缺陷使得现有工具多局限于浅层信息问答或模板生成，无法完成从模糊诉求到可执行法律方案的端到端、高可靠转化。</w:t>
      </w:r>
    </w:p>
    <w:p w:rsidR="00B70185" w:rsidRDefault="00000000">
      <w:pPr>
        <w:spacing w:line="300" w:lineRule="auto"/>
        <w:ind w:firstLineChars="200" w:firstLine="420"/>
        <w:rPr>
          <w:szCs w:val="21"/>
        </w:rPr>
      </w:pPr>
      <w:r>
        <w:rPr>
          <w:szCs w:val="21"/>
        </w:rPr>
        <w:t>为系统性地解决上述问题，</w:t>
      </w:r>
      <w:r>
        <w:rPr>
          <w:szCs w:val="21"/>
        </w:rPr>
        <w:t>LawMaster</w:t>
      </w:r>
      <w:r>
        <w:rPr>
          <w:szCs w:val="21"/>
        </w:rPr>
        <w:t>采用了独创的</w:t>
      </w:r>
      <w:r>
        <w:rPr>
          <w:szCs w:val="21"/>
        </w:rPr>
        <w:t>“</w:t>
      </w:r>
      <w:r>
        <w:rPr>
          <w:szCs w:val="21"/>
        </w:rPr>
        <w:t>三模型协同</w:t>
      </w:r>
      <w:r>
        <w:rPr>
          <w:szCs w:val="21"/>
        </w:rPr>
        <w:t>”</w:t>
      </w:r>
      <w:r>
        <w:rPr>
          <w:szCs w:val="21"/>
        </w:rPr>
        <w:t>架构。该架构通过专业化分工实现精准处理：第一个模型专注于将用户非专业、口语化的表述转化为规范的法律问题；第二个模型对接经过深度清洗与结构化的权威法律知识库（涵盖法条、案例与文书），进行精准检索与匹配；第三个模型则依据严格的法律逻辑与文本规范，合成最终的法律文书、策略建议或分析报告。这一分工协作机制，显著提升了复杂法律任务处理的准确性、逻辑性与可靠性。</w:t>
      </w:r>
    </w:p>
    <w:p w:rsidR="00B70185" w:rsidRDefault="00000000">
      <w:pPr>
        <w:spacing w:line="300" w:lineRule="auto"/>
        <w:ind w:firstLineChars="200" w:firstLine="420"/>
        <w:rPr>
          <w:szCs w:val="21"/>
        </w:rPr>
      </w:pPr>
      <w:r>
        <w:rPr>
          <w:szCs w:val="21"/>
        </w:rPr>
        <w:t>同时，</w:t>
      </w:r>
      <w:r>
        <w:rPr>
          <w:szCs w:val="21"/>
        </w:rPr>
        <w:t>LawMaster</w:t>
      </w:r>
      <w:r>
        <w:rPr>
          <w:szCs w:val="21"/>
        </w:rPr>
        <w:t>基于华为昇腾国产算力构建全栈技术体系，这一选择具有战略与性能的双重意义。在战略层面，全栈国产化确保了处理敏感法律数据时的技术主权、数据安全与隐私合规，为进入对安全性要求极高的政务、司法及企业服务场景提供了基础。在性能层面，通过对从底层硬件到上层应用的全程优化，系统能够更高效地支撑高并发检索、复杂文书实时生成与交互式修订（如支持</w:t>
      </w:r>
      <w:r>
        <w:rPr>
          <w:szCs w:val="21"/>
        </w:rPr>
        <w:t>AI</w:t>
      </w:r>
      <w:r>
        <w:rPr>
          <w:szCs w:val="21"/>
        </w:rPr>
        <w:t>微调和权限管理）、以及深度的多轮对话意图理解等核心功能，从而保障了服务的高效与稳定。</w:t>
      </w:r>
    </w:p>
    <w:p w:rsidR="00B70185" w:rsidRDefault="00000000">
      <w:pPr>
        <w:pStyle w:val="2"/>
        <w:tabs>
          <w:tab w:val="center" w:pos="4153"/>
        </w:tabs>
        <w:spacing w:line="300" w:lineRule="auto"/>
        <w:ind w:right="210"/>
        <w:rPr>
          <w:rFonts w:ascii="宋体" w:eastAsia="宋体" w:hAnsi="宋体"/>
          <w:sz w:val="21"/>
          <w:szCs w:val="21"/>
        </w:rPr>
      </w:pPr>
      <w:bookmarkStart w:id="22" w:name="_Toc17524"/>
      <w:r>
        <w:rPr>
          <w:rFonts w:ascii="宋体" w:eastAsia="宋体" w:hAnsi="宋体" w:hint="eastAsia"/>
          <w:sz w:val="21"/>
          <w:szCs w:val="21"/>
        </w:rPr>
        <w:t>2.4 目标市场分析（STP 分析）</w:t>
      </w:r>
      <w:bookmarkEnd w:id="22"/>
    </w:p>
    <w:p w:rsidR="00B70185" w:rsidRDefault="00000000">
      <w:pPr>
        <w:spacing w:line="300" w:lineRule="auto"/>
        <w:ind w:firstLineChars="200" w:firstLine="420"/>
        <w:rPr>
          <w:szCs w:val="21"/>
        </w:rPr>
      </w:pPr>
      <w:r>
        <w:rPr>
          <w:rFonts w:hint="eastAsia"/>
          <w:szCs w:val="21"/>
        </w:rPr>
        <w:t>近年来，随着全面依法治国战略的深入推进，社会对普惠性、可及性法律服务的需求呈现爆发式增长。与此同时，国家大力推动公共法律服务体系建设与数字技术赋能民生服务，为智能法律工具的应用落地创造了广阔的政策空间与市场窗口。与传统的法律服务模式相比，</w:t>
      </w:r>
      <w:r>
        <w:rPr>
          <w:rFonts w:hint="eastAsia"/>
          <w:szCs w:val="21"/>
        </w:rPr>
        <w:t>LAW-MASTER</w:t>
      </w:r>
      <w:r>
        <w:rPr>
          <w:rFonts w:hint="eastAsia"/>
          <w:szCs w:val="21"/>
        </w:rPr>
        <w:t>依托全栈国产化算力底座，能够将用户非专业的“大白话”诉求，精准转化为可直接落地的维权行动指南，具有服务成本低、使用门槛低、场景适配度高、专业可信度高等核心优势，特别适用于传统法律服务难以有效覆盖的高频、分散场景。具体而言，基层务工者面临的劳动报酬追索、工伤认定纠纷，社会青年群体遇到的消费维权、房屋租赁争议，以及小微企业主日常经营中的合同审查、用工合规等长尾需求，均具有单次标的额小、专业</w:t>
      </w:r>
      <w:r>
        <w:rPr>
          <w:rFonts w:hint="eastAsia"/>
          <w:szCs w:val="21"/>
        </w:rPr>
        <w:lastRenderedPageBreak/>
        <w:t>门槛高、即时响应要求强、付费能力有限的共性特征。这类用户群体规模庞大、分布广泛，但长期处于“请律师贵、不请律师难”的服务真空地带。</w:t>
      </w:r>
      <w:r>
        <w:rPr>
          <w:rFonts w:hint="eastAsia"/>
          <w:szCs w:val="21"/>
        </w:rPr>
        <w:t>LAW-MASTER</w:t>
      </w:r>
      <w:r>
        <w:rPr>
          <w:rFonts w:hint="eastAsia"/>
          <w:szCs w:val="21"/>
        </w:rPr>
        <w:t>通过轻量化技术架构与智能化服务流程，能够以近乎零边际成本的方式触达并服务上述分散化需求，实现法律服务从“高门槛、集中化”向“普惠化”的范式跃迁。因此，以基层劳动者、城市新市民、小微企业主为核心的普惠法律服务需求市场，是</w:t>
      </w:r>
      <w:r>
        <w:rPr>
          <w:rFonts w:hint="eastAsia"/>
          <w:szCs w:val="21"/>
        </w:rPr>
        <w:t>LAW-MASTER</w:t>
      </w:r>
      <w:r>
        <w:rPr>
          <w:rFonts w:hint="eastAsia"/>
          <w:szCs w:val="21"/>
        </w:rPr>
        <w:t>最具战略价值与增长潜力的核心目标市场。</w:t>
      </w:r>
    </w:p>
    <w:p w:rsidR="00B70185" w:rsidRDefault="00000000">
      <w:pPr>
        <w:spacing w:line="300" w:lineRule="auto"/>
        <w:ind w:firstLineChars="200" w:firstLine="420"/>
        <w:rPr>
          <w:szCs w:val="21"/>
        </w:rPr>
      </w:pPr>
      <w:r>
        <w:rPr>
          <w:rFonts w:hint="eastAsia"/>
          <w:szCs w:val="21"/>
        </w:rPr>
        <w:t>（</w:t>
      </w:r>
      <w:r>
        <w:rPr>
          <w:rFonts w:hint="eastAsia"/>
          <w:szCs w:val="21"/>
        </w:rPr>
        <w:t>1</w:t>
      </w:r>
      <w:r>
        <w:rPr>
          <w:rFonts w:hint="eastAsia"/>
          <w:szCs w:val="21"/>
        </w:rPr>
        <w:t>）市场细分（</w:t>
      </w:r>
      <w:r>
        <w:rPr>
          <w:rFonts w:hint="eastAsia"/>
          <w:szCs w:val="21"/>
        </w:rPr>
        <w:t>Segmentation</w:t>
      </w:r>
      <w:r>
        <w:rPr>
          <w:rFonts w:hint="eastAsia"/>
          <w:szCs w:val="21"/>
        </w:rPr>
        <w:t>）</w:t>
      </w:r>
    </w:p>
    <w:p w:rsidR="00B70185" w:rsidRDefault="00000000">
      <w:pPr>
        <w:spacing w:line="300" w:lineRule="auto"/>
        <w:ind w:firstLineChars="200" w:firstLine="420"/>
        <w:rPr>
          <w:szCs w:val="21"/>
        </w:rPr>
      </w:pPr>
      <w:r>
        <w:rPr>
          <w:rFonts w:hint="eastAsia"/>
          <w:szCs w:val="21"/>
        </w:rPr>
        <w:t>在</w:t>
      </w:r>
      <w:r>
        <w:rPr>
          <w:rFonts w:hint="eastAsia"/>
          <w:szCs w:val="21"/>
        </w:rPr>
        <w:t>C</w:t>
      </w:r>
      <w:r>
        <w:rPr>
          <w:rFonts w:hint="eastAsia"/>
          <w:szCs w:val="21"/>
        </w:rPr>
        <w:t>端市场，项目聚焦于传统法律服务“请不起、听不懂、等不及”的长尾群体。基层务工者常年面临劳动报酬追索、工伤认定、合同纠纷等高频痛点，对服务价格极度敏感，且缺乏专业法律知识；社会青年，包括初入职场者、自由职业者、初创者，这类人群的需求集中于消费维权、房屋租赁、小额借贷、兼职合同等生活化场景，高度依赖移动互联网寻求解决方案；小微企业主则迫切需要低成本的合同审查、用工合规及小额商业纠纷处理工具，以极简方式降低日常经营风险。</w:t>
      </w:r>
    </w:p>
    <w:p w:rsidR="00B70185" w:rsidRDefault="00000000">
      <w:pPr>
        <w:spacing w:line="300" w:lineRule="auto"/>
        <w:ind w:firstLineChars="200" w:firstLine="420"/>
        <w:rPr>
          <w:szCs w:val="21"/>
        </w:rPr>
      </w:pPr>
      <w:r>
        <w:rPr>
          <w:rFonts w:hint="eastAsia"/>
          <w:szCs w:val="21"/>
        </w:rPr>
        <w:t>在</w:t>
      </w:r>
      <w:r>
        <w:rPr>
          <w:rFonts w:hint="eastAsia"/>
          <w:szCs w:val="21"/>
        </w:rPr>
        <w:t>B</w:t>
      </w:r>
      <w:r>
        <w:rPr>
          <w:rFonts w:hint="eastAsia"/>
          <w:szCs w:val="21"/>
        </w:rPr>
        <w:t>端市场，</w:t>
      </w:r>
      <w:r>
        <w:rPr>
          <w:rFonts w:hint="eastAsia"/>
          <w:szCs w:val="21"/>
        </w:rPr>
        <w:t>LAW-MASTER</w:t>
      </w:r>
      <w:r>
        <w:rPr>
          <w:rFonts w:hint="eastAsia"/>
          <w:szCs w:val="21"/>
        </w:rPr>
        <w:t>锁定三类对数字化法律工具有明确采购动力的机构。基层公共服务机构（社区、街道、司法所）亟需普惠型智能法律工具以缓解人少案多、专业能力不足的基层治理压力；行业协会与群团组织（工会、消协、工商联）旨在通过数字化手段提升面向会员的法律服务能力与响应效率；互联网平台（人力资源平台、租房平台、电商平台）则希望通过嵌入法律服务模块降低平台合规风险、增强用户粘性。此外，大量小微企业本身即作为</w:t>
      </w:r>
      <w:r>
        <w:rPr>
          <w:rFonts w:hint="eastAsia"/>
          <w:szCs w:val="21"/>
        </w:rPr>
        <w:t>B</w:t>
      </w:r>
      <w:r>
        <w:rPr>
          <w:rFonts w:hint="eastAsia"/>
          <w:szCs w:val="21"/>
        </w:rPr>
        <w:t>端采购方，需要为其内部管理配置低成本、标准化的合规风控工具。</w:t>
      </w:r>
    </w:p>
    <w:p w:rsidR="00B70185" w:rsidRDefault="00000000">
      <w:pPr>
        <w:spacing w:line="300" w:lineRule="auto"/>
        <w:ind w:firstLineChars="200" w:firstLine="420"/>
        <w:rPr>
          <w:szCs w:val="21"/>
        </w:rPr>
      </w:pPr>
      <w:r>
        <w:rPr>
          <w:rFonts w:hint="eastAsia"/>
          <w:szCs w:val="21"/>
        </w:rPr>
        <w:t>（</w:t>
      </w:r>
      <w:r>
        <w:rPr>
          <w:rFonts w:hint="eastAsia"/>
          <w:szCs w:val="21"/>
        </w:rPr>
        <w:t>2</w:t>
      </w:r>
      <w:r>
        <w:rPr>
          <w:rFonts w:hint="eastAsia"/>
          <w:szCs w:val="21"/>
        </w:rPr>
        <w:t>）目标市场（</w:t>
      </w:r>
      <w:r>
        <w:rPr>
          <w:rFonts w:hint="eastAsia"/>
          <w:szCs w:val="21"/>
        </w:rPr>
        <w:t>Targeting</w:t>
      </w:r>
      <w:r>
        <w:rPr>
          <w:rFonts w:hint="eastAsia"/>
          <w:szCs w:val="21"/>
        </w:rPr>
        <w:t>）</w:t>
      </w:r>
    </w:p>
    <w:p w:rsidR="00B70185" w:rsidRDefault="00000000">
      <w:pPr>
        <w:spacing w:line="300" w:lineRule="auto"/>
        <w:ind w:firstLineChars="200" w:firstLine="420"/>
        <w:rPr>
          <w:szCs w:val="21"/>
        </w:rPr>
      </w:pPr>
      <w:r>
        <w:rPr>
          <w:rFonts w:hint="eastAsia"/>
          <w:szCs w:val="21"/>
        </w:rPr>
        <w:t>基于上述细分，</w:t>
      </w:r>
      <w:r>
        <w:rPr>
          <w:rFonts w:hint="eastAsia"/>
          <w:szCs w:val="21"/>
        </w:rPr>
        <w:t>LAW-MASTER</w:t>
      </w:r>
      <w:r>
        <w:rPr>
          <w:rFonts w:hint="eastAsia"/>
          <w:szCs w:val="21"/>
        </w:rPr>
        <w:t>将目标市场锁定为“</w:t>
      </w:r>
      <w:r>
        <w:rPr>
          <w:rFonts w:hint="eastAsia"/>
          <w:szCs w:val="21"/>
        </w:rPr>
        <w:t>C</w:t>
      </w:r>
      <w:r>
        <w:rPr>
          <w:rFonts w:hint="eastAsia"/>
          <w:szCs w:val="21"/>
        </w:rPr>
        <w:t>端</w:t>
      </w:r>
      <w:r>
        <w:rPr>
          <w:rFonts w:hint="eastAsia"/>
          <w:szCs w:val="21"/>
        </w:rPr>
        <w:t>+B</w:t>
      </w:r>
      <w:r>
        <w:rPr>
          <w:rFonts w:hint="eastAsia"/>
          <w:szCs w:val="21"/>
        </w:rPr>
        <w:t>端”双轮驱动的策略，核心聚焦于传统法律服务覆盖不足的“长尾市场”。项目将基层务工者、社会青年和小微企业主作为核心</w:t>
      </w:r>
      <w:r>
        <w:rPr>
          <w:rFonts w:hint="eastAsia"/>
          <w:szCs w:val="21"/>
        </w:rPr>
        <w:t>C</w:t>
      </w:r>
      <w:r>
        <w:rPr>
          <w:rFonts w:hint="eastAsia"/>
          <w:szCs w:val="21"/>
        </w:rPr>
        <w:t>端用户，精准切入他们因服务高成本、专业门槛高、响应效率低而形成的“服务真空”，致力于解决他们高频、小额法律纠纷的痛点。同时，</w:t>
      </w:r>
      <w:r>
        <w:rPr>
          <w:rFonts w:hint="eastAsia"/>
          <w:szCs w:val="21"/>
        </w:rPr>
        <w:t>LAW-MASTER</w:t>
      </w:r>
      <w:r>
        <w:rPr>
          <w:rFonts w:hint="eastAsia"/>
          <w:szCs w:val="21"/>
        </w:rPr>
        <w:t>积极拓展社区、工会、人力资源平台、消费者协会以及直接采购服务的小微企业等</w:t>
      </w:r>
      <w:r>
        <w:rPr>
          <w:rFonts w:hint="eastAsia"/>
          <w:szCs w:val="21"/>
        </w:rPr>
        <w:t>B</w:t>
      </w:r>
      <w:r>
        <w:rPr>
          <w:rFonts w:hint="eastAsia"/>
          <w:szCs w:val="21"/>
        </w:rPr>
        <w:t>端机构用户。这些机构对数字化、普惠化法律工具的需求日益增长，且具备稳定的付费能力和规模化推广潜力，能为</w:t>
      </w:r>
      <w:r>
        <w:rPr>
          <w:rFonts w:hint="eastAsia"/>
          <w:szCs w:val="21"/>
        </w:rPr>
        <w:t>LAW-MASTER</w:t>
      </w:r>
      <w:r>
        <w:rPr>
          <w:rFonts w:hint="eastAsia"/>
          <w:szCs w:val="21"/>
        </w:rPr>
        <w:t>带来持续的现金流和用户增长，形成良好的市场拓展基础。</w:t>
      </w:r>
    </w:p>
    <w:p w:rsidR="00B70185" w:rsidRDefault="00000000">
      <w:pPr>
        <w:spacing w:line="300" w:lineRule="auto"/>
        <w:ind w:firstLineChars="200" w:firstLine="420"/>
        <w:rPr>
          <w:szCs w:val="21"/>
        </w:rPr>
      </w:pPr>
      <w:r>
        <w:rPr>
          <w:rFonts w:hint="eastAsia"/>
          <w:szCs w:val="21"/>
        </w:rPr>
        <w:t>（</w:t>
      </w:r>
      <w:r>
        <w:rPr>
          <w:rFonts w:hint="eastAsia"/>
          <w:szCs w:val="21"/>
        </w:rPr>
        <w:t>3</w:t>
      </w:r>
      <w:r>
        <w:rPr>
          <w:rFonts w:hint="eastAsia"/>
          <w:szCs w:val="21"/>
        </w:rPr>
        <w:t>）市场定位（</w:t>
      </w:r>
      <w:r>
        <w:rPr>
          <w:rFonts w:hint="eastAsia"/>
          <w:szCs w:val="21"/>
        </w:rPr>
        <w:t>Positioning</w:t>
      </w:r>
      <w:r>
        <w:rPr>
          <w:rFonts w:hint="eastAsia"/>
          <w:szCs w:val="21"/>
        </w:rPr>
        <w:t>）</w:t>
      </w:r>
    </w:p>
    <w:p w:rsidR="00B70185" w:rsidRDefault="00000000">
      <w:pPr>
        <w:spacing w:line="300" w:lineRule="auto"/>
        <w:ind w:firstLineChars="200" w:firstLine="420"/>
        <w:rPr>
          <w:szCs w:val="21"/>
        </w:rPr>
      </w:pPr>
      <w:r>
        <w:rPr>
          <w:rFonts w:hint="eastAsia"/>
          <w:szCs w:val="21"/>
        </w:rPr>
        <w:t>LAW-MASTER</w:t>
      </w:r>
      <w:r>
        <w:rPr>
          <w:rFonts w:hint="eastAsia"/>
          <w:szCs w:val="21"/>
        </w:rPr>
        <w:t>基于华为昇腾国产算力，将用户口语化诉求精准转化为可落地维权方案与法律文书，具有高精准度、强互动性、高检索参数和多产出形式的特点。</w:t>
      </w:r>
      <w:r>
        <w:rPr>
          <w:rFonts w:hint="eastAsia"/>
          <w:szCs w:val="21"/>
        </w:rPr>
        <w:t>LAW-MASTER</w:t>
      </w:r>
      <w:r>
        <w:rPr>
          <w:rFonts w:hint="eastAsia"/>
          <w:szCs w:val="21"/>
        </w:rPr>
        <w:t>并非传统意义上的“法律检索工具”或“文书模板库”，而是一个以普惠为使命、以信任为底座、以可执行为标准的下一代智能法律协作者。其市场定位精准卡位于“传统服务覆盖不到、现有工具解决不好、普通用户真正需要”的关键生态位，具备清晰的差异化认知壁垒与可持续的竞争优势。</w:t>
      </w:r>
    </w:p>
    <w:p w:rsidR="00B70185" w:rsidRDefault="00000000">
      <w:pPr>
        <w:pStyle w:val="2"/>
        <w:tabs>
          <w:tab w:val="center" w:pos="4153"/>
        </w:tabs>
        <w:spacing w:line="300" w:lineRule="auto"/>
        <w:ind w:right="210"/>
        <w:rPr>
          <w:rFonts w:ascii="宋体" w:eastAsia="宋体" w:hAnsi="宋体"/>
          <w:sz w:val="21"/>
          <w:szCs w:val="21"/>
        </w:rPr>
      </w:pPr>
      <w:bookmarkStart w:id="23" w:name="_Toc27871"/>
      <w:r>
        <w:rPr>
          <w:rFonts w:ascii="宋体" w:eastAsia="宋体" w:hAnsi="宋体" w:hint="eastAsia"/>
          <w:sz w:val="21"/>
          <w:szCs w:val="21"/>
        </w:rPr>
        <w:lastRenderedPageBreak/>
        <w:t>2.5竞争态势分析</w:t>
      </w:r>
      <w:bookmarkEnd w:id="23"/>
    </w:p>
    <w:p w:rsidR="00B70185" w:rsidRDefault="00000000">
      <w:pPr>
        <w:spacing w:line="300" w:lineRule="auto"/>
        <w:ind w:firstLineChars="200" w:firstLine="420"/>
        <w:rPr>
          <w:szCs w:val="21"/>
        </w:rPr>
      </w:pPr>
      <w:r>
        <w:rPr>
          <w:szCs w:val="21"/>
        </w:rPr>
        <w:t>当前智能法律服务市场的竞争对手主要包括三类：通用大模型平台、传统线上法律平台</w:t>
      </w:r>
      <w:r>
        <w:rPr>
          <w:szCs w:val="21"/>
        </w:rPr>
        <w:t>/</w:t>
      </w:r>
      <w:r>
        <w:rPr>
          <w:szCs w:val="21"/>
        </w:rPr>
        <w:t>律所、其他垂直法律</w:t>
      </w:r>
      <w:r>
        <w:rPr>
          <w:szCs w:val="21"/>
        </w:rPr>
        <w:t>AI</w:t>
      </w:r>
      <w:r>
        <w:rPr>
          <w:szCs w:val="21"/>
        </w:rPr>
        <w:t>工具。</w:t>
      </w:r>
    </w:p>
    <w:p w:rsidR="00B70185" w:rsidRDefault="00000000">
      <w:pPr>
        <w:spacing w:line="300" w:lineRule="auto"/>
        <w:ind w:firstLineChars="200" w:firstLine="420"/>
        <w:rPr>
          <w:szCs w:val="21"/>
        </w:rPr>
      </w:pPr>
      <w:r>
        <w:rPr>
          <w:szCs w:val="21"/>
        </w:rPr>
        <w:t>通用大模型平台（如文心一言、豆包、</w:t>
      </w:r>
      <w:r>
        <w:rPr>
          <w:szCs w:val="21"/>
        </w:rPr>
        <w:t>ChatGPT</w:t>
      </w:r>
      <w:r>
        <w:rPr>
          <w:szCs w:val="21"/>
        </w:rPr>
        <w:t>等）的优势在于用户基数大、品牌知名度高、自然语言处理能力强，能够处理各类通用问题。但其劣势也十分明显：在法律领域缺乏专业性，存在严重的</w:t>
      </w:r>
      <w:r>
        <w:rPr>
          <w:szCs w:val="21"/>
        </w:rPr>
        <w:t>“</w:t>
      </w:r>
      <w:r>
        <w:rPr>
          <w:szCs w:val="21"/>
        </w:rPr>
        <w:t>幻觉</w:t>
      </w:r>
      <w:r>
        <w:rPr>
          <w:szCs w:val="21"/>
        </w:rPr>
        <w:t>”</w:t>
      </w:r>
      <w:r>
        <w:rPr>
          <w:szCs w:val="21"/>
        </w:rPr>
        <w:t>风险，可能编造法条、案例或法律程序，导致用户面临法律风险；无法提供可溯源的法律依据，用户难以验证建议的权威性；数据安全与合规风险高，法律数据上传至公有云可能存在泄露风险；服务缺乏针对性，无法满足用户对特定场景法律解决方案与文书服务的需求。</w:t>
      </w:r>
    </w:p>
    <w:p w:rsidR="00B70185" w:rsidRDefault="00000000">
      <w:pPr>
        <w:spacing w:line="300" w:lineRule="auto"/>
        <w:ind w:firstLineChars="200" w:firstLine="420"/>
        <w:rPr>
          <w:szCs w:val="21"/>
        </w:rPr>
      </w:pPr>
      <w:r>
        <w:rPr>
          <w:szCs w:val="21"/>
        </w:rPr>
        <w:t>传统线上法律平台</w:t>
      </w:r>
      <w:r>
        <w:rPr>
          <w:szCs w:val="21"/>
        </w:rPr>
        <w:t>/</w:t>
      </w:r>
      <w:r>
        <w:rPr>
          <w:szCs w:val="21"/>
        </w:rPr>
        <w:t>律所的优势在于具备专业律师资源，服务权威性高，能够处理复杂法律问题。其劣势是服务成本高，咨询费用通常在数百元以上，文书代写、案件代理等服务收费更高；响应效率低，人工咨询往往需要预约排队，回复滞后；服务覆盖范围有限，难以满足海量长尾需求；数字化程度低，</w:t>
      </w:r>
      <w:r>
        <w:rPr>
          <w:rFonts w:hint="eastAsia"/>
          <w:szCs w:val="21"/>
        </w:rPr>
        <w:t>流程繁琐，</w:t>
      </w:r>
      <w:r>
        <w:rPr>
          <w:szCs w:val="21"/>
        </w:rPr>
        <w:t>大多仍依赖人工服务。</w:t>
      </w:r>
    </w:p>
    <w:p w:rsidR="00B70185" w:rsidRDefault="00000000">
      <w:pPr>
        <w:spacing w:line="300" w:lineRule="auto"/>
        <w:ind w:firstLineChars="200" w:firstLine="420"/>
      </w:pPr>
      <w:r>
        <w:rPr>
          <w:szCs w:val="21"/>
        </w:rPr>
        <w:t>其他垂直法律</w:t>
      </w:r>
      <w:r>
        <w:rPr>
          <w:szCs w:val="21"/>
        </w:rPr>
        <w:t>AI</w:t>
      </w:r>
      <w:r>
        <w:rPr>
          <w:szCs w:val="21"/>
        </w:rPr>
        <w:t>工具的优势在于聚焦特定法律场景，如合同审核、劳动纠纷等，在细分领域的专业性较强。但其劣势是技术架构相对单一，</w:t>
      </w:r>
      <w:r>
        <w:rPr>
          <w:rFonts w:hint="eastAsia"/>
          <w:szCs w:val="21"/>
        </w:rPr>
        <w:t>缺乏</w:t>
      </w:r>
      <w:r>
        <w:rPr>
          <w:szCs w:val="21"/>
        </w:rPr>
        <w:t>精准性与稳定性；部分依赖国外算力或公有云服务，存在数据安全与合规风险；产品功能较为单一，多局限于咨询或文书生成，缺乏全流程解决方案；成本控制能力不足，部分产品仍维持较高的收费水平。</w:t>
      </w:r>
    </w:p>
    <w:tbl>
      <w:tblPr>
        <w:tblStyle w:val="aa"/>
        <w:tblW w:w="5000" w:type="pct"/>
        <w:tblLook w:val="04A0" w:firstRow="1" w:lastRow="0" w:firstColumn="1" w:lastColumn="0" w:noHBand="0" w:noVBand="1"/>
      </w:tblPr>
      <w:tblGrid>
        <w:gridCol w:w="929"/>
        <w:gridCol w:w="4927"/>
        <w:gridCol w:w="2666"/>
      </w:tblGrid>
      <w:tr w:rsidR="00B70185">
        <w:tc>
          <w:tcPr>
            <w:tcW w:w="545" w:type="pct"/>
            <w:tcBorders>
              <w:top w:val="single" w:sz="6" w:space="0" w:color="4874CB" w:themeColor="accent1"/>
              <w:left w:val="single" w:sz="6" w:space="0" w:color="4874CB" w:themeColor="accent1"/>
              <w:bottom w:val="single" w:sz="6" w:space="0" w:color="4874CB" w:themeColor="accent1"/>
              <w:right w:val="single" w:sz="6" w:space="0" w:color="B5C7EA" w:themeColor="accent1" w:themeTint="66"/>
            </w:tcBorders>
            <w:shd w:val="clear" w:color="auto" w:fill="4874CB" w:themeFill="accent1"/>
            <w:vAlign w:val="center"/>
          </w:tcPr>
          <w:p w:rsidR="00B70185" w:rsidRDefault="00000000">
            <w:pPr>
              <w:jc w:val="center"/>
              <w:rPr>
                <w:b/>
                <w:color w:val="FFFFFF"/>
              </w:rPr>
            </w:pPr>
            <w:r>
              <w:rPr>
                <w:rFonts w:hint="eastAsia"/>
                <w:b/>
                <w:color w:val="FFFFFF"/>
              </w:rPr>
              <w:t>技术创新点</w:t>
            </w:r>
          </w:p>
        </w:tc>
        <w:tc>
          <w:tcPr>
            <w:tcW w:w="2890" w:type="pct"/>
            <w:tcBorders>
              <w:top w:val="single" w:sz="6" w:space="0" w:color="4874CB" w:themeColor="accent1"/>
              <w:left w:val="single" w:sz="6" w:space="0" w:color="B5C7EA" w:themeColor="accent1" w:themeTint="66"/>
              <w:bottom w:val="single" w:sz="6" w:space="0" w:color="4874CB" w:themeColor="accent1"/>
              <w:right w:val="single" w:sz="6" w:space="0" w:color="B5C7EA" w:themeColor="accent1" w:themeTint="66"/>
            </w:tcBorders>
            <w:shd w:val="clear" w:color="auto" w:fill="4874CB" w:themeFill="accent1"/>
            <w:vAlign w:val="center"/>
          </w:tcPr>
          <w:p w:rsidR="00B70185" w:rsidRDefault="00000000">
            <w:pPr>
              <w:jc w:val="center"/>
              <w:rPr>
                <w:b/>
                <w:color w:val="FFFFFF"/>
              </w:rPr>
            </w:pPr>
            <w:r>
              <w:rPr>
                <w:rFonts w:hint="eastAsia"/>
                <w:b/>
                <w:color w:val="FFFFFF"/>
              </w:rPr>
              <w:t>LAW-MASTER</w:t>
            </w:r>
          </w:p>
        </w:tc>
        <w:tc>
          <w:tcPr>
            <w:tcW w:w="1564" w:type="pct"/>
            <w:tcBorders>
              <w:top w:val="single" w:sz="6" w:space="0" w:color="4874CB" w:themeColor="accent1"/>
              <w:left w:val="single" w:sz="6" w:space="0" w:color="B5C7EA" w:themeColor="accent1" w:themeTint="66"/>
              <w:bottom w:val="single" w:sz="6" w:space="0" w:color="4874CB" w:themeColor="accent1"/>
              <w:right w:val="single" w:sz="6" w:space="0" w:color="B5C7EA" w:themeColor="accent1" w:themeTint="66"/>
            </w:tcBorders>
            <w:shd w:val="clear" w:color="auto" w:fill="4874CB" w:themeFill="accent1"/>
            <w:vAlign w:val="center"/>
          </w:tcPr>
          <w:p w:rsidR="00B70185" w:rsidRDefault="00000000">
            <w:pPr>
              <w:jc w:val="center"/>
              <w:rPr>
                <w:b/>
                <w:color w:val="FFFFFF"/>
              </w:rPr>
            </w:pPr>
            <w:r>
              <w:rPr>
                <w:rFonts w:hint="eastAsia"/>
                <w:b/>
                <w:color w:val="FFFFFF"/>
              </w:rPr>
              <w:t>通用大模型</w:t>
            </w:r>
          </w:p>
        </w:tc>
      </w:tr>
      <w:tr w:rsidR="00B70185">
        <w:tc>
          <w:tcPr>
            <w:tcW w:w="545" w:type="pct"/>
            <w:tcBorders>
              <w:top w:val="single" w:sz="6" w:space="0" w:color="4874CB" w:themeColor="accent1"/>
              <w:left w:val="single" w:sz="6" w:space="0" w:color="4874CB" w:themeColor="accent1"/>
              <w:bottom w:val="single" w:sz="6" w:space="0" w:color="B5C7EA" w:themeColor="accent1" w:themeTint="66"/>
              <w:right w:val="single" w:sz="6" w:space="0" w:color="B5C7EA" w:themeColor="accent1" w:themeTint="66"/>
            </w:tcBorders>
            <w:shd w:val="clear" w:color="auto" w:fill="ECF1F9" w:themeFill="accent1" w:themeFillTint="19"/>
            <w:vAlign w:val="center"/>
          </w:tcPr>
          <w:p w:rsidR="00B70185" w:rsidRDefault="00000000">
            <w:pPr>
              <w:jc w:val="center"/>
              <w:rPr>
                <w:color w:val="000000"/>
              </w:rPr>
            </w:pPr>
            <w:r>
              <w:rPr>
                <w:rFonts w:hint="eastAsia"/>
                <w:color w:val="000000"/>
              </w:rPr>
              <w:t>知识库与时效性</w:t>
            </w:r>
          </w:p>
        </w:tc>
        <w:tc>
          <w:tcPr>
            <w:tcW w:w="2890" w:type="pct"/>
            <w:tcBorders>
              <w:top w:val="single" w:sz="6" w:space="0" w:color="4874CB" w:themeColor="accent1"/>
              <w:left w:val="single" w:sz="6" w:space="0" w:color="B5C7EA" w:themeColor="accent1" w:themeTint="66"/>
              <w:bottom w:val="single" w:sz="6" w:space="0" w:color="B5C7EA" w:themeColor="accent1" w:themeTint="66"/>
              <w:right w:val="single" w:sz="6" w:space="0" w:color="B5C7EA" w:themeColor="accent1" w:themeTint="66"/>
            </w:tcBorders>
            <w:shd w:val="clear" w:color="auto" w:fill="FFFFFF"/>
            <w:vAlign w:val="center"/>
          </w:tcPr>
          <w:p w:rsidR="00B70185" w:rsidRDefault="00000000">
            <w:pPr>
              <w:jc w:val="center"/>
              <w:rPr>
                <w:color w:val="000000"/>
              </w:rPr>
            </w:pPr>
            <w:r>
              <w:rPr>
                <w:rFonts w:hint="eastAsia"/>
                <w:color w:val="000000"/>
              </w:rPr>
              <w:t>API+</w:t>
            </w:r>
            <w:r>
              <w:rPr>
                <w:rFonts w:hint="eastAsia"/>
                <w:color w:val="000000"/>
              </w:rPr>
              <w:t>自动写入知识库：</w:t>
            </w:r>
          </w:p>
          <w:p w:rsidR="00B70185" w:rsidRDefault="00000000">
            <w:pPr>
              <w:jc w:val="center"/>
              <w:rPr>
                <w:color w:val="000000"/>
              </w:rPr>
            </w:pPr>
            <w:r>
              <w:rPr>
                <w:rFonts w:hint="eastAsia"/>
                <w:color w:val="000000"/>
              </w:rPr>
              <w:t>针对法律法规快速变动，</w:t>
            </w:r>
            <w:r>
              <w:rPr>
                <w:rFonts w:hint="eastAsia"/>
                <w:color w:val="000000"/>
              </w:rPr>
              <w:t>LAW-MASTER</w:t>
            </w:r>
            <w:r>
              <w:rPr>
                <w:rFonts w:hint="eastAsia"/>
                <w:color w:val="000000"/>
              </w:rPr>
              <w:t>通过</w:t>
            </w:r>
            <w:r>
              <w:rPr>
                <w:rFonts w:hint="eastAsia"/>
                <w:color w:val="000000"/>
              </w:rPr>
              <w:t>API</w:t>
            </w:r>
            <w:r>
              <w:rPr>
                <w:rFonts w:hint="eastAsia"/>
                <w:color w:val="000000"/>
              </w:rPr>
              <w:t>接口与权威法律数据库连接，实现知识库自动更新与实时同步，确保法律信息的时效性和准确性。</w:t>
            </w:r>
          </w:p>
        </w:tc>
        <w:tc>
          <w:tcPr>
            <w:tcW w:w="1564" w:type="pct"/>
            <w:tcBorders>
              <w:top w:val="single" w:sz="6" w:space="0" w:color="4874CB" w:themeColor="accent1"/>
              <w:left w:val="single" w:sz="6" w:space="0" w:color="B5C7EA" w:themeColor="accent1" w:themeTint="66"/>
              <w:bottom w:val="single" w:sz="6" w:space="0" w:color="B5C7EA" w:themeColor="accent1" w:themeTint="66"/>
              <w:right w:val="single" w:sz="6" w:space="0" w:color="B5C7EA" w:themeColor="accent1" w:themeTint="66"/>
            </w:tcBorders>
            <w:shd w:val="clear" w:color="auto" w:fill="ECF1F9" w:themeFill="accent1" w:themeFillTint="19"/>
            <w:vAlign w:val="center"/>
          </w:tcPr>
          <w:p w:rsidR="00B70185" w:rsidRDefault="00000000">
            <w:pPr>
              <w:jc w:val="center"/>
              <w:rPr>
                <w:color w:val="000000"/>
              </w:rPr>
            </w:pPr>
            <w:r>
              <w:rPr>
                <w:rFonts w:hint="eastAsia"/>
                <w:color w:val="000000"/>
              </w:rPr>
              <w:t>数据训练上存在知识截断，无法实时更新最新发生或颁布的法律法规和案例。若未经专门更新，其提供的法律信息可能已过时，导致建议错误。</w:t>
            </w:r>
          </w:p>
        </w:tc>
      </w:tr>
      <w:tr w:rsidR="00B70185">
        <w:tc>
          <w:tcPr>
            <w:tcW w:w="545" w:type="pct"/>
            <w:tcBorders>
              <w:top w:val="single" w:sz="6" w:space="0" w:color="B5C7EA" w:themeColor="accent1" w:themeTint="66"/>
              <w:left w:val="single" w:sz="6" w:space="0" w:color="4874CB" w:themeColor="accent1"/>
              <w:bottom w:val="single" w:sz="6" w:space="0" w:color="B5C7EA" w:themeColor="accent1" w:themeTint="66"/>
              <w:right w:val="single" w:sz="6" w:space="0" w:color="B5C7EA" w:themeColor="accent1" w:themeTint="66"/>
            </w:tcBorders>
            <w:shd w:val="clear" w:color="auto" w:fill="ECF1F9" w:themeFill="accent1" w:themeFillTint="19"/>
            <w:vAlign w:val="center"/>
          </w:tcPr>
          <w:p w:rsidR="00B70185" w:rsidRDefault="00000000">
            <w:pPr>
              <w:jc w:val="center"/>
              <w:rPr>
                <w:color w:val="000000"/>
              </w:rPr>
            </w:pPr>
            <w:r>
              <w:rPr>
                <w:rFonts w:hint="eastAsia"/>
                <w:color w:val="000000"/>
              </w:rPr>
              <w:t>多模态证据处理</w:t>
            </w:r>
          </w:p>
        </w:tc>
        <w:tc>
          <w:tcPr>
            <w:tcW w:w="2890" w:type="pct"/>
            <w:tcBorders>
              <w:top w:val="single" w:sz="6" w:space="0" w:color="B5C7EA" w:themeColor="accent1" w:themeTint="66"/>
              <w:left w:val="single" w:sz="6" w:space="0" w:color="B5C7EA" w:themeColor="accent1" w:themeTint="66"/>
              <w:bottom w:val="single" w:sz="6" w:space="0" w:color="B5C7EA" w:themeColor="accent1" w:themeTint="66"/>
              <w:right w:val="single" w:sz="6" w:space="0" w:color="B5C7EA" w:themeColor="accent1" w:themeTint="66"/>
            </w:tcBorders>
            <w:shd w:val="clear" w:color="auto" w:fill="FFFFFF"/>
            <w:vAlign w:val="center"/>
          </w:tcPr>
          <w:p w:rsidR="00B70185" w:rsidRDefault="00000000">
            <w:pPr>
              <w:jc w:val="center"/>
              <w:rPr>
                <w:color w:val="000000"/>
              </w:rPr>
            </w:pPr>
            <w:r>
              <w:rPr>
                <w:rFonts w:hint="eastAsia"/>
                <w:color w:val="000000"/>
              </w:rPr>
              <w:t>语音转录</w:t>
            </w:r>
            <w:r>
              <w:rPr>
                <w:rFonts w:hint="eastAsia"/>
                <w:color w:val="000000"/>
              </w:rPr>
              <w:t xml:space="preserve"> + </w:t>
            </w:r>
            <w:r>
              <w:rPr>
                <w:rFonts w:hint="eastAsia"/>
                <w:color w:val="000000"/>
              </w:rPr>
              <w:t>合同</w:t>
            </w:r>
            <w:r>
              <w:rPr>
                <w:rFonts w:hint="eastAsia"/>
                <w:color w:val="000000"/>
              </w:rPr>
              <w:t>OCR</w:t>
            </w:r>
            <w:r>
              <w:rPr>
                <w:rFonts w:hint="eastAsia"/>
                <w:color w:val="000000"/>
              </w:rPr>
              <w:t>：</w:t>
            </w:r>
          </w:p>
          <w:p w:rsidR="00B70185" w:rsidRDefault="00000000">
            <w:pPr>
              <w:jc w:val="center"/>
              <w:rPr>
                <w:color w:val="000000"/>
              </w:rPr>
            </w:pPr>
            <w:r>
              <w:rPr>
                <w:rFonts w:hint="eastAsia"/>
                <w:color w:val="000000"/>
              </w:rPr>
              <w:t>深度整合语音转录技术（支持多方言）和高精度合同</w:t>
            </w:r>
            <w:r>
              <w:rPr>
                <w:rFonts w:hint="eastAsia"/>
                <w:color w:val="000000"/>
              </w:rPr>
              <w:t>OCR</w:t>
            </w:r>
            <w:r>
              <w:rPr>
                <w:rFonts w:hint="eastAsia"/>
                <w:color w:val="000000"/>
              </w:rPr>
              <w:t>，能够直接处理现实法律咨询中用户提供的语音记录（如通话录音、现场录音）和图片格式的证据材料（如合同照片、聊天截图）。实现一站式证据处理，将非结构化证据转化为可分析的法律要素，极大地提升了用户体验和法律分析效率，体现其专业化。</w:t>
            </w:r>
          </w:p>
        </w:tc>
        <w:tc>
          <w:tcPr>
            <w:tcW w:w="1564" w:type="pct"/>
            <w:tcBorders>
              <w:top w:val="single" w:sz="6" w:space="0" w:color="B5C7EA" w:themeColor="accent1" w:themeTint="66"/>
              <w:left w:val="single" w:sz="6" w:space="0" w:color="B5C7EA" w:themeColor="accent1" w:themeTint="66"/>
              <w:bottom w:val="single" w:sz="6" w:space="0" w:color="B5C7EA" w:themeColor="accent1" w:themeTint="66"/>
              <w:right w:val="single" w:sz="6" w:space="0" w:color="B5C7EA" w:themeColor="accent1" w:themeTint="66"/>
            </w:tcBorders>
            <w:shd w:val="clear" w:color="auto" w:fill="ECF1F9" w:themeFill="accent1" w:themeFillTint="19"/>
            <w:vAlign w:val="center"/>
          </w:tcPr>
          <w:p w:rsidR="00B70185" w:rsidRDefault="00000000">
            <w:pPr>
              <w:jc w:val="center"/>
              <w:rPr>
                <w:color w:val="000000"/>
              </w:rPr>
            </w:pPr>
            <w:r>
              <w:rPr>
                <w:rFonts w:hint="eastAsia"/>
                <w:color w:val="000000"/>
              </w:rPr>
              <w:t>对法律场景下的特定证据类型的专业化处理和分析能力弱，无法实现精准的定制化解决方案</w:t>
            </w:r>
          </w:p>
        </w:tc>
      </w:tr>
      <w:tr w:rsidR="00B70185">
        <w:tc>
          <w:tcPr>
            <w:tcW w:w="545" w:type="pct"/>
            <w:tcBorders>
              <w:top w:val="single" w:sz="6" w:space="0" w:color="B5C7EA" w:themeColor="accent1" w:themeTint="66"/>
              <w:left w:val="single" w:sz="6" w:space="0" w:color="4874CB" w:themeColor="accent1"/>
              <w:bottom w:val="single" w:sz="6" w:space="0" w:color="B5C7EA" w:themeColor="accent1" w:themeTint="66"/>
              <w:right w:val="single" w:sz="6" w:space="0" w:color="B5C7EA" w:themeColor="accent1" w:themeTint="66"/>
            </w:tcBorders>
            <w:shd w:val="clear" w:color="auto" w:fill="ECF1F9" w:themeFill="accent1" w:themeFillTint="19"/>
            <w:vAlign w:val="center"/>
          </w:tcPr>
          <w:p w:rsidR="00B70185" w:rsidRDefault="00000000">
            <w:pPr>
              <w:jc w:val="center"/>
              <w:rPr>
                <w:color w:val="000000"/>
              </w:rPr>
            </w:pPr>
            <w:r>
              <w:rPr>
                <w:rFonts w:hint="eastAsia"/>
                <w:color w:val="000000"/>
              </w:rPr>
              <w:t>算力底座与数据安全</w:t>
            </w:r>
          </w:p>
        </w:tc>
        <w:tc>
          <w:tcPr>
            <w:tcW w:w="2890" w:type="pct"/>
            <w:tcBorders>
              <w:top w:val="single" w:sz="6" w:space="0" w:color="B5C7EA" w:themeColor="accent1" w:themeTint="66"/>
              <w:left w:val="single" w:sz="6" w:space="0" w:color="B5C7EA" w:themeColor="accent1" w:themeTint="66"/>
              <w:bottom w:val="single" w:sz="6" w:space="0" w:color="B5C7EA" w:themeColor="accent1" w:themeTint="66"/>
              <w:right w:val="single" w:sz="6" w:space="0" w:color="B5C7EA" w:themeColor="accent1" w:themeTint="66"/>
            </w:tcBorders>
            <w:shd w:val="clear" w:color="auto" w:fill="FFFFFF"/>
            <w:vAlign w:val="center"/>
          </w:tcPr>
          <w:p w:rsidR="00B70185" w:rsidRDefault="00000000">
            <w:pPr>
              <w:jc w:val="center"/>
              <w:rPr>
                <w:color w:val="000000"/>
              </w:rPr>
            </w:pPr>
            <w:r>
              <w:rPr>
                <w:rFonts w:hint="eastAsia"/>
                <w:color w:val="000000"/>
              </w:rPr>
              <w:t>基于鲲鹏</w:t>
            </w:r>
            <w:r>
              <w:rPr>
                <w:rFonts w:hint="eastAsia"/>
                <w:color w:val="000000"/>
              </w:rPr>
              <w:t>-</w:t>
            </w:r>
            <w:r>
              <w:rPr>
                <w:rFonts w:hint="eastAsia"/>
                <w:color w:val="000000"/>
              </w:rPr>
              <w:t>昇腾的异构计算：</w:t>
            </w:r>
          </w:p>
          <w:p w:rsidR="00B70185" w:rsidRDefault="00000000">
            <w:pPr>
              <w:jc w:val="center"/>
              <w:rPr>
                <w:color w:val="000000"/>
              </w:rPr>
            </w:pPr>
            <w:r>
              <w:rPr>
                <w:rFonts w:hint="eastAsia"/>
                <w:color w:val="000000"/>
              </w:rPr>
              <w:t>LAW-MASTER</w:t>
            </w:r>
            <w:r>
              <w:rPr>
                <w:rFonts w:hint="eastAsia"/>
                <w:color w:val="000000"/>
              </w:rPr>
              <w:t>利用华为鲲鹏</w:t>
            </w:r>
            <w:r>
              <w:rPr>
                <w:rFonts w:hint="eastAsia"/>
                <w:color w:val="000000"/>
              </w:rPr>
              <w:t>-</w:t>
            </w:r>
            <w:r>
              <w:rPr>
                <w:rFonts w:hint="eastAsia"/>
                <w:color w:val="000000"/>
              </w:rPr>
              <w:t>昇腾的全栈国产化异构算力底座，能够以极低的成本提供本地化部署方案。保证数据不出域，彻底解决了法律数据的隐私安全性，还为</w:t>
            </w:r>
            <w:r>
              <w:rPr>
                <w:rFonts w:hint="eastAsia"/>
                <w:color w:val="000000"/>
              </w:rPr>
              <w:t>B</w:t>
            </w:r>
            <w:r>
              <w:rPr>
                <w:rFonts w:hint="eastAsia"/>
                <w:color w:val="000000"/>
              </w:rPr>
              <w:t>端客户提供了高度定制和自主掌控的能力。</w:t>
            </w:r>
          </w:p>
        </w:tc>
        <w:tc>
          <w:tcPr>
            <w:tcW w:w="1564" w:type="pct"/>
            <w:tcBorders>
              <w:top w:val="single" w:sz="6" w:space="0" w:color="B5C7EA" w:themeColor="accent1" w:themeTint="66"/>
              <w:left w:val="single" w:sz="6" w:space="0" w:color="B5C7EA" w:themeColor="accent1" w:themeTint="66"/>
              <w:bottom w:val="single" w:sz="6" w:space="0" w:color="B5C7EA" w:themeColor="accent1" w:themeTint="66"/>
              <w:right w:val="single" w:sz="6" w:space="0" w:color="B5C7EA" w:themeColor="accent1" w:themeTint="66"/>
            </w:tcBorders>
            <w:shd w:val="clear" w:color="auto" w:fill="ECF1F9" w:themeFill="accent1" w:themeFillTint="19"/>
            <w:vAlign w:val="center"/>
          </w:tcPr>
          <w:p w:rsidR="00B70185" w:rsidRDefault="00000000">
            <w:pPr>
              <w:jc w:val="center"/>
              <w:rPr>
                <w:color w:val="000000"/>
              </w:rPr>
            </w:pPr>
            <w:r>
              <w:rPr>
                <w:rFonts w:hint="eastAsia"/>
                <w:color w:val="000000"/>
              </w:rPr>
              <w:t>通用大模型多数部署在大型公有云平台（可能涉及国外算力），其数据合规性和隐私安全性在风险高。提供本地化部署的成本通常高昂，且难以保证完全自主可控</w:t>
            </w:r>
          </w:p>
        </w:tc>
      </w:tr>
      <w:tr w:rsidR="00B70185">
        <w:tc>
          <w:tcPr>
            <w:tcW w:w="545" w:type="pct"/>
            <w:tcBorders>
              <w:top w:val="single" w:sz="6" w:space="0" w:color="B5C7EA" w:themeColor="accent1" w:themeTint="66"/>
              <w:left w:val="single" w:sz="6" w:space="0" w:color="4874CB" w:themeColor="accent1"/>
              <w:bottom w:val="single" w:sz="6" w:space="0" w:color="B5C7EA" w:themeColor="accent1" w:themeTint="66"/>
              <w:right w:val="single" w:sz="6" w:space="0" w:color="B5C7EA" w:themeColor="accent1" w:themeTint="66"/>
            </w:tcBorders>
            <w:shd w:val="clear" w:color="auto" w:fill="ECF1F9" w:themeFill="accent1" w:themeFillTint="19"/>
            <w:vAlign w:val="center"/>
          </w:tcPr>
          <w:p w:rsidR="00B70185" w:rsidRDefault="00000000">
            <w:pPr>
              <w:jc w:val="center"/>
              <w:rPr>
                <w:color w:val="000000"/>
              </w:rPr>
            </w:pPr>
            <w:r>
              <w:rPr>
                <w:rFonts w:hint="eastAsia"/>
                <w:color w:val="000000"/>
              </w:rPr>
              <w:lastRenderedPageBreak/>
              <w:t>“三模型协同”专业法律推理</w:t>
            </w:r>
          </w:p>
        </w:tc>
        <w:tc>
          <w:tcPr>
            <w:tcW w:w="2890" w:type="pct"/>
            <w:tcBorders>
              <w:top w:val="single" w:sz="6" w:space="0" w:color="B5C7EA" w:themeColor="accent1" w:themeTint="66"/>
              <w:left w:val="single" w:sz="6" w:space="0" w:color="B5C7EA" w:themeColor="accent1" w:themeTint="66"/>
              <w:bottom w:val="single" w:sz="6" w:space="0" w:color="B5C7EA" w:themeColor="accent1" w:themeTint="66"/>
              <w:right w:val="single" w:sz="6" w:space="0" w:color="B5C7EA" w:themeColor="accent1" w:themeTint="66"/>
            </w:tcBorders>
            <w:shd w:val="clear" w:color="auto" w:fill="FFFFFF"/>
            <w:vAlign w:val="center"/>
          </w:tcPr>
          <w:p w:rsidR="00B70185" w:rsidRDefault="00000000">
            <w:pPr>
              <w:jc w:val="center"/>
              <w:rPr>
                <w:color w:val="000000"/>
              </w:rPr>
            </w:pPr>
            <w:r>
              <w:rPr>
                <w:rFonts w:hint="eastAsia"/>
                <w:color w:val="000000"/>
              </w:rPr>
              <w:t>专业法律推理架构：</w:t>
            </w:r>
          </w:p>
          <w:p w:rsidR="00B70185" w:rsidRDefault="00000000">
            <w:pPr>
              <w:jc w:val="center"/>
              <w:rPr>
                <w:color w:val="000000"/>
              </w:rPr>
            </w:pPr>
            <w:r>
              <w:rPr>
                <w:rFonts w:hint="eastAsia"/>
                <w:color w:val="000000"/>
              </w:rPr>
              <w:t>独创的查询重写、混合检索、答案生成“三模型协同”流水线，专门解决法律领域对严谨性、准确性、可信度的高要求，生成可溯源的法律建议和行动方案。</w:t>
            </w:r>
          </w:p>
        </w:tc>
        <w:tc>
          <w:tcPr>
            <w:tcW w:w="1564" w:type="pct"/>
            <w:tcBorders>
              <w:top w:val="single" w:sz="6" w:space="0" w:color="B5C7EA" w:themeColor="accent1" w:themeTint="66"/>
              <w:left w:val="single" w:sz="6" w:space="0" w:color="B5C7EA" w:themeColor="accent1" w:themeTint="66"/>
              <w:bottom w:val="single" w:sz="6" w:space="0" w:color="B5C7EA" w:themeColor="accent1" w:themeTint="66"/>
              <w:right w:val="single" w:sz="6" w:space="0" w:color="B5C7EA" w:themeColor="accent1" w:themeTint="66"/>
            </w:tcBorders>
            <w:shd w:val="clear" w:color="auto" w:fill="ECF1F9" w:themeFill="accent1" w:themeFillTint="19"/>
            <w:vAlign w:val="center"/>
          </w:tcPr>
          <w:p w:rsidR="00B70185" w:rsidRDefault="00000000">
            <w:pPr>
              <w:jc w:val="center"/>
              <w:rPr>
                <w:color w:val="000000"/>
              </w:rPr>
            </w:pPr>
            <w:r>
              <w:rPr>
                <w:rFonts w:hint="eastAsia"/>
                <w:color w:val="000000"/>
              </w:rPr>
              <w:t>基于海量数据进行泛化推理，在法律这样严谨的领域，极易出现“幻觉”，编造不存在的法条或案例，提供不准确的法律建议，且难以给出溯源依据。</w:t>
            </w:r>
          </w:p>
        </w:tc>
      </w:tr>
      <w:tr w:rsidR="00B70185">
        <w:tc>
          <w:tcPr>
            <w:tcW w:w="545" w:type="pct"/>
            <w:tcBorders>
              <w:top w:val="single" w:sz="6" w:space="0" w:color="B5C7EA" w:themeColor="accent1" w:themeTint="66"/>
              <w:left w:val="single" w:sz="6" w:space="0" w:color="4874CB" w:themeColor="accent1"/>
              <w:bottom w:val="single" w:sz="6" w:space="0" w:color="B5C7EA" w:themeColor="accent1" w:themeTint="66"/>
              <w:right w:val="single" w:sz="6" w:space="0" w:color="B5C7EA" w:themeColor="accent1" w:themeTint="66"/>
            </w:tcBorders>
            <w:shd w:val="clear" w:color="auto" w:fill="ECF1F9" w:themeFill="accent1" w:themeFillTint="19"/>
            <w:vAlign w:val="center"/>
          </w:tcPr>
          <w:p w:rsidR="00B70185" w:rsidRDefault="00000000">
            <w:pPr>
              <w:jc w:val="center"/>
              <w:rPr>
                <w:color w:val="000000"/>
              </w:rPr>
            </w:pPr>
            <w:r>
              <w:rPr>
                <w:rFonts w:hint="eastAsia"/>
                <w:color w:val="000000"/>
              </w:rPr>
              <w:t>普惠化与低成本</w:t>
            </w:r>
          </w:p>
        </w:tc>
        <w:tc>
          <w:tcPr>
            <w:tcW w:w="2890" w:type="pct"/>
            <w:tcBorders>
              <w:top w:val="single" w:sz="6" w:space="0" w:color="B5C7EA" w:themeColor="accent1" w:themeTint="66"/>
              <w:left w:val="single" w:sz="6" w:space="0" w:color="B5C7EA" w:themeColor="accent1" w:themeTint="66"/>
              <w:bottom w:val="single" w:sz="6" w:space="0" w:color="B5C7EA" w:themeColor="accent1" w:themeTint="66"/>
              <w:right w:val="single" w:sz="6" w:space="0" w:color="B5C7EA" w:themeColor="accent1" w:themeTint="66"/>
            </w:tcBorders>
            <w:shd w:val="clear" w:color="auto" w:fill="FFFFFF"/>
            <w:vAlign w:val="center"/>
          </w:tcPr>
          <w:p w:rsidR="00B70185" w:rsidRDefault="00000000">
            <w:pPr>
              <w:jc w:val="center"/>
              <w:rPr>
                <w:color w:val="000000"/>
              </w:rPr>
            </w:pPr>
            <w:r>
              <w:rPr>
                <w:rFonts w:hint="eastAsia"/>
                <w:color w:val="000000"/>
              </w:rPr>
              <w:t>轻量化小模型架构：</w:t>
            </w:r>
          </w:p>
          <w:p w:rsidR="00B70185" w:rsidRDefault="00000000">
            <w:pPr>
              <w:jc w:val="center"/>
              <w:rPr>
                <w:color w:val="000000"/>
              </w:rPr>
            </w:pPr>
            <w:r>
              <w:rPr>
                <w:rFonts w:hint="eastAsia"/>
                <w:color w:val="000000"/>
              </w:rPr>
              <w:t>采用</w:t>
            </w:r>
            <w:proofErr w:type="spellStart"/>
            <w:r>
              <w:rPr>
                <w:rFonts w:hint="eastAsia"/>
                <w:color w:val="000000"/>
              </w:rPr>
              <w:t>LoRA</w:t>
            </w:r>
            <w:proofErr w:type="spellEnd"/>
            <w:r>
              <w:rPr>
                <w:rFonts w:hint="eastAsia"/>
                <w:color w:val="000000"/>
              </w:rPr>
              <w:t>微调等技术，以小模型实现专业效果，大幅降低了研发和运营成本，使得“普惠”法律服务在经济上成为可能。</w:t>
            </w:r>
          </w:p>
        </w:tc>
        <w:tc>
          <w:tcPr>
            <w:tcW w:w="1564" w:type="pct"/>
            <w:tcBorders>
              <w:top w:val="single" w:sz="6" w:space="0" w:color="B5C7EA" w:themeColor="accent1" w:themeTint="66"/>
              <w:left w:val="single" w:sz="6" w:space="0" w:color="B5C7EA" w:themeColor="accent1" w:themeTint="66"/>
              <w:bottom w:val="single" w:sz="6" w:space="0" w:color="B5C7EA" w:themeColor="accent1" w:themeTint="66"/>
              <w:right w:val="single" w:sz="6" w:space="0" w:color="B5C7EA" w:themeColor="accent1" w:themeTint="66"/>
            </w:tcBorders>
            <w:shd w:val="clear" w:color="auto" w:fill="ECF1F9" w:themeFill="accent1" w:themeFillTint="19"/>
            <w:vAlign w:val="center"/>
          </w:tcPr>
          <w:p w:rsidR="00B70185" w:rsidRDefault="00000000">
            <w:pPr>
              <w:jc w:val="center"/>
              <w:rPr>
                <w:color w:val="000000"/>
              </w:rPr>
            </w:pPr>
            <w:r>
              <w:rPr>
                <w:rFonts w:hint="eastAsia"/>
                <w:color w:val="000000"/>
              </w:rPr>
              <w:t>需要巨额的训练和推理成本，难以支撑大规模的免费或低价普惠服务，其成本结构不适合覆盖广大的长尾低价值法律需求。</w:t>
            </w:r>
          </w:p>
        </w:tc>
      </w:tr>
      <w:tr w:rsidR="00B70185">
        <w:tc>
          <w:tcPr>
            <w:tcW w:w="545" w:type="pct"/>
            <w:tcBorders>
              <w:top w:val="single" w:sz="6" w:space="0" w:color="B5C7EA" w:themeColor="accent1" w:themeTint="66"/>
              <w:left w:val="single" w:sz="6" w:space="0" w:color="4874CB" w:themeColor="accent1"/>
              <w:bottom w:val="single" w:sz="6" w:space="0" w:color="4874CB" w:themeColor="accent1"/>
              <w:right w:val="single" w:sz="6" w:space="0" w:color="B5C7EA" w:themeColor="accent1" w:themeTint="66"/>
            </w:tcBorders>
            <w:shd w:val="clear" w:color="auto" w:fill="ECF1F9" w:themeFill="accent1" w:themeFillTint="19"/>
            <w:vAlign w:val="center"/>
          </w:tcPr>
          <w:p w:rsidR="00B70185" w:rsidRDefault="00000000">
            <w:pPr>
              <w:jc w:val="center"/>
              <w:rPr>
                <w:color w:val="000000"/>
              </w:rPr>
            </w:pPr>
            <w:r>
              <w:rPr>
                <w:rFonts w:hint="eastAsia"/>
                <w:color w:val="000000"/>
              </w:rPr>
              <w:t>针对法律场景的混合检索引擎</w:t>
            </w:r>
          </w:p>
        </w:tc>
        <w:tc>
          <w:tcPr>
            <w:tcW w:w="2890" w:type="pct"/>
            <w:tcBorders>
              <w:top w:val="single" w:sz="6" w:space="0" w:color="B5C7EA" w:themeColor="accent1" w:themeTint="66"/>
              <w:left w:val="single" w:sz="6" w:space="0" w:color="B5C7EA" w:themeColor="accent1" w:themeTint="66"/>
              <w:bottom w:val="single" w:sz="6" w:space="0" w:color="4874CB" w:themeColor="accent1"/>
              <w:right w:val="single" w:sz="6" w:space="0" w:color="B5C7EA" w:themeColor="accent1" w:themeTint="66"/>
            </w:tcBorders>
            <w:shd w:val="clear" w:color="auto" w:fill="FFFFFF"/>
            <w:vAlign w:val="center"/>
          </w:tcPr>
          <w:p w:rsidR="00B70185" w:rsidRDefault="00000000">
            <w:pPr>
              <w:jc w:val="center"/>
              <w:rPr>
                <w:color w:val="000000"/>
              </w:rPr>
            </w:pPr>
            <w:r>
              <w:rPr>
                <w:rFonts w:hint="eastAsia"/>
                <w:color w:val="000000"/>
              </w:rPr>
              <w:t>动态权重融合检索：</w:t>
            </w:r>
          </w:p>
          <w:p w:rsidR="00B70185" w:rsidRDefault="00000000">
            <w:pPr>
              <w:jc w:val="center"/>
              <w:rPr>
                <w:color w:val="000000"/>
              </w:rPr>
            </w:pPr>
            <w:r>
              <w:rPr>
                <w:rFonts w:hint="eastAsia"/>
                <w:color w:val="000000"/>
              </w:rPr>
              <w:t>结合向量语义检索与关键词精确检索，并针对法律法条和案例库进行特定优化，实现法律资源的“查准”与“查全”平衡，并支持明确的法律依据溯源。</w:t>
            </w:r>
          </w:p>
        </w:tc>
        <w:tc>
          <w:tcPr>
            <w:tcW w:w="1564" w:type="pct"/>
            <w:tcBorders>
              <w:top w:val="single" w:sz="6" w:space="0" w:color="B5C7EA" w:themeColor="accent1" w:themeTint="66"/>
              <w:left w:val="single" w:sz="6" w:space="0" w:color="B5C7EA" w:themeColor="accent1" w:themeTint="66"/>
              <w:bottom w:val="single" w:sz="6" w:space="0" w:color="4874CB" w:themeColor="accent1"/>
              <w:right w:val="single" w:sz="6" w:space="0" w:color="B5C7EA" w:themeColor="accent1" w:themeTint="66"/>
            </w:tcBorders>
            <w:shd w:val="clear" w:color="auto" w:fill="ECF1F9" w:themeFill="accent1" w:themeFillTint="19"/>
            <w:vAlign w:val="center"/>
          </w:tcPr>
          <w:p w:rsidR="00B70185" w:rsidRDefault="00000000">
            <w:pPr>
              <w:jc w:val="center"/>
              <w:rPr>
                <w:color w:val="000000"/>
              </w:rPr>
            </w:pPr>
            <w:r>
              <w:rPr>
                <w:rFonts w:hint="eastAsia"/>
                <w:color w:val="000000"/>
              </w:rPr>
              <w:t>不适配法律文本的特点，在法律概念的精确匹配、相似案例的语义识别上欠缺</w:t>
            </w:r>
          </w:p>
        </w:tc>
      </w:tr>
    </w:tbl>
    <w:p w:rsidR="00B70185" w:rsidRDefault="00000000">
      <w:pPr>
        <w:pStyle w:val="a3"/>
        <w:jc w:val="center"/>
        <w:rPr>
          <w:rFonts w:asciiTheme="majorHAnsi" w:hAnsiTheme="majorHAnsi" w:cstheme="majorBidi"/>
          <w:szCs w:val="20"/>
        </w:rPr>
      </w:pPr>
      <w:r>
        <w:rPr>
          <w:rFonts w:asciiTheme="majorHAnsi" w:hAnsiTheme="majorHAnsi" w:cstheme="majorBidi" w:hint="eastAsia"/>
          <w:szCs w:val="20"/>
        </w:rPr>
        <w:t>表</w:t>
      </w:r>
      <w:r>
        <w:rPr>
          <w:rFonts w:asciiTheme="majorHAnsi" w:hAnsiTheme="majorHAnsi" w:cstheme="majorBidi" w:hint="eastAsia"/>
          <w:szCs w:val="20"/>
        </w:rPr>
        <w:t xml:space="preserve"> </w:t>
      </w:r>
      <w:r>
        <w:rPr>
          <w:rFonts w:asciiTheme="majorHAnsi" w:hAnsiTheme="majorHAnsi" w:cstheme="majorBidi" w:hint="eastAsia"/>
          <w:szCs w:val="20"/>
        </w:rPr>
        <w:fldChar w:fldCharType="begin"/>
      </w:r>
      <w:r>
        <w:rPr>
          <w:rFonts w:asciiTheme="majorHAnsi" w:hAnsiTheme="majorHAnsi" w:cstheme="majorBidi" w:hint="eastAsia"/>
          <w:szCs w:val="20"/>
        </w:rPr>
        <w:instrText xml:space="preserve"> SEQ </w:instrText>
      </w:r>
      <w:r>
        <w:rPr>
          <w:rFonts w:asciiTheme="majorHAnsi" w:hAnsiTheme="majorHAnsi" w:cstheme="majorBidi" w:hint="eastAsia"/>
          <w:szCs w:val="20"/>
        </w:rPr>
        <w:instrText>表</w:instrText>
      </w:r>
      <w:r>
        <w:rPr>
          <w:rFonts w:asciiTheme="majorHAnsi" w:hAnsiTheme="majorHAnsi" w:cstheme="majorBidi" w:hint="eastAsia"/>
          <w:szCs w:val="20"/>
        </w:rPr>
        <w:instrText xml:space="preserve"> \* ARABIC </w:instrText>
      </w:r>
      <w:r>
        <w:rPr>
          <w:rFonts w:asciiTheme="majorHAnsi" w:hAnsiTheme="majorHAnsi" w:cstheme="majorBidi" w:hint="eastAsia"/>
          <w:szCs w:val="20"/>
        </w:rPr>
        <w:fldChar w:fldCharType="separate"/>
      </w:r>
      <w:r>
        <w:rPr>
          <w:rFonts w:asciiTheme="majorHAnsi" w:hAnsiTheme="majorHAnsi" w:cstheme="majorBidi" w:hint="eastAsia"/>
          <w:szCs w:val="20"/>
        </w:rPr>
        <w:t>2</w:t>
      </w:r>
      <w:r>
        <w:rPr>
          <w:rFonts w:asciiTheme="majorHAnsi" w:hAnsiTheme="majorHAnsi" w:cstheme="majorBidi" w:hint="eastAsia"/>
          <w:szCs w:val="20"/>
        </w:rPr>
        <w:fldChar w:fldCharType="end"/>
      </w:r>
      <w:r>
        <w:rPr>
          <w:rFonts w:asciiTheme="majorHAnsi" w:hAnsiTheme="majorHAnsi" w:cstheme="majorBidi" w:hint="eastAsia"/>
          <w:szCs w:val="20"/>
        </w:rPr>
        <w:t xml:space="preserve"> LAW-MASTER</w:t>
      </w:r>
      <w:r>
        <w:rPr>
          <w:rFonts w:asciiTheme="majorHAnsi" w:hAnsiTheme="majorHAnsi" w:cstheme="majorBidi" w:hint="eastAsia"/>
          <w:szCs w:val="20"/>
        </w:rPr>
        <w:t>较通用大模型的技术创新点</w:t>
      </w:r>
    </w:p>
    <w:p w:rsidR="00B70185" w:rsidRDefault="00000000">
      <w:pPr>
        <w:pStyle w:val="1"/>
        <w:spacing w:line="300" w:lineRule="auto"/>
        <w:rPr>
          <w:rFonts w:ascii="黑体" w:eastAsia="黑体" w:hAnsi="黑体"/>
          <w:sz w:val="24"/>
          <w:szCs w:val="24"/>
        </w:rPr>
      </w:pPr>
      <w:bookmarkStart w:id="24" w:name="_Toc8500"/>
      <w:r>
        <w:rPr>
          <w:rFonts w:ascii="黑体" w:eastAsia="黑体" w:hAnsi="黑体" w:hint="eastAsia"/>
          <w:sz w:val="24"/>
          <w:szCs w:val="24"/>
        </w:rPr>
        <w:t>3.核心产品与技术</w:t>
      </w:r>
      <w:bookmarkEnd w:id="24"/>
    </w:p>
    <w:p w:rsidR="00B70185" w:rsidRDefault="00000000">
      <w:pPr>
        <w:pStyle w:val="2"/>
        <w:tabs>
          <w:tab w:val="center" w:pos="4153"/>
        </w:tabs>
        <w:spacing w:line="300" w:lineRule="auto"/>
        <w:ind w:right="210"/>
        <w:rPr>
          <w:rFonts w:ascii="宋体" w:eastAsia="宋体" w:hAnsi="宋体"/>
          <w:sz w:val="21"/>
          <w:szCs w:val="21"/>
        </w:rPr>
      </w:pPr>
      <w:bookmarkStart w:id="25" w:name="_Toc1958"/>
      <w:r>
        <w:rPr>
          <w:rFonts w:ascii="宋体" w:eastAsia="宋体" w:hAnsi="宋体" w:hint="eastAsia"/>
          <w:sz w:val="21"/>
          <w:szCs w:val="21"/>
        </w:rPr>
        <w:t>3.1产品概述与定位</w:t>
      </w:r>
      <w:bookmarkEnd w:id="25"/>
    </w:p>
    <w:p w:rsidR="00B70185" w:rsidRDefault="00000000">
      <w:pPr>
        <w:pStyle w:val="3"/>
        <w:spacing w:before="0" w:after="0" w:line="300" w:lineRule="auto"/>
        <w:ind w:leftChars="200" w:left="420" w:rightChars="100" w:right="210"/>
        <w:rPr>
          <w:rFonts w:ascii="宋体" w:eastAsia="宋体" w:hAnsi="宋体"/>
          <w:bCs/>
          <w:sz w:val="21"/>
          <w:szCs w:val="32"/>
        </w:rPr>
      </w:pPr>
      <w:bookmarkStart w:id="26" w:name="_Toc25966"/>
      <w:r>
        <w:rPr>
          <w:rFonts w:ascii="宋体" w:eastAsia="宋体" w:hAnsi="宋体" w:hint="eastAsia"/>
          <w:bCs/>
          <w:sz w:val="21"/>
          <w:szCs w:val="32"/>
        </w:rPr>
        <w:t>3.1.1 产品概述</w:t>
      </w:r>
      <w:bookmarkEnd w:id="26"/>
    </w:p>
    <w:p w:rsidR="008B5ACB" w:rsidRPr="008B5ACB" w:rsidRDefault="008B5ACB" w:rsidP="008B5ACB">
      <w:pPr>
        <w:spacing w:line="300" w:lineRule="auto"/>
        <w:ind w:firstLineChars="200" w:firstLine="420"/>
        <w:rPr>
          <w:rFonts w:hint="eastAsia"/>
          <w:szCs w:val="21"/>
        </w:rPr>
      </w:pPr>
      <w:r w:rsidRPr="008B5ACB">
        <w:rPr>
          <w:szCs w:val="21"/>
        </w:rPr>
        <w:t xml:space="preserve">LAW MASTER V1.0 </w:t>
      </w:r>
      <w:r w:rsidRPr="008B5ACB">
        <w:rPr>
          <w:rFonts w:hint="eastAsia"/>
          <w:szCs w:val="21"/>
        </w:rPr>
        <w:t>是一款面向大众与轻专业用户的</w:t>
      </w:r>
      <w:r w:rsidRPr="008B5ACB">
        <w:rPr>
          <w:rFonts w:hint="eastAsia"/>
          <w:b/>
          <w:bCs/>
          <w:szCs w:val="21"/>
        </w:rPr>
        <w:t>智能法律行动助手</w:t>
      </w:r>
      <w:r w:rsidRPr="008B5ACB">
        <w:rPr>
          <w:szCs w:val="21"/>
        </w:rPr>
        <w:t>。</w:t>
      </w:r>
      <w:r w:rsidRPr="008B5ACB">
        <w:rPr>
          <w:rFonts w:hint="eastAsia"/>
          <w:szCs w:val="21"/>
        </w:rPr>
        <w:t>它不止回答“法律上可不可以”，而是把用户的自然语言描述转化为</w:t>
      </w:r>
      <w:r w:rsidRPr="008B5ACB">
        <w:rPr>
          <w:rFonts w:hint="eastAsia"/>
          <w:b/>
          <w:bCs/>
          <w:szCs w:val="21"/>
        </w:rPr>
        <w:t>可检索的法律要点</w:t>
      </w:r>
      <w:r w:rsidRPr="008B5ACB">
        <w:rPr>
          <w:rFonts w:hint="eastAsia"/>
          <w:szCs w:val="21"/>
        </w:rPr>
        <w:t>，在</w:t>
      </w:r>
      <w:r>
        <w:rPr>
          <w:rFonts w:hint="eastAsia"/>
          <w:szCs w:val="21"/>
        </w:rPr>
        <w:t>千万级真实法律案例与实时法条库</w:t>
      </w:r>
      <w:r w:rsidRPr="008B5ACB">
        <w:rPr>
          <w:rFonts w:hint="eastAsia"/>
          <w:szCs w:val="21"/>
        </w:rPr>
        <w:t>支撑下输出</w:t>
      </w:r>
      <w:r>
        <w:rPr>
          <w:rFonts w:hint="eastAsia"/>
          <w:b/>
          <w:bCs/>
          <w:szCs w:val="21"/>
        </w:rPr>
        <w:t>包含具体部门、联系方式、通话话术、法律文书在内的全套维权行动方案</w:t>
      </w:r>
      <w:r w:rsidRPr="008B5ACB">
        <w:rPr>
          <w:rFonts w:hint="eastAsia"/>
          <w:szCs w:val="21"/>
        </w:rPr>
        <w:t>，并支持</w:t>
      </w:r>
      <w:r>
        <w:rPr>
          <w:rFonts w:hint="eastAsia"/>
          <w:szCs w:val="21"/>
        </w:rPr>
        <w:t>系统检索</w:t>
      </w:r>
      <w:r w:rsidRPr="008B5ACB">
        <w:rPr>
          <w:rFonts w:hint="eastAsia"/>
          <w:szCs w:val="21"/>
        </w:rPr>
        <w:t>过程可视化。</w:t>
      </w:r>
    </w:p>
    <w:p w:rsidR="008B5ACB" w:rsidRPr="008B5ACB" w:rsidRDefault="008B5ACB" w:rsidP="008B5ACB">
      <w:pPr>
        <w:spacing w:line="300" w:lineRule="auto"/>
        <w:ind w:firstLineChars="200" w:firstLine="420"/>
        <w:rPr>
          <w:szCs w:val="21"/>
        </w:rPr>
      </w:pPr>
      <w:r w:rsidRPr="008B5ACB">
        <w:rPr>
          <w:rFonts w:hint="eastAsia"/>
          <w:szCs w:val="21"/>
        </w:rPr>
        <w:t>合规声明：</w:t>
      </w:r>
      <w:r w:rsidRPr="008B5ACB">
        <w:rPr>
          <w:rFonts w:hint="eastAsia"/>
          <w:szCs w:val="21"/>
        </w:rPr>
        <w:t>LAW</w:t>
      </w:r>
      <w:r w:rsidRPr="008B5ACB">
        <w:rPr>
          <w:szCs w:val="21"/>
        </w:rPr>
        <w:t xml:space="preserve"> MASTER </w:t>
      </w:r>
      <w:r w:rsidRPr="008B5ACB">
        <w:rPr>
          <w:rFonts w:hint="eastAsia"/>
          <w:szCs w:val="21"/>
        </w:rPr>
        <w:t>提供信息与辅助，不构成律师法律意见；对涉及重大利益或复杂争议，建议引导用户寻求专业律师。</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27" w:name="_Toc1639"/>
      <w:r>
        <w:rPr>
          <w:rFonts w:ascii="宋体" w:eastAsia="宋体" w:hAnsi="宋体" w:hint="eastAsia"/>
          <w:bCs/>
          <w:sz w:val="21"/>
          <w:szCs w:val="32"/>
        </w:rPr>
        <w:t>3.1.2 核心目标群体</w:t>
      </w:r>
      <w:bookmarkEnd w:id="27"/>
    </w:p>
    <w:p w:rsidR="00B70185" w:rsidRDefault="00A30BA5">
      <w:pPr>
        <w:spacing w:line="300" w:lineRule="auto"/>
        <w:ind w:firstLineChars="200" w:firstLine="420"/>
        <w:rPr>
          <w:szCs w:val="21"/>
        </w:rPr>
      </w:pPr>
      <w:r w:rsidRPr="00A30BA5">
        <w:rPr>
          <w:szCs w:val="21"/>
        </w:rPr>
        <w:t>C</w:t>
      </w:r>
      <w:r w:rsidRPr="00A30BA5">
        <w:rPr>
          <w:szCs w:val="21"/>
        </w:rPr>
        <w:t>端用户分为两类：一是</w:t>
      </w:r>
      <w:r w:rsidRPr="00A30BA5">
        <w:rPr>
          <w:b/>
          <w:bCs/>
          <w:szCs w:val="21"/>
        </w:rPr>
        <w:t>0–2000</w:t>
      </w:r>
      <w:r w:rsidRPr="00A30BA5">
        <w:rPr>
          <w:b/>
          <w:bCs/>
          <w:szCs w:val="21"/>
        </w:rPr>
        <w:t>元小额纠纷用户</w:t>
      </w:r>
      <w:r w:rsidRPr="00A30BA5">
        <w:rPr>
          <w:szCs w:val="21"/>
        </w:rPr>
        <w:t>，如网购退款、押金争议，核心诉求是通过法条施压、投诉话术等低成本手段快速挽回损失；二是</w:t>
      </w:r>
      <w:r w:rsidRPr="00A30BA5">
        <w:rPr>
          <w:b/>
          <w:bCs/>
          <w:szCs w:val="21"/>
        </w:rPr>
        <w:t>2000–30000</w:t>
      </w:r>
      <w:r w:rsidRPr="00A30BA5">
        <w:rPr>
          <w:b/>
          <w:bCs/>
          <w:szCs w:val="21"/>
        </w:rPr>
        <w:t>元常规小额纠纷用户</w:t>
      </w:r>
      <w:r w:rsidRPr="00A30BA5">
        <w:rPr>
          <w:szCs w:val="21"/>
        </w:rPr>
        <w:t>，如劳动欠薪、消费维权，亟需专业法律文书及完整维权路径以跨越立案门槛。</w:t>
      </w:r>
    </w:p>
    <w:p w:rsidR="00A30BA5" w:rsidRPr="00A30BA5" w:rsidRDefault="00A30BA5">
      <w:pPr>
        <w:spacing w:line="300" w:lineRule="auto"/>
        <w:ind w:firstLineChars="200" w:firstLine="420"/>
        <w:rPr>
          <w:rFonts w:hint="eastAsia"/>
          <w:szCs w:val="21"/>
        </w:rPr>
      </w:pPr>
      <w:r w:rsidRPr="00A30BA5">
        <w:rPr>
          <w:szCs w:val="21"/>
        </w:rPr>
        <w:t>B</w:t>
      </w:r>
      <w:r w:rsidRPr="00A30BA5">
        <w:rPr>
          <w:szCs w:val="21"/>
        </w:rPr>
        <w:t>端机构，</w:t>
      </w:r>
      <w:r>
        <w:rPr>
          <w:rFonts w:hint="eastAsia"/>
          <w:szCs w:val="21"/>
        </w:rPr>
        <w:t>主要</w:t>
      </w:r>
      <w:r w:rsidRPr="00A30BA5">
        <w:rPr>
          <w:szCs w:val="21"/>
        </w:rPr>
        <w:t>是社区街道司法所、工会、消费者协会等基层公共服务组织。</w:t>
      </w:r>
    </w:p>
    <w:p w:rsidR="00B70185" w:rsidRDefault="00000000">
      <w:pPr>
        <w:pStyle w:val="2"/>
        <w:ind w:right="210"/>
        <w:rPr>
          <w:rFonts w:ascii="宋体" w:eastAsia="宋体" w:hAnsi="宋体"/>
          <w:sz w:val="21"/>
          <w:szCs w:val="21"/>
        </w:rPr>
      </w:pPr>
      <w:bookmarkStart w:id="28" w:name="_Toc27514"/>
      <w:r>
        <w:rPr>
          <w:rFonts w:ascii="宋体" w:eastAsia="宋体" w:hAnsi="宋体" w:hint="eastAsia"/>
          <w:sz w:val="21"/>
          <w:szCs w:val="21"/>
        </w:rPr>
        <w:t>3.2核心功能与技术</w:t>
      </w:r>
      <w:r>
        <w:rPr>
          <w:rFonts w:hint="eastAsia"/>
          <w:highlight w:val="yellow"/>
        </w:rPr>
        <w:t>（插图：功能全景图（对话引擎—检索—可视化—文书—导出））</w:t>
      </w:r>
      <w:bookmarkEnd w:id="28"/>
    </w:p>
    <w:p w:rsidR="00B70185" w:rsidRDefault="00000000">
      <w:pPr>
        <w:spacing w:line="300" w:lineRule="auto"/>
        <w:ind w:firstLineChars="200" w:firstLine="420"/>
        <w:rPr>
          <w:szCs w:val="21"/>
        </w:rPr>
      </w:pPr>
      <w:r>
        <w:rPr>
          <w:szCs w:val="21"/>
        </w:rPr>
        <w:t>LawMaster</w:t>
      </w:r>
      <w:r>
        <w:rPr>
          <w:szCs w:val="21"/>
        </w:rPr>
        <w:t>依托先进的</w:t>
      </w:r>
      <w:proofErr w:type="spellStart"/>
      <w:r>
        <w:rPr>
          <w:szCs w:val="21"/>
        </w:rPr>
        <w:t>AIAgent</w:t>
      </w:r>
      <w:proofErr w:type="spellEnd"/>
      <w:r>
        <w:rPr>
          <w:szCs w:val="21"/>
        </w:rPr>
        <w:t>架构，为用户提供从法律咨询到文书生成的全流程服务。其核心功能模块规划如下：</w:t>
      </w:r>
    </w:p>
    <w:p w:rsidR="00B70185" w:rsidRDefault="00000000">
      <w:pPr>
        <w:spacing w:line="300" w:lineRule="auto"/>
        <w:jc w:val="center"/>
        <w:rPr>
          <w:szCs w:val="21"/>
        </w:rPr>
      </w:pPr>
      <w:r>
        <w:rPr>
          <w:rFonts w:hint="eastAsia"/>
          <w:noProof/>
          <w:szCs w:val="21"/>
        </w:rPr>
        <w:lastRenderedPageBreak/>
        <w:drawing>
          <wp:inline distT="0" distB="0" distL="114300" distR="114300">
            <wp:extent cx="5280025" cy="2875915"/>
            <wp:effectExtent l="0" t="0" r="6350" b="635"/>
            <wp:docPr id="2" name="图片 2" descr="截屏2026-02-11 12.5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2-11 12.57.36"/>
                    <pic:cNvPicPr>
                      <a:picLocks noChangeAspect="1"/>
                    </pic:cNvPicPr>
                  </pic:nvPicPr>
                  <pic:blipFill>
                    <a:blip r:embed="rId11"/>
                    <a:stretch>
                      <a:fillRect/>
                    </a:stretch>
                  </pic:blipFill>
                  <pic:spPr>
                    <a:xfrm>
                      <a:off x="0" y="0"/>
                      <a:ext cx="5280025" cy="2875915"/>
                    </a:xfrm>
                    <a:prstGeom prst="rect">
                      <a:avLst/>
                    </a:prstGeom>
                  </pic:spPr>
                </pic:pic>
              </a:graphicData>
            </a:graphic>
          </wp:inline>
        </w:drawing>
      </w:r>
    </w:p>
    <w:p w:rsidR="00B70185" w:rsidRDefault="00000000">
      <w:pPr>
        <w:pStyle w:val="a3"/>
        <w:jc w:val="center"/>
        <w:rPr>
          <w:rFonts w:asciiTheme="majorHAnsi" w:hAnsiTheme="majorHAnsi" w:cstheme="majorBidi"/>
          <w:szCs w:val="20"/>
        </w:rPr>
      </w:pPr>
      <w:r>
        <w:rPr>
          <w:rFonts w:asciiTheme="majorHAnsi" w:hAnsiTheme="majorHAnsi" w:cstheme="majorBidi" w:hint="eastAsia"/>
          <w:szCs w:val="20"/>
        </w:rPr>
        <w:t>图</w:t>
      </w:r>
      <w:r>
        <w:rPr>
          <w:rFonts w:asciiTheme="majorHAnsi" w:hAnsiTheme="majorHAnsi" w:cstheme="majorBidi" w:hint="eastAsia"/>
          <w:szCs w:val="20"/>
        </w:rPr>
        <w:t xml:space="preserve"> </w:t>
      </w:r>
      <w:r>
        <w:rPr>
          <w:rFonts w:asciiTheme="majorHAnsi" w:hAnsiTheme="majorHAnsi" w:cstheme="majorBidi" w:hint="eastAsia"/>
          <w:szCs w:val="20"/>
        </w:rPr>
        <w:fldChar w:fldCharType="begin"/>
      </w:r>
      <w:r>
        <w:rPr>
          <w:rFonts w:asciiTheme="majorHAnsi" w:hAnsiTheme="majorHAnsi" w:cstheme="majorBidi" w:hint="eastAsia"/>
          <w:szCs w:val="20"/>
        </w:rPr>
        <w:instrText xml:space="preserve"> SEQ </w:instrText>
      </w:r>
      <w:r>
        <w:rPr>
          <w:rFonts w:asciiTheme="majorHAnsi" w:hAnsiTheme="majorHAnsi" w:cstheme="majorBidi" w:hint="eastAsia"/>
          <w:szCs w:val="20"/>
        </w:rPr>
        <w:instrText>图</w:instrText>
      </w:r>
      <w:r>
        <w:rPr>
          <w:rFonts w:asciiTheme="majorHAnsi" w:hAnsiTheme="majorHAnsi" w:cstheme="majorBidi" w:hint="eastAsia"/>
          <w:szCs w:val="20"/>
        </w:rPr>
        <w:instrText xml:space="preserve"> \* ARABIC </w:instrText>
      </w:r>
      <w:r>
        <w:rPr>
          <w:rFonts w:asciiTheme="majorHAnsi" w:hAnsiTheme="majorHAnsi" w:cstheme="majorBidi" w:hint="eastAsia"/>
          <w:szCs w:val="20"/>
        </w:rPr>
        <w:fldChar w:fldCharType="separate"/>
      </w:r>
      <w:r>
        <w:rPr>
          <w:rFonts w:asciiTheme="majorHAnsi" w:hAnsiTheme="majorHAnsi" w:cstheme="majorBidi" w:hint="eastAsia"/>
          <w:szCs w:val="20"/>
        </w:rPr>
        <w:t>2</w:t>
      </w:r>
      <w:r>
        <w:rPr>
          <w:rFonts w:asciiTheme="majorHAnsi" w:hAnsiTheme="majorHAnsi" w:cstheme="majorBidi" w:hint="eastAsia"/>
          <w:szCs w:val="20"/>
        </w:rPr>
        <w:fldChar w:fldCharType="end"/>
      </w:r>
      <w:r>
        <w:rPr>
          <w:rFonts w:asciiTheme="majorHAnsi" w:hAnsiTheme="majorHAnsi" w:cstheme="majorBidi" w:hint="eastAsia"/>
          <w:szCs w:val="20"/>
        </w:rPr>
        <w:t xml:space="preserve">  Law Master</w:t>
      </w:r>
      <w:r>
        <w:rPr>
          <w:rFonts w:asciiTheme="majorHAnsi" w:hAnsiTheme="majorHAnsi" w:cstheme="majorBidi" w:hint="eastAsia"/>
          <w:szCs w:val="20"/>
        </w:rPr>
        <w:t>的核心功能</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29" w:name="_Toc16251"/>
      <w:r>
        <w:rPr>
          <w:rFonts w:ascii="宋体" w:eastAsia="宋体" w:hAnsi="宋体"/>
          <w:bCs/>
          <w:sz w:val="21"/>
          <w:szCs w:val="32"/>
        </w:rPr>
        <w:t>3.2.1 双模式智能交互引擎</w:t>
      </w:r>
      <w:bookmarkEnd w:id="29"/>
    </w:p>
    <w:p w:rsidR="00B70185" w:rsidRDefault="00000000">
      <w:pPr>
        <w:spacing w:line="300" w:lineRule="auto"/>
        <w:ind w:firstLineChars="200" w:firstLine="420"/>
        <w:rPr>
          <w:szCs w:val="21"/>
        </w:rPr>
      </w:pPr>
      <w:r>
        <w:rPr>
          <w:szCs w:val="21"/>
        </w:rPr>
        <w:t>系统提供</w:t>
      </w:r>
      <w:r>
        <w:rPr>
          <w:szCs w:val="21"/>
        </w:rPr>
        <w:t>“</w:t>
      </w:r>
      <w:r>
        <w:rPr>
          <w:szCs w:val="21"/>
        </w:rPr>
        <w:t>普通模式</w:t>
      </w:r>
      <w:r>
        <w:rPr>
          <w:szCs w:val="21"/>
        </w:rPr>
        <w:t>”</w:t>
      </w:r>
      <w:r>
        <w:rPr>
          <w:szCs w:val="21"/>
        </w:rPr>
        <w:t>与</w:t>
      </w:r>
      <w:r>
        <w:rPr>
          <w:szCs w:val="21"/>
        </w:rPr>
        <w:t>“</w:t>
      </w:r>
      <w:r>
        <w:rPr>
          <w:szCs w:val="21"/>
        </w:rPr>
        <w:t>自我意识模式</w:t>
      </w:r>
      <w:r>
        <w:rPr>
          <w:szCs w:val="21"/>
        </w:rPr>
        <w:t>”</w:t>
      </w:r>
      <w:r>
        <w:rPr>
          <w:szCs w:val="21"/>
        </w:rPr>
        <w:t>两种交互选择，满足不同深度的法律需求：</w:t>
      </w:r>
    </w:p>
    <w:p w:rsidR="00B70185" w:rsidRDefault="00000000">
      <w:pPr>
        <w:spacing w:line="300" w:lineRule="auto"/>
        <w:ind w:firstLineChars="200" w:firstLine="420"/>
        <w:rPr>
          <w:szCs w:val="21"/>
        </w:rPr>
      </w:pPr>
      <w:r>
        <w:rPr>
          <w:rFonts w:hint="eastAsia"/>
          <w:szCs w:val="21"/>
        </w:rPr>
        <w:t>（</w:t>
      </w:r>
      <w:r>
        <w:rPr>
          <w:rFonts w:hint="eastAsia"/>
          <w:szCs w:val="21"/>
        </w:rPr>
        <w:t>1</w:t>
      </w:r>
      <w:r>
        <w:rPr>
          <w:rFonts w:hint="eastAsia"/>
          <w:szCs w:val="21"/>
        </w:rPr>
        <w:t>）</w:t>
      </w:r>
      <w:r>
        <w:rPr>
          <w:szCs w:val="21"/>
        </w:rPr>
        <w:t>普通模式</w:t>
      </w:r>
    </w:p>
    <w:p w:rsidR="00B70185" w:rsidRDefault="00000000">
      <w:pPr>
        <w:spacing w:line="300" w:lineRule="auto"/>
        <w:ind w:firstLineChars="200" w:firstLine="428"/>
        <w:rPr>
          <w:b/>
          <w:bCs/>
          <w:szCs w:val="21"/>
        </w:rPr>
      </w:pPr>
      <w:r>
        <w:rPr>
          <w:b/>
          <w:bCs/>
          <w:szCs w:val="21"/>
        </w:rPr>
        <w:t>输入问题</w:t>
      </w:r>
      <w:r>
        <w:rPr>
          <w:b/>
          <w:bCs/>
          <w:szCs w:val="21"/>
        </w:rPr>
        <w:t xml:space="preserve"> →</w:t>
      </w:r>
      <w:r>
        <w:rPr>
          <w:rFonts w:hint="eastAsia"/>
          <w:b/>
          <w:bCs/>
          <w:szCs w:val="21"/>
        </w:rPr>
        <w:t xml:space="preserve"> </w:t>
      </w:r>
      <w:r>
        <w:rPr>
          <w:rFonts w:hint="eastAsia"/>
          <w:b/>
          <w:bCs/>
          <w:szCs w:val="21"/>
        </w:rPr>
        <w:t>用户回答具体问题</w:t>
      </w:r>
      <w:r>
        <w:rPr>
          <w:rFonts w:hint="eastAsia"/>
          <w:b/>
          <w:bCs/>
          <w:szCs w:val="21"/>
        </w:rPr>
        <w:t xml:space="preserve"> </w:t>
      </w:r>
      <w:r>
        <w:rPr>
          <w:b/>
          <w:bCs/>
          <w:szCs w:val="21"/>
        </w:rPr>
        <w:t xml:space="preserve">→ </w:t>
      </w:r>
      <w:r>
        <w:rPr>
          <w:b/>
          <w:bCs/>
          <w:szCs w:val="21"/>
        </w:rPr>
        <w:t>法条</w:t>
      </w:r>
      <w:r>
        <w:rPr>
          <w:b/>
          <w:bCs/>
          <w:szCs w:val="21"/>
        </w:rPr>
        <w:t>/</w:t>
      </w:r>
      <w:r>
        <w:rPr>
          <w:b/>
          <w:bCs/>
          <w:szCs w:val="21"/>
        </w:rPr>
        <w:t>案例检索</w:t>
      </w:r>
      <w:r>
        <w:rPr>
          <w:b/>
          <w:bCs/>
          <w:szCs w:val="21"/>
        </w:rPr>
        <w:t xml:space="preserve"> → </w:t>
      </w:r>
      <w:r>
        <w:rPr>
          <w:b/>
          <w:bCs/>
          <w:szCs w:val="21"/>
        </w:rPr>
        <w:t>结构化回答</w:t>
      </w:r>
    </w:p>
    <w:p w:rsidR="00B70185" w:rsidRDefault="00000000">
      <w:pPr>
        <w:spacing w:line="300" w:lineRule="auto"/>
        <w:ind w:firstLineChars="200" w:firstLine="420"/>
        <w:rPr>
          <w:szCs w:val="21"/>
        </w:rPr>
      </w:pPr>
      <w:r>
        <w:rPr>
          <w:szCs w:val="21"/>
        </w:rPr>
        <w:t>提供便捷的基础问答服务，用户可针对法律问题进行直接询，系统快速给出回答。</w:t>
      </w:r>
    </w:p>
    <w:p w:rsidR="00B70185" w:rsidRDefault="00000000">
      <w:pPr>
        <w:spacing w:line="300" w:lineRule="auto"/>
        <w:ind w:firstLineChars="200" w:firstLine="420"/>
        <w:rPr>
          <w:szCs w:val="21"/>
        </w:rPr>
      </w:pPr>
      <w:r>
        <w:rPr>
          <w:rFonts w:hint="eastAsia"/>
          <w:szCs w:val="21"/>
        </w:rPr>
        <w:t>（</w:t>
      </w:r>
      <w:r>
        <w:rPr>
          <w:rFonts w:hint="eastAsia"/>
          <w:szCs w:val="21"/>
        </w:rPr>
        <w:t>2</w:t>
      </w:r>
      <w:r>
        <w:rPr>
          <w:rFonts w:hint="eastAsia"/>
          <w:szCs w:val="21"/>
        </w:rPr>
        <w:t>）</w:t>
      </w:r>
      <w:r>
        <w:rPr>
          <w:szCs w:val="21"/>
        </w:rPr>
        <w:t>自我意识模式</w:t>
      </w:r>
    </w:p>
    <w:p w:rsidR="00B70185" w:rsidRDefault="00000000">
      <w:pPr>
        <w:spacing w:line="300" w:lineRule="auto"/>
        <w:ind w:firstLineChars="200" w:firstLine="428"/>
        <w:rPr>
          <w:b/>
          <w:bCs/>
          <w:szCs w:val="21"/>
        </w:rPr>
      </w:pPr>
      <w:r>
        <w:rPr>
          <w:b/>
          <w:bCs/>
          <w:szCs w:val="21"/>
        </w:rPr>
        <w:t>用户回答具体问题</w:t>
      </w:r>
      <w:r>
        <w:rPr>
          <w:b/>
          <w:bCs/>
          <w:szCs w:val="21"/>
        </w:rPr>
        <w:t xml:space="preserve"> → </w:t>
      </w:r>
      <w:r>
        <w:rPr>
          <w:b/>
          <w:bCs/>
          <w:szCs w:val="21"/>
        </w:rPr>
        <w:t>检索</w:t>
      </w:r>
      <w:r>
        <w:rPr>
          <w:b/>
          <w:bCs/>
          <w:szCs w:val="21"/>
        </w:rPr>
        <w:t xml:space="preserve"> → </w:t>
      </w:r>
      <w:r>
        <w:rPr>
          <w:b/>
          <w:bCs/>
          <w:szCs w:val="21"/>
        </w:rPr>
        <w:t>必要时网页搜索</w:t>
      </w:r>
      <w:r>
        <w:rPr>
          <w:b/>
          <w:bCs/>
          <w:szCs w:val="21"/>
        </w:rPr>
        <w:t>/</w:t>
      </w:r>
      <w:r>
        <w:rPr>
          <w:rFonts w:hint="eastAsia"/>
          <w:b/>
          <w:bCs/>
          <w:szCs w:val="21"/>
        </w:rPr>
        <w:t>书写</w:t>
      </w:r>
      <w:r>
        <w:rPr>
          <w:b/>
          <w:bCs/>
          <w:szCs w:val="21"/>
        </w:rPr>
        <w:t>文书</w:t>
      </w:r>
      <w:r>
        <w:rPr>
          <w:b/>
          <w:bCs/>
          <w:szCs w:val="21"/>
        </w:rPr>
        <w:t xml:space="preserve"> → </w:t>
      </w:r>
      <w:r>
        <w:rPr>
          <w:b/>
          <w:bCs/>
          <w:szCs w:val="21"/>
        </w:rPr>
        <w:t>汇总回答</w:t>
      </w:r>
      <w:r>
        <w:rPr>
          <w:b/>
          <w:bCs/>
          <w:szCs w:val="21"/>
        </w:rPr>
        <w:t xml:space="preserve"> → </w:t>
      </w:r>
      <w:r>
        <w:rPr>
          <w:b/>
          <w:bCs/>
          <w:szCs w:val="21"/>
        </w:rPr>
        <w:t>思维导图</w:t>
      </w:r>
    </w:p>
    <w:p w:rsidR="00B70185" w:rsidRDefault="00000000">
      <w:pPr>
        <w:spacing w:line="300" w:lineRule="auto"/>
        <w:ind w:firstLineChars="200" w:firstLine="420"/>
        <w:rPr>
          <w:szCs w:val="21"/>
        </w:rPr>
      </w:pPr>
      <w:r>
        <w:rPr>
          <w:szCs w:val="21"/>
        </w:rPr>
        <w:t>该模式下，</w:t>
      </w:r>
      <w:r>
        <w:rPr>
          <w:szCs w:val="21"/>
        </w:rPr>
        <w:t>LawMaster</w:t>
      </w:r>
      <w:r>
        <w:rPr>
          <w:szCs w:val="21"/>
        </w:rPr>
        <w:t>会根据用户的问题主动进行多轮引导提问，以确认识别事实细节，并自主决定是否需要检索知识库、搜索网页或生成文书。此模式下的推理过程更为严谨，输出的行动建议更具贴合性和实操性。</w:t>
      </w:r>
    </w:p>
    <w:p w:rsidR="00B70185" w:rsidRDefault="00000000">
      <w:pPr>
        <w:spacing w:line="300" w:lineRule="auto"/>
        <w:ind w:firstLineChars="200" w:firstLine="420"/>
        <w:rPr>
          <w:szCs w:val="21"/>
        </w:rPr>
      </w:pPr>
      <w:r>
        <w:rPr>
          <w:rFonts w:hint="eastAsia"/>
          <w:szCs w:val="21"/>
        </w:rPr>
        <w:t>（</w:t>
      </w:r>
      <w:r>
        <w:rPr>
          <w:rFonts w:hint="eastAsia"/>
          <w:szCs w:val="21"/>
        </w:rPr>
        <w:t>3</w:t>
      </w:r>
      <w:r>
        <w:rPr>
          <w:rFonts w:hint="eastAsia"/>
          <w:szCs w:val="21"/>
        </w:rPr>
        <w:t>）技术支撑：动态大脑与</w:t>
      </w:r>
      <w:r>
        <w:rPr>
          <w:rFonts w:hint="eastAsia"/>
          <w:szCs w:val="21"/>
        </w:rPr>
        <w:t>Action</w:t>
      </w:r>
      <w:r>
        <w:rPr>
          <w:rFonts w:hint="eastAsia"/>
          <w:szCs w:val="21"/>
        </w:rPr>
        <w:t>体系</w:t>
      </w:r>
    </w:p>
    <w:p w:rsidR="00B70185" w:rsidRDefault="00000000">
      <w:pPr>
        <w:spacing w:line="300" w:lineRule="auto"/>
        <w:ind w:firstLineChars="200" w:firstLine="420"/>
        <w:rPr>
          <w:szCs w:val="21"/>
        </w:rPr>
      </w:pPr>
      <w:r>
        <w:rPr>
          <w:szCs w:val="21"/>
        </w:rPr>
        <w:t>摒弃了传统法律</w:t>
      </w:r>
      <w:r>
        <w:rPr>
          <w:szCs w:val="21"/>
        </w:rPr>
        <w:t>AI</w:t>
      </w:r>
      <w:r>
        <w:rPr>
          <w:szCs w:val="21"/>
        </w:rPr>
        <w:t>僵化的线性流程（固定槽位填充），采用大模型作为中央决策中枢</w:t>
      </w:r>
      <w:r>
        <w:rPr>
          <w:rFonts w:hint="eastAsia"/>
          <w:szCs w:val="21"/>
        </w:rPr>
        <w:t>（就像给系统加了一个大脑）</w:t>
      </w:r>
      <w:r>
        <w:rPr>
          <w:szCs w:val="21"/>
        </w:rPr>
        <w:t>。它能根据用户当前的回答，实时判断下一步是需要</w:t>
      </w:r>
      <w:r>
        <w:rPr>
          <w:szCs w:val="21"/>
        </w:rPr>
        <w:t>“</w:t>
      </w:r>
      <w:r>
        <w:rPr>
          <w:szCs w:val="21"/>
        </w:rPr>
        <w:t>澄清事实</w:t>
      </w:r>
      <w:r>
        <w:rPr>
          <w:szCs w:val="21"/>
        </w:rPr>
        <w:t>”</w:t>
      </w:r>
      <w:r>
        <w:rPr>
          <w:szCs w:val="21"/>
        </w:rPr>
        <w:t>、</w:t>
      </w:r>
      <w:r>
        <w:rPr>
          <w:szCs w:val="21"/>
        </w:rPr>
        <w:t>“</w:t>
      </w:r>
      <w:r>
        <w:rPr>
          <w:szCs w:val="21"/>
        </w:rPr>
        <w:t>检索法条</w:t>
      </w:r>
      <w:r>
        <w:rPr>
          <w:szCs w:val="21"/>
        </w:rPr>
        <w:t>”</w:t>
      </w:r>
      <w:r>
        <w:rPr>
          <w:szCs w:val="21"/>
        </w:rPr>
        <w:t>还是</w:t>
      </w:r>
      <w:r>
        <w:rPr>
          <w:szCs w:val="21"/>
        </w:rPr>
        <w:t>“</w:t>
      </w:r>
      <w:r>
        <w:rPr>
          <w:szCs w:val="21"/>
        </w:rPr>
        <w:t>直接生成建议</w:t>
      </w:r>
      <w:r>
        <w:rPr>
          <w:szCs w:val="21"/>
        </w:rPr>
        <w:t>”</w:t>
      </w:r>
      <w:r>
        <w:rPr>
          <w:rFonts w:hint="eastAsia"/>
          <w:szCs w:val="21"/>
        </w:rPr>
        <w:t>，这些判断基于我们之前部署的时候设置的一系列“大脑”可以选择的行动（</w:t>
      </w:r>
      <w:r>
        <w:rPr>
          <w:szCs w:val="21"/>
        </w:rPr>
        <w:t>action</w:t>
      </w:r>
      <w:r>
        <w:rPr>
          <w:rFonts w:hint="eastAsia"/>
          <w:szCs w:val="21"/>
        </w:rPr>
        <w:t>），见下表</w:t>
      </w:r>
      <w:r>
        <w:rPr>
          <w:szCs w:val="21"/>
        </w:rPr>
        <w:t>。</w:t>
      </w:r>
      <w:r>
        <w:rPr>
          <w:rFonts w:hint="eastAsia"/>
          <w:szCs w:val="21"/>
        </w:rPr>
        <w:t>用户的不同问题会调用出不同的思考骨架，比如，面对用户的简单咨询时：“澄清</w:t>
      </w:r>
      <w:r>
        <w:rPr>
          <w:szCs w:val="21"/>
        </w:rPr>
        <w:t>→rag</w:t>
      </w:r>
      <w:r>
        <w:rPr>
          <w:rFonts w:hint="eastAsia"/>
          <w:szCs w:val="21"/>
        </w:rPr>
        <w:t>法条搜索</w:t>
      </w:r>
      <w:r>
        <w:rPr>
          <w:szCs w:val="21"/>
        </w:rPr>
        <w:t>→</w:t>
      </w:r>
      <w:r>
        <w:rPr>
          <w:rFonts w:hint="eastAsia"/>
          <w:szCs w:val="21"/>
        </w:rPr>
        <w:t>回答</w:t>
      </w:r>
      <w:r>
        <w:rPr>
          <w:szCs w:val="21"/>
        </w:rPr>
        <w:t>→</w:t>
      </w:r>
      <w:r>
        <w:rPr>
          <w:rFonts w:hint="eastAsia"/>
          <w:szCs w:val="21"/>
        </w:rPr>
        <w:t>思维导图”；面对用户提到需要帮忙写文书时：“澄清</w:t>
      </w:r>
      <w:r>
        <w:rPr>
          <w:szCs w:val="21"/>
        </w:rPr>
        <w:t>→rag</w:t>
      </w:r>
      <w:r>
        <w:rPr>
          <w:rFonts w:hint="eastAsia"/>
          <w:szCs w:val="21"/>
        </w:rPr>
        <w:t>法条搜索</w:t>
      </w:r>
      <w:r>
        <w:rPr>
          <w:szCs w:val="21"/>
        </w:rPr>
        <w:t>→</w:t>
      </w:r>
      <w:r>
        <w:rPr>
          <w:rFonts w:hint="eastAsia"/>
          <w:szCs w:val="21"/>
        </w:rPr>
        <w:t>生成文书</w:t>
      </w:r>
      <w:r>
        <w:rPr>
          <w:szCs w:val="21"/>
        </w:rPr>
        <w:t>→</w:t>
      </w:r>
      <w:r>
        <w:rPr>
          <w:rFonts w:hint="eastAsia"/>
          <w:szCs w:val="21"/>
        </w:rPr>
        <w:t>回答</w:t>
      </w:r>
      <w:r>
        <w:rPr>
          <w:szCs w:val="21"/>
        </w:rPr>
        <w:t>→</w:t>
      </w:r>
      <w:r>
        <w:rPr>
          <w:rFonts w:hint="eastAsia"/>
          <w:szCs w:val="21"/>
        </w:rPr>
        <w:t>思维导图”。</w:t>
      </w:r>
    </w:p>
    <w:tbl>
      <w:tblPr>
        <w:tblStyle w:val="Table"/>
        <w:tblW w:w="5000" w:type="pct"/>
        <w:tblInd w:w="0" w:type="dxa"/>
        <w:tblLook w:val="04A0" w:firstRow="1" w:lastRow="0" w:firstColumn="1" w:lastColumn="0" w:noHBand="0" w:noVBand="1"/>
      </w:tblPr>
      <w:tblGrid>
        <w:gridCol w:w="2576"/>
        <w:gridCol w:w="1650"/>
        <w:gridCol w:w="2551"/>
        <w:gridCol w:w="1745"/>
      </w:tblGrid>
      <w:tr w:rsidR="00B70185" w:rsidTr="00B70185">
        <w:trPr>
          <w:cnfStyle w:val="100000000000" w:firstRow="1" w:lastRow="0" w:firstColumn="0" w:lastColumn="0" w:oddVBand="0" w:evenVBand="0" w:oddHBand="0" w:evenHBand="0" w:firstRowFirstColumn="0" w:firstRowLastColumn="0" w:lastRowFirstColumn="0" w:lastRowLastColumn="0"/>
          <w:trHeight w:val="497"/>
          <w:tblHeader/>
        </w:trPr>
        <w:tc>
          <w:tcPr>
            <w:tcW w:w="1510" w:type="pct"/>
            <w:tcBorders>
              <w:top w:val="single" w:sz="4" w:space="0" w:color="4874CB"/>
              <w:left w:val="single" w:sz="4" w:space="0" w:color="4874CB"/>
              <w:bottom w:val="single" w:sz="4" w:space="0" w:color="4874CB"/>
              <w:right w:val="single" w:sz="4" w:space="0" w:color="4874CB"/>
            </w:tcBorders>
            <w:shd w:val="clear" w:color="auto" w:fill="4874CB" w:themeFill="accent1"/>
            <w:vAlign w:val="center"/>
          </w:tcPr>
          <w:p w:rsidR="00B70185" w:rsidRDefault="00000000">
            <w:pPr>
              <w:pStyle w:val="Compact"/>
              <w:jc w:val="center"/>
              <w:rPr>
                <w:color w:val="FFFFFF" w:themeColor="background1"/>
              </w:rPr>
            </w:pPr>
            <w:r>
              <w:rPr>
                <w:color w:val="FFFFFF" w:themeColor="background1"/>
              </w:rPr>
              <w:t>Action</w:t>
            </w:r>
            <w:r>
              <w:rPr>
                <w:rFonts w:hint="eastAsia"/>
                <w:color w:val="FFFFFF" w:themeColor="background1"/>
              </w:rPr>
              <w:t>（行动）</w:t>
            </w:r>
          </w:p>
        </w:tc>
        <w:tc>
          <w:tcPr>
            <w:tcW w:w="968" w:type="pct"/>
            <w:tcBorders>
              <w:top w:val="single" w:sz="4" w:space="0" w:color="4874CB"/>
              <w:left w:val="single" w:sz="4" w:space="0" w:color="4874CB"/>
              <w:bottom w:val="single" w:sz="4" w:space="0" w:color="4874CB"/>
              <w:right w:val="single" w:sz="4" w:space="0" w:color="4874CB"/>
            </w:tcBorders>
            <w:shd w:val="clear" w:color="auto" w:fill="4874CB" w:themeFill="accent1"/>
            <w:vAlign w:val="center"/>
          </w:tcPr>
          <w:p w:rsidR="00B70185" w:rsidRDefault="00000000">
            <w:pPr>
              <w:pStyle w:val="Compact"/>
              <w:jc w:val="center"/>
              <w:rPr>
                <w:color w:val="FFFFFF" w:themeColor="background1"/>
              </w:rPr>
            </w:pPr>
            <w:r>
              <w:rPr>
                <w:rFonts w:hint="eastAsia"/>
                <w:color w:val="FFFFFF" w:themeColor="background1"/>
              </w:rPr>
              <w:t>目的</w:t>
            </w:r>
          </w:p>
        </w:tc>
        <w:tc>
          <w:tcPr>
            <w:tcW w:w="1496" w:type="pct"/>
            <w:tcBorders>
              <w:top w:val="single" w:sz="4" w:space="0" w:color="4874CB"/>
              <w:left w:val="single" w:sz="4" w:space="0" w:color="4874CB"/>
              <w:bottom w:val="single" w:sz="4" w:space="0" w:color="4874CB"/>
              <w:right w:val="single" w:sz="4" w:space="0" w:color="4874CB"/>
            </w:tcBorders>
            <w:shd w:val="clear" w:color="auto" w:fill="4874CB" w:themeFill="accent1"/>
            <w:vAlign w:val="center"/>
          </w:tcPr>
          <w:p w:rsidR="00B70185" w:rsidRDefault="00000000">
            <w:pPr>
              <w:pStyle w:val="Compact"/>
              <w:jc w:val="center"/>
              <w:rPr>
                <w:color w:val="FFFFFF" w:themeColor="background1"/>
              </w:rPr>
            </w:pPr>
            <w:r>
              <w:rPr>
                <w:rFonts w:hint="eastAsia"/>
                <w:color w:val="FFFFFF" w:themeColor="background1"/>
              </w:rPr>
              <w:t>输入</w:t>
            </w:r>
          </w:p>
        </w:tc>
        <w:tc>
          <w:tcPr>
            <w:tcW w:w="1024" w:type="pct"/>
            <w:tcBorders>
              <w:top w:val="single" w:sz="4" w:space="0" w:color="4874CB"/>
              <w:left w:val="single" w:sz="4" w:space="0" w:color="4874CB"/>
              <w:bottom w:val="single" w:sz="4" w:space="0" w:color="4874CB"/>
              <w:right w:val="single" w:sz="4" w:space="0" w:color="4874CB"/>
            </w:tcBorders>
            <w:shd w:val="clear" w:color="auto" w:fill="4874CB" w:themeFill="accent1"/>
            <w:vAlign w:val="center"/>
          </w:tcPr>
          <w:p w:rsidR="00B70185" w:rsidRDefault="00000000">
            <w:pPr>
              <w:pStyle w:val="Compact"/>
              <w:jc w:val="center"/>
              <w:rPr>
                <w:color w:val="FFFFFF" w:themeColor="background1"/>
              </w:rPr>
            </w:pPr>
            <w:r>
              <w:rPr>
                <w:rFonts w:hint="eastAsia"/>
                <w:color w:val="FFFFFF" w:themeColor="background1"/>
              </w:rPr>
              <w:t>输出</w:t>
            </w:r>
          </w:p>
        </w:tc>
      </w:tr>
      <w:tr w:rsidR="00B70185" w:rsidTr="00B70185">
        <w:tc>
          <w:tcPr>
            <w:tcW w:w="1510" w:type="pct"/>
            <w:tcBorders>
              <w:top w:val="single" w:sz="4" w:space="0" w:color="4874CB"/>
              <w:left w:val="single" w:sz="4" w:space="0" w:color="4874CB"/>
              <w:bottom w:val="single" w:sz="4" w:space="0" w:color="4874CB"/>
              <w:right w:val="single" w:sz="4" w:space="0" w:color="4874CB"/>
            </w:tcBorders>
            <w:shd w:val="clear" w:color="auto" w:fill="DAE3F4" w:themeFill="accent1" w:themeFillTint="32"/>
            <w:vAlign w:val="center"/>
          </w:tcPr>
          <w:p w:rsidR="00B70185" w:rsidRDefault="00000000">
            <w:pPr>
              <w:pStyle w:val="Compact"/>
              <w:jc w:val="center"/>
              <w:rPr>
                <w:rFonts w:eastAsia="黑体"/>
              </w:rPr>
            </w:pPr>
            <w:r>
              <w:rPr>
                <w:rStyle w:val="VerbatimChar"/>
              </w:rPr>
              <w:t>clarify</w:t>
            </w:r>
            <w:r>
              <w:rPr>
                <w:rStyle w:val="VerbatimChar"/>
                <w:rFonts w:hint="eastAsia"/>
              </w:rPr>
              <w:t>（澄清）</w:t>
            </w:r>
          </w:p>
        </w:tc>
        <w:tc>
          <w:tcPr>
            <w:tcW w:w="968" w:type="pct"/>
            <w:tcBorders>
              <w:top w:val="single" w:sz="4" w:space="0" w:color="4874CB"/>
              <w:left w:val="single" w:sz="4" w:space="0" w:color="4874CB"/>
              <w:bottom w:val="single" w:sz="4" w:space="0" w:color="4874CB"/>
              <w:right w:val="single" w:sz="4" w:space="0" w:color="4874CB"/>
            </w:tcBorders>
            <w:vAlign w:val="center"/>
          </w:tcPr>
          <w:p w:rsidR="00B70185" w:rsidRDefault="00000000">
            <w:pPr>
              <w:pStyle w:val="Compact"/>
              <w:jc w:val="center"/>
            </w:pPr>
            <w:r>
              <w:rPr>
                <w:rFonts w:hint="eastAsia"/>
              </w:rPr>
              <w:t>补充事实要点、识别歧义点</w:t>
            </w:r>
          </w:p>
        </w:tc>
        <w:tc>
          <w:tcPr>
            <w:tcW w:w="1496" w:type="pct"/>
            <w:tcBorders>
              <w:top w:val="single" w:sz="4" w:space="0" w:color="4874CB"/>
              <w:left w:val="single" w:sz="4" w:space="0" w:color="4874CB"/>
              <w:bottom w:val="single" w:sz="4" w:space="0" w:color="4874CB"/>
              <w:right w:val="single" w:sz="4" w:space="0" w:color="4874CB"/>
            </w:tcBorders>
            <w:shd w:val="clear" w:color="auto" w:fill="auto"/>
            <w:vAlign w:val="center"/>
          </w:tcPr>
          <w:p w:rsidR="00B70185" w:rsidRDefault="00000000">
            <w:pPr>
              <w:pStyle w:val="Compact"/>
              <w:jc w:val="center"/>
            </w:pPr>
            <w:r>
              <w:rPr>
                <w:rFonts w:hint="eastAsia"/>
              </w:rPr>
              <w:t>用户问题</w:t>
            </w:r>
          </w:p>
        </w:tc>
        <w:tc>
          <w:tcPr>
            <w:tcW w:w="1024" w:type="pct"/>
            <w:tcBorders>
              <w:top w:val="single" w:sz="4" w:space="0" w:color="4874CB"/>
              <w:left w:val="single" w:sz="4" w:space="0" w:color="4874CB"/>
              <w:bottom w:val="single" w:sz="4" w:space="0" w:color="4874CB"/>
              <w:right w:val="single" w:sz="4" w:space="0" w:color="4874CB"/>
            </w:tcBorders>
            <w:vAlign w:val="center"/>
          </w:tcPr>
          <w:p w:rsidR="00B70185" w:rsidRDefault="00000000">
            <w:pPr>
              <w:pStyle w:val="Compact"/>
              <w:jc w:val="center"/>
            </w:pPr>
            <w:r>
              <w:rPr>
                <w:rFonts w:hint="eastAsia"/>
              </w:rPr>
              <w:t>澄清问题列表或信息缺口</w:t>
            </w:r>
          </w:p>
        </w:tc>
      </w:tr>
      <w:tr w:rsidR="00B70185" w:rsidTr="00B70185">
        <w:tc>
          <w:tcPr>
            <w:tcW w:w="1510" w:type="pct"/>
            <w:tcBorders>
              <w:top w:val="single" w:sz="4" w:space="0" w:color="4874CB"/>
              <w:left w:val="single" w:sz="4" w:space="0" w:color="4874CB"/>
              <w:bottom w:val="single" w:sz="4" w:space="0" w:color="4874CB"/>
              <w:right w:val="single" w:sz="4" w:space="0" w:color="4874CB"/>
            </w:tcBorders>
            <w:shd w:val="clear" w:color="auto" w:fill="DAE3F4" w:themeFill="accent1" w:themeFillTint="32"/>
            <w:vAlign w:val="center"/>
          </w:tcPr>
          <w:p w:rsidR="00B70185" w:rsidRDefault="00000000">
            <w:pPr>
              <w:pStyle w:val="Compact"/>
              <w:jc w:val="center"/>
              <w:rPr>
                <w:rFonts w:eastAsia="黑体"/>
              </w:rPr>
            </w:pPr>
            <w:proofErr w:type="spellStart"/>
            <w:r>
              <w:rPr>
                <w:rStyle w:val="VerbatimChar"/>
              </w:rPr>
              <w:t>rag_search</w:t>
            </w:r>
            <w:proofErr w:type="spellEnd"/>
            <w:r>
              <w:rPr>
                <w:rStyle w:val="VerbatimChar"/>
                <w:rFonts w:hint="eastAsia"/>
              </w:rPr>
              <w:t>（法条搜索）</w:t>
            </w:r>
          </w:p>
        </w:tc>
        <w:tc>
          <w:tcPr>
            <w:tcW w:w="968" w:type="pct"/>
            <w:tcBorders>
              <w:top w:val="single" w:sz="4" w:space="0" w:color="4874CB"/>
              <w:left w:val="single" w:sz="4" w:space="0" w:color="4874CB"/>
              <w:bottom w:val="single" w:sz="4" w:space="0" w:color="4874CB"/>
              <w:right w:val="single" w:sz="4" w:space="0" w:color="4874CB"/>
            </w:tcBorders>
            <w:vAlign w:val="center"/>
          </w:tcPr>
          <w:p w:rsidR="00B70185" w:rsidRDefault="00000000">
            <w:pPr>
              <w:pStyle w:val="Compact"/>
              <w:jc w:val="center"/>
            </w:pPr>
            <w:r>
              <w:rPr>
                <w:rFonts w:hint="eastAsia"/>
              </w:rPr>
              <w:t>法条</w:t>
            </w:r>
            <w:r>
              <w:rPr>
                <w:rFonts w:hint="eastAsia"/>
              </w:rPr>
              <w:t>/</w:t>
            </w:r>
            <w:r>
              <w:rPr>
                <w:rFonts w:hint="eastAsia"/>
              </w:rPr>
              <w:t>案例检索</w:t>
            </w:r>
          </w:p>
        </w:tc>
        <w:tc>
          <w:tcPr>
            <w:tcW w:w="1496" w:type="pct"/>
            <w:tcBorders>
              <w:top w:val="single" w:sz="4" w:space="0" w:color="4874CB"/>
              <w:left w:val="single" w:sz="4" w:space="0" w:color="4874CB"/>
              <w:bottom w:val="single" w:sz="4" w:space="0" w:color="4874CB"/>
              <w:right w:val="single" w:sz="4" w:space="0" w:color="4874CB"/>
            </w:tcBorders>
            <w:shd w:val="clear" w:color="auto" w:fill="auto"/>
            <w:vAlign w:val="center"/>
          </w:tcPr>
          <w:p w:rsidR="00B70185" w:rsidRDefault="00000000">
            <w:pPr>
              <w:pStyle w:val="Compact"/>
              <w:jc w:val="center"/>
            </w:pPr>
            <w:r>
              <w:rPr>
                <w:rFonts w:hint="eastAsia"/>
              </w:rPr>
              <w:t>（系统自动提取输入）关键词</w:t>
            </w:r>
            <w:r>
              <w:t xml:space="preserve"> + </w:t>
            </w:r>
            <w:r>
              <w:rPr>
                <w:rFonts w:hint="eastAsia"/>
              </w:rPr>
              <w:t>向量</w:t>
            </w:r>
            <w:r>
              <w:rPr>
                <w:rFonts w:hint="eastAsia"/>
              </w:rPr>
              <w:t>/</w:t>
            </w:r>
            <w:r>
              <w:rPr>
                <w:rFonts w:hint="eastAsia"/>
              </w:rPr>
              <w:t>词袋表征</w:t>
            </w:r>
          </w:p>
        </w:tc>
        <w:tc>
          <w:tcPr>
            <w:tcW w:w="1024" w:type="pct"/>
            <w:tcBorders>
              <w:top w:val="single" w:sz="4" w:space="0" w:color="4874CB"/>
              <w:left w:val="single" w:sz="4" w:space="0" w:color="4874CB"/>
              <w:bottom w:val="single" w:sz="4" w:space="0" w:color="4874CB"/>
              <w:right w:val="single" w:sz="4" w:space="0" w:color="4874CB"/>
            </w:tcBorders>
            <w:vAlign w:val="center"/>
          </w:tcPr>
          <w:p w:rsidR="00B70185" w:rsidRDefault="00000000">
            <w:pPr>
              <w:pStyle w:val="Compact"/>
              <w:jc w:val="center"/>
            </w:pPr>
            <w:r>
              <w:rPr>
                <w:rFonts w:hint="eastAsia"/>
              </w:rPr>
              <w:t>最高匹配度的</w:t>
            </w:r>
            <w:r>
              <w:rPr>
                <w:rFonts w:hint="eastAsia"/>
              </w:rPr>
              <w:t>5</w:t>
            </w:r>
            <w:r>
              <w:rPr>
                <w:rFonts w:hint="eastAsia"/>
              </w:rPr>
              <w:t>个法条和案例</w:t>
            </w:r>
          </w:p>
        </w:tc>
      </w:tr>
      <w:tr w:rsidR="00B70185" w:rsidTr="00B70185">
        <w:tc>
          <w:tcPr>
            <w:tcW w:w="1510" w:type="pct"/>
            <w:tcBorders>
              <w:top w:val="single" w:sz="4" w:space="0" w:color="4874CB"/>
              <w:left w:val="single" w:sz="4" w:space="0" w:color="4874CB"/>
              <w:bottom w:val="single" w:sz="4" w:space="0" w:color="4874CB"/>
              <w:right w:val="single" w:sz="4" w:space="0" w:color="4874CB"/>
            </w:tcBorders>
            <w:shd w:val="clear" w:color="auto" w:fill="DAE3F4" w:themeFill="accent1" w:themeFillTint="32"/>
            <w:vAlign w:val="center"/>
          </w:tcPr>
          <w:p w:rsidR="00B70185" w:rsidRDefault="00000000">
            <w:pPr>
              <w:pStyle w:val="Compact"/>
              <w:jc w:val="center"/>
              <w:rPr>
                <w:rFonts w:eastAsia="黑体"/>
              </w:rPr>
            </w:pPr>
            <w:proofErr w:type="spellStart"/>
            <w:r>
              <w:rPr>
                <w:rStyle w:val="VerbatimChar"/>
              </w:rPr>
              <w:lastRenderedPageBreak/>
              <w:t>web_search</w:t>
            </w:r>
            <w:proofErr w:type="spellEnd"/>
            <w:r>
              <w:rPr>
                <w:rStyle w:val="VerbatimChar"/>
                <w:rFonts w:hint="eastAsia"/>
              </w:rPr>
              <w:t>（网页搜索）</w:t>
            </w:r>
          </w:p>
        </w:tc>
        <w:tc>
          <w:tcPr>
            <w:tcW w:w="968" w:type="pct"/>
            <w:tcBorders>
              <w:top w:val="single" w:sz="4" w:space="0" w:color="4874CB"/>
              <w:left w:val="single" w:sz="4" w:space="0" w:color="4874CB"/>
              <w:bottom w:val="single" w:sz="4" w:space="0" w:color="4874CB"/>
              <w:right w:val="single" w:sz="4" w:space="0" w:color="4874CB"/>
            </w:tcBorders>
            <w:vAlign w:val="center"/>
          </w:tcPr>
          <w:p w:rsidR="00B70185" w:rsidRDefault="00000000">
            <w:pPr>
              <w:pStyle w:val="Compact"/>
              <w:jc w:val="center"/>
            </w:pPr>
            <w:r>
              <w:rPr>
                <w:rFonts w:hint="eastAsia"/>
              </w:rPr>
              <w:t>补充政策</w:t>
            </w:r>
            <w:r>
              <w:rPr>
                <w:rFonts w:hint="eastAsia"/>
              </w:rPr>
              <w:t>/</w:t>
            </w:r>
            <w:r>
              <w:rPr>
                <w:rFonts w:hint="eastAsia"/>
              </w:rPr>
              <w:t>动态</w:t>
            </w:r>
          </w:p>
        </w:tc>
        <w:tc>
          <w:tcPr>
            <w:tcW w:w="1496" w:type="pct"/>
            <w:tcBorders>
              <w:top w:val="single" w:sz="4" w:space="0" w:color="4874CB"/>
              <w:left w:val="single" w:sz="4" w:space="0" w:color="4874CB"/>
              <w:bottom w:val="single" w:sz="4" w:space="0" w:color="4874CB"/>
              <w:right w:val="single" w:sz="4" w:space="0" w:color="4874CB"/>
            </w:tcBorders>
            <w:shd w:val="clear" w:color="auto" w:fill="auto"/>
            <w:vAlign w:val="center"/>
          </w:tcPr>
          <w:p w:rsidR="00B70185" w:rsidRDefault="00000000">
            <w:pPr>
              <w:pStyle w:val="Compact"/>
              <w:jc w:val="center"/>
            </w:pPr>
            <w:r>
              <w:rPr>
                <w:rFonts w:hint="eastAsia"/>
              </w:rPr>
              <w:t>（系统自动提取输入）关键词</w:t>
            </w:r>
          </w:p>
        </w:tc>
        <w:tc>
          <w:tcPr>
            <w:tcW w:w="1024" w:type="pct"/>
            <w:tcBorders>
              <w:top w:val="single" w:sz="4" w:space="0" w:color="4874CB"/>
              <w:left w:val="single" w:sz="4" w:space="0" w:color="4874CB"/>
              <w:bottom w:val="single" w:sz="4" w:space="0" w:color="4874CB"/>
              <w:right w:val="single" w:sz="4" w:space="0" w:color="4874CB"/>
            </w:tcBorders>
            <w:vAlign w:val="center"/>
          </w:tcPr>
          <w:p w:rsidR="00B70185" w:rsidRDefault="00000000">
            <w:pPr>
              <w:pStyle w:val="Compact"/>
              <w:jc w:val="center"/>
            </w:pPr>
            <w:r>
              <w:rPr>
                <w:rFonts w:hint="eastAsia"/>
              </w:rPr>
              <w:t>网页摘要与来源</w:t>
            </w:r>
          </w:p>
        </w:tc>
      </w:tr>
      <w:tr w:rsidR="00B70185" w:rsidTr="00B70185">
        <w:tc>
          <w:tcPr>
            <w:tcW w:w="1510" w:type="pct"/>
            <w:tcBorders>
              <w:top w:val="single" w:sz="4" w:space="0" w:color="4874CB"/>
              <w:left w:val="single" w:sz="4" w:space="0" w:color="4874CB"/>
              <w:bottom w:val="single" w:sz="4" w:space="0" w:color="4874CB"/>
              <w:right w:val="single" w:sz="4" w:space="0" w:color="4874CB"/>
            </w:tcBorders>
            <w:shd w:val="clear" w:color="auto" w:fill="DAE3F4" w:themeFill="accent1" w:themeFillTint="32"/>
            <w:vAlign w:val="center"/>
          </w:tcPr>
          <w:p w:rsidR="00B70185" w:rsidRDefault="00000000">
            <w:pPr>
              <w:pStyle w:val="Compact"/>
              <w:jc w:val="center"/>
              <w:rPr>
                <w:rFonts w:eastAsia="黑体"/>
              </w:rPr>
            </w:pPr>
            <w:proofErr w:type="spellStart"/>
            <w:r>
              <w:rPr>
                <w:rStyle w:val="VerbatimChar"/>
              </w:rPr>
              <w:t>generate_document</w:t>
            </w:r>
            <w:proofErr w:type="spellEnd"/>
            <w:r>
              <w:rPr>
                <w:rStyle w:val="VerbatimChar"/>
                <w:rFonts w:hint="eastAsia"/>
              </w:rPr>
              <w:t>（生成文书）</w:t>
            </w:r>
          </w:p>
        </w:tc>
        <w:tc>
          <w:tcPr>
            <w:tcW w:w="968" w:type="pct"/>
            <w:tcBorders>
              <w:top w:val="single" w:sz="4" w:space="0" w:color="4874CB"/>
              <w:left w:val="single" w:sz="4" w:space="0" w:color="4874CB"/>
              <w:bottom w:val="single" w:sz="4" w:space="0" w:color="4874CB"/>
              <w:right w:val="single" w:sz="4" w:space="0" w:color="4874CB"/>
            </w:tcBorders>
            <w:vAlign w:val="center"/>
          </w:tcPr>
          <w:p w:rsidR="00B70185" w:rsidRDefault="00000000">
            <w:pPr>
              <w:pStyle w:val="Compact"/>
              <w:jc w:val="center"/>
            </w:pPr>
            <w:r>
              <w:rPr>
                <w:rFonts w:hint="eastAsia"/>
              </w:rPr>
              <w:t>文书生成</w:t>
            </w:r>
          </w:p>
        </w:tc>
        <w:tc>
          <w:tcPr>
            <w:tcW w:w="1496" w:type="pct"/>
            <w:tcBorders>
              <w:top w:val="single" w:sz="4" w:space="0" w:color="4874CB"/>
              <w:left w:val="single" w:sz="4" w:space="0" w:color="4874CB"/>
              <w:bottom w:val="single" w:sz="4" w:space="0" w:color="4874CB"/>
              <w:right w:val="single" w:sz="4" w:space="0" w:color="4874CB"/>
            </w:tcBorders>
            <w:shd w:val="clear" w:color="auto" w:fill="auto"/>
            <w:vAlign w:val="center"/>
          </w:tcPr>
          <w:p w:rsidR="00B70185" w:rsidRDefault="00000000">
            <w:pPr>
              <w:pStyle w:val="Compact"/>
              <w:jc w:val="center"/>
            </w:pPr>
            <w:r>
              <w:rPr>
                <w:rFonts w:hint="eastAsia"/>
              </w:rPr>
              <w:t>模板</w:t>
            </w:r>
            <w:r>
              <w:t xml:space="preserve"> + </w:t>
            </w:r>
            <w:r>
              <w:rPr>
                <w:rFonts w:hint="eastAsia"/>
              </w:rPr>
              <w:t>事实</w:t>
            </w:r>
            <w:r>
              <w:t xml:space="preserve"> + </w:t>
            </w:r>
            <w:r>
              <w:rPr>
                <w:rFonts w:hint="eastAsia"/>
              </w:rPr>
              <w:t>依据</w:t>
            </w:r>
          </w:p>
        </w:tc>
        <w:tc>
          <w:tcPr>
            <w:tcW w:w="1024" w:type="pct"/>
            <w:tcBorders>
              <w:top w:val="single" w:sz="4" w:space="0" w:color="4874CB"/>
              <w:left w:val="single" w:sz="4" w:space="0" w:color="4874CB"/>
              <w:bottom w:val="single" w:sz="4" w:space="0" w:color="4874CB"/>
              <w:right w:val="single" w:sz="4" w:space="0" w:color="4874CB"/>
            </w:tcBorders>
            <w:vAlign w:val="center"/>
          </w:tcPr>
          <w:p w:rsidR="00B70185" w:rsidRDefault="00000000">
            <w:pPr>
              <w:pStyle w:val="Compact"/>
              <w:jc w:val="center"/>
            </w:pPr>
            <w:r>
              <w:rPr>
                <w:rFonts w:hint="eastAsia"/>
              </w:rPr>
              <w:t>PDF/</w:t>
            </w:r>
            <w:r>
              <w:rPr>
                <w:rFonts w:hint="eastAsia"/>
              </w:rPr>
              <w:t>可编辑稿</w:t>
            </w:r>
          </w:p>
        </w:tc>
      </w:tr>
      <w:tr w:rsidR="00B70185" w:rsidTr="00B70185">
        <w:tc>
          <w:tcPr>
            <w:tcW w:w="1510" w:type="pct"/>
            <w:tcBorders>
              <w:top w:val="single" w:sz="4" w:space="0" w:color="4874CB"/>
              <w:left w:val="single" w:sz="4" w:space="0" w:color="4874CB"/>
              <w:bottom w:val="single" w:sz="4" w:space="0" w:color="4874CB"/>
              <w:right w:val="single" w:sz="4" w:space="0" w:color="4874CB"/>
            </w:tcBorders>
            <w:shd w:val="clear" w:color="auto" w:fill="DAE3F4" w:themeFill="accent1" w:themeFillTint="32"/>
            <w:vAlign w:val="center"/>
          </w:tcPr>
          <w:p w:rsidR="00B70185" w:rsidRDefault="00000000">
            <w:pPr>
              <w:pStyle w:val="Compact"/>
              <w:jc w:val="center"/>
              <w:rPr>
                <w:rFonts w:eastAsia="黑体"/>
              </w:rPr>
            </w:pPr>
            <w:r>
              <w:rPr>
                <w:rStyle w:val="VerbatimChar"/>
              </w:rPr>
              <w:t>answer</w:t>
            </w:r>
            <w:r>
              <w:rPr>
                <w:rStyle w:val="VerbatimChar"/>
                <w:rFonts w:hint="eastAsia"/>
              </w:rPr>
              <w:t>（回答）</w:t>
            </w:r>
          </w:p>
        </w:tc>
        <w:tc>
          <w:tcPr>
            <w:tcW w:w="968" w:type="pct"/>
            <w:tcBorders>
              <w:top w:val="single" w:sz="4" w:space="0" w:color="4874CB"/>
              <w:left w:val="single" w:sz="4" w:space="0" w:color="4874CB"/>
              <w:bottom w:val="single" w:sz="4" w:space="0" w:color="4874CB"/>
              <w:right w:val="single" w:sz="4" w:space="0" w:color="4874CB"/>
            </w:tcBorders>
            <w:vAlign w:val="center"/>
          </w:tcPr>
          <w:p w:rsidR="00B70185" w:rsidRDefault="00000000">
            <w:pPr>
              <w:pStyle w:val="Compact"/>
              <w:jc w:val="center"/>
            </w:pPr>
            <w:r>
              <w:rPr>
                <w:rFonts w:hint="eastAsia"/>
              </w:rPr>
              <w:t>综合输出</w:t>
            </w:r>
          </w:p>
        </w:tc>
        <w:tc>
          <w:tcPr>
            <w:tcW w:w="1496" w:type="pct"/>
            <w:tcBorders>
              <w:top w:val="single" w:sz="4" w:space="0" w:color="4874CB"/>
              <w:left w:val="single" w:sz="4" w:space="0" w:color="4874CB"/>
              <w:bottom w:val="single" w:sz="4" w:space="0" w:color="4874CB"/>
              <w:right w:val="single" w:sz="4" w:space="0" w:color="4874CB"/>
            </w:tcBorders>
            <w:shd w:val="clear" w:color="auto" w:fill="auto"/>
            <w:vAlign w:val="center"/>
          </w:tcPr>
          <w:p w:rsidR="00B70185" w:rsidRDefault="00000000">
            <w:pPr>
              <w:pStyle w:val="Compact"/>
              <w:jc w:val="center"/>
            </w:pPr>
            <w:r>
              <w:rPr>
                <w:rFonts w:hint="eastAsia"/>
              </w:rPr>
              <w:t>多来源上下文</w:t>
            </w:r>
          </w:p>
        </w:tc>
        <w:tc>
          <w:tcPr>
            <w:tcW w:w="1024" w:type="pct"/>
            <w:tcBorders>
              <w:top w:val="single" w:sz="4" w:space="0" w:color="4874CB"/>
              <w:left w:val="single" w:sz="4" w:space="0" w:color="4874CB"/>
              <w:bottom w:val="single" w:sz="4" w:space="0" w:color="4874CB"/>
              <w:right w:val="single" w:sz="4" w:space="0" w:color="4874CB"/>
            </w:tcBorders>
            <w:vAlign w:val="center"/>
          </w:tcPr>
          <w:p w:rsidR="00B70185" w:rsidRDefault="00000000">
            <w:pPr>
              <w:pStyle w:val="Compact"/>
              <w:jc w:val="center"/>
            </w:pPr>
            <w:r>
              <w:rPr>
                <w:rFonts w:hint="eastAsia"/>
              </w:rPr>
              <w:t>结构化回答</w:t>
            </w:r>
          </w:p>
        </w:tc>
      </w:tr>
      <w:tr w:rsidR="00B70185" w:rsidTr="00B70185">
        <w:tc>
          <w:tcPr>
            <w:tcW w:w="1510" w:type="pct"/>
            <w:tcBorders>
              <w:top w:val="single" w:sz="4" w:space="0" w:color="4874CB"/>
              <w:left w:val="single" w:sz="4" w:space="0" w:color="4874CB"/>
              <w:bottom w:val="single" w:sz="4" w:space="0" w:color="4874CB"/>
              <w:right w:val="single" w:sz="4" w:space="0" w:color="4874CB"/>
            </w:tcBorders>
            <w:shd w:val="clear" w:color="auto" w:fill="DAE3F4" w:themeFill="accent1" w:themeFillTint="32"/>
            <w:vAlign w:val="center"/>
          </w:tcPr>
          <w:p w:rsidR="00B70185" w:rsidRDefault="00000000">
            <w:pPr>
              <w:pStyle w:val="Compact"/>
              <w:jc w:val="center"/>
              <w:rPr>
                <w:rFonts w:eastAsia="黑体"/>
              </w:rPr>
            </w:pPr>
            <w:proofErr w:type="spellStart"/>
            <w:r>
              <w:rPr>
                <w:rStyle w:val="VerbatimChar"/>
              </w:rPr>
              <w:t>mindmap</w:t>
            </w:r>
            <w:proofErr w:type="spellEnd"/>
            <w:r>
              <w:rPr>
                <w:rStyle w:val="VerbatimChar"/>
                <w:rFonts w:hint="eastAsia"/>
              </w:rPr>
              <w:t>（思维导图）</w:t>
            </w:r>
          </w:p>
        </w:tc>
        <w:tc>
          <w:tcPr>
            <w:tcW w:w="968" w:type="pct"/>
            <w:tcBorders>
              <w:top w:val="single" w:sz="4" w:space="0" w:color="4874CB"/>
              <w:left w:val="single" w:sz="4" w:space="0" w:color="4874CB"/>
              <w:bottom w:val="single" w:sz="4" w:space="0" w:color="4874CB"/>
              <w:right w:val="single" w:sz="4" w:space="0" w:color="4874CB"/>
            </w:tcBorders>
            <w:vAlign w:val="center"/>
          </w:tcPr>
          <w:p w:rsidR="00B70185" w:rsidRDefault="00000000">
            <w:pPr>
              <w:pStyle w:val="Compact"/>
              <w:jc w:val="center"/>
            </w:pPr>
            <w:r>
              <w:rPr>
                <w:rFonts w:hint="eastAsia"/>
              </w:rPr>
              <w:t>可视化回放</w:t>
            </w:r>
          </w:p>
        </w:tc>
        <w:tc>
          <w:tcPr>
            <w:tcW w:w="1496" w:type="pct"/>
            <w:tcBorders>
              <w:top w:val="single" w:sz="4" w:space="0" w:color="4874CB"/>
              <w:left w:val="single" w:sz="4" w:space="0" w:color="4874CB"/>
              <w:bottom w:val="single" w:sz="4" w:space="0" w:color="4874CB"/>
              <w:right w:val="single" w:sz="4" w:space="0" w:color="4874CB"/>
            </w:tcBorders>
            <w:shd w:val="clear" w:color="auto" w:fill="auto"/>
            <w:vAlign w:val="center"/>
          </w:tcPr>
          <w:p w:rsidR="00B70185" w:rsidRDefault="00000000">
            <w:pPr>
              <w:pStyle w:val="Compact"/>
              <w:jc w:val="center"/>
            </w:pPr>
            <w:r>
              <w:rPr>
                <w:rFonts w:hint="eastAsia"/>
              </w:rPr>
              <w:t>（系统自动提取输入）</w:t>
            </w:r>
          </w:p>
          <w:p w:rsidR="00B70185" w:rsidRDefault="00000000">
            <w:pPr>
              <w:pStyle w:val="Compact"/>
              <w:jc w:val="center"/>
            </w:pPr>
            <w:r>
              <w:rPr>
                <w:rFonts w:hint="eastAsia"/>
              </w:rPr>
              <w:t>计划</w:t>
            </w:r>
            <w:r>
              <w:t xml:space="preserve"> + </w:t>
            </w:r>
            <w:r>
              <w:rPr>
                <w:rFonts w:hint="eastAsia"/>
              </w:rPr>
              <w:t>检索</w:t>
            </w:r>
            <w:r>
              <w:t xml:space="preserve"> + </w:t>
            </w:r>
            <w:r>
              <w:rPr>
                <w:rFonts w:hint="eastAsia"/>
              </w:rPr>
              <w:t>结果</w:t>
            </w:r>
          </w:p>
        </w:tc>
        <w:tc>
          <w:tcPr>
            <w:tcW w:w="1024" w:type="pct"/>
            <w:tcBorders>
              <w:top w:val="single" w:sz="4" w:space="0" w:color="4874CB"/>
              <w:left w:val="single" w:sz="4" w:space="0" w:color="4874CB"/>
              <w:bottom w:val="single" w:sz="4" w:space="0" w:color="4874CB"/>
              <w:right w:val="single" w:sz="4" w:space="0" w:color="4874CB"/>
            </w:tcBorders>
            <w:vAlign w:val="center"/>
          </w:tcPr>
          <w:p w:rsidR="00B70185" w:rsidRDefault="00000000">
            <w:pPr>
              <w:pStyle w:val="Compact"/>
              <w:jc w:val="center"/>
            </w:pPr>
            <w:r>
              <w:t xml:space="preserve">SVG </w:t>
            </w:r>
            <w:r>
              <w:rPr>
                <w:rFonts w:hint="eastAsia"/>
              </w:rPr>
              <w:t>导图</w:t>
            </w:r>
          </w:p>
        </w:tc>
      </w:tr>
    </w:tbl>
    <w:p w:rsidR="00B70185" w:rsidRDefault="00000000">
      <w:pPr>
        <w:pStyle w:val="a3"/>
        <w:jc w:val="center"/>
        <w:rPr>
          <w:rFonts w:asciiTheme="majorHAnsi" w:hAnsiTheme="majorHAnsi" w:cstheme="majorBidi"/>
          <w:szCs w:val="20"/>
        </w:rPr>
      </w:pPr>
      <w:r>
        <w:rPr>
          <w:rFonts w:asciiTheme="majorHAnsi" w:hAnsiTheme="majorHAnsi" w:cstheme="majorBidi" w:hint="eastAsia"/>
          <w:szCs w:val="20"/>
        </w:rPr>
        <w:t>表</w:t>
      </w:r>
      <w:r>
        <w:rPr>
          <w:rFonts w:asciiTheme="majorHAnsi" w:hAnsiTheme="majorHAnsi" w:cstheme="majorBidi" w:hint="eastAsia"/>
          <w:szCs w:val="20"/>
        </w:rPr>
        <w:t xml:space="preserve"> </w:t>
      </w:r>
      <w:r>
        <w:rPr>
          <w:rFonts w:asciiTheme="majorHAnsi" w:hAnsiTheme="majorHAnsi" w:cstheme="majorBidi" w:hint="eastAsia"/>
          <w:szCs w:val="20"/>
        </w:rPr>
        <w:fldChar w:fldCharType="begin"/>
      </w:r>
      <w:r>
        <w:rPr>
          <w:rFonts w:asciiTheme="majorHAnsi" w:hAnsiTheme="majorHAnsi" w:cstheme="majorBidi" w:hint="eastAsia"/>
          <w:szCs w:val="20"/>
        </w:rPr>
        <w:instrText xml:space="preserve"> SEQ </w:instrText>
      </w:r>
      <w:r>
        <w:rPr>
          <w:rFonts w:asciiTheme="majorHAnsi" w:hAnsiTheme="majorHAnsi" w:cstheme="majorBidi" w:hint="eastAsia"/>
          <w:szCs w:val="20"/>
        </w:rPr>
        <w:instrText>表</w:instrText>
      </w:r>
      <w:r>
        <w:rPr>
          <w:rFonts w:asciiTheme="majorHAnsi" w:hAnsiTheme="majorHAnsi" w:cstheme="majorBidi" w:hint="eastAsia"/>
          <w:szCs w:val="20"/>
        </w:rPr>
        <w:instrText xml:space="preserve"> \* ARABIC </w:instrText>
      </w:r>
      <w:r>
        <w:rPr>
          <w:rFonts w:asciiTheme="majorHAnsi" w:hAnsiTheme="majorHAnsi" w:cstheme="majorBidi" w:hint="eastAsia"/>
          <w:szCs w:val="20"/>
        </w:rPr>
        <w:fldChar w:fldCharType="separate"/>
      </w:r>
      <w:r>
        <w:rPr>
          <w:rFonts w:asciiTheme="majorHAnsi" w:hAnsiTheme="majorHAnsi" w:cstheme="majorBidi" w:hint="eastAsia"/>
          <w:szCs w:val="20"/>
        </w:rPr>
        <w:t>3</w:t>
      </w:r>
      <w:r>
        <w:rPr>
          <w:rFonts w:asciiTheme="majorHAnsi" w:hAnsiTheme="majorHAnsi" w:cstheme="majorBidi" w:hint="eastAsia"/>
          <w:szCs w:val="20"/>
        </w:rPr>
        <w:fldChar w:fldCharType="end"/>
      </w:r>
      <w:r>
        <w:rPr>
          <w:rFonts w:asciiTheme="majorHAnsi" w:hAnsiTheme="majorHAnsi" w:cstheme="majorBidi" w:hint="eastAsia"/>
          <w:szCs w:val="20"/>
        </w:rPr>
        <w:t xml:space="preserve"> </w:t>
      </w:r>
      <w:r>
        <w:rPr>
          <w:rFonts w:asciiTheme="majorHAnsi" w:hAnsiTheme="majorHAnsi" w:cstheme="majorBidi" w:hint="eastAsia"/>
          <w:szCs w:val="20"/>
        </w:rPr>
        <w:t>系统中部署的核心行动（</w:t>
      </w:r>
      <w:r>
        <w:rPr>
          <w:rFonts w:asciiTheme="majorHAnsi" w:hAnsiTheme="majorHAnsi" w:cstheme="majorBidi" w:hint="eastAsia"/>
          <w:szCs w:val="20"/>
        </w:rPr>
        <w:t>action</w:t>
      </w:r>
      <w:r>
        <w:rPr>
          <w:rFonts w:asciiTheme="majorHAnsi" w:hAnsiTheme="majorHAnsi" w:cstheme="majorBidi" w:hint="eastAsia"/>
          <w:szCs w:val="20"/>
        </w:rPr>
        <w:t>）</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30" w:name="_Toc26684"/>
      <w:r>
        <w:rPr>
          <w:rFonts w:ascii="宋体" w:eastAsia="宋体" w:hAnsi="宋体"/>
          <w:bCs/>
          <w:sz w:val="21"/>
          <w:szCs w:val="32"/>
        </w:rPr>
        <w:t>3.2.2 多维度精准检索系统</w:t>
      </w:r>
      <w:bookmarkEnd w:id="30"/>
    </w:p>
    <w:p w:rsidR="00B70185" w:rsidRDefault="00000000">
      <w:pPr>
        <w:spacing w:line="300" w:lineRule="auto"/>
        <w:ind w:firstLineChars="200" w:firstLine="420"/>
        <w:rPr>
          <w:szCs w:val="21"/>
        </w:rPr>
      </w:pPr>
      <w:r>
        <w:rPr>
          <w:szCs w:val="21"/>
        </w:rPr>
        <w:t>系统通过自研算法，为用户提供全方位的法律参考支撑：</w:t>
      </w:r>
    </w:p>
    <w:p w:rsidR="00B70185" w:rsidRDefault="00000000">
      <w:pPr>
        <w:spacing w:line="300" w:lineRule="auto"/>
        <w:ind w:firstLineChars="200" w:firstLine="420"/>
        <w:rPr>
          <w:szCs w:val="21"/>
        </w:rPr>
      </w:pPr>
      <w:r>
        <w:rPr>
          <w:rFonts w:hint="eastAsia"/>
          <w:szCs w:val="21"/>
        </w:rPr>
        <w:t>（</w:t>
      </w:r>
      <w:r>
        <w:rPr>
          <w:rFonts w:hint="eastAsia"/>
          <w:szCs w:val="21"/>
        </w:rPr>
        <w:t>1</w:t>
      </w:r>
      <w:r>
        <w:rPr>
          <w:rFonts w:hint="eastAsia"/>
          <w:szCs w:val="21"/>
        </w:rPr>
        <w:t>）</w:t>
      </w:r>
      <w:r>
        <w:rPr>
          <w:szCs w:val="21"/>
        </w:rPr>
        <w:t>精准法条检索：自动匹配并展示相关度最高的</w:t>
      </w:r>
      <w:r>
        <w:rPr>
          <w:szCs w:val="21"/>
        </w:rPr>
        <w:t>Top5</w:t>
      </w:r>
      <w:r>
        <w:rPr>
          <w:szCs w:val="21"/>
        </w:rPr>
        <w:t>法律法规，并附带针对性的要点解释，帮助用户快速锁定法律依据。</w:t>
      </w:r>
    </w:p>
    <w:p w:rsidR="00B70185" w:rsidRDefault="00000000">
      <w:pPr>
        <w:spacing w:line="300" w:lineRule="auto"/>
        <w:ind w:firstLineChars="200" w:firstLine="420"/>
        <w:rPr>
          <w:szCs w:val="21"/>
        </w:rPr>
      </w:pPr>
      <w:r>
        <w:rPr>
          <w:rFonts w:hint="eastAsia"/>
          <w:szCs w:val="21"/>
        </w:rPr>
        <w:t>（</w:t>
      </w:r>
      <w:r>
        <w:rPr>
          <w:rFonts w:hint="eastAsia"/>
          <w:szCs w:val="21"/>
        </w:rPr>
        <w:t>2</w:t>
      </w:r>
      <w:r>
        <w:rPr>
          <w:rFonts w:hint="eastAsia"/>
          <w:szCs w:val="21"/>
        </w:rPr>
        <w:t>）</w:t>
      </w:r>
      <w:r>
        <w:rPr>
          <w:szCs w:val="21"/>
        </w:rPr>
        <w:t>深度案例分析：展示相关度最高的</w:t>
      </w:r>
      <w:r>
        <w:rPr>
          <w:szCs w:val="21"/>
        </w:rPr>
        <w:t>Top5</w:t>
      </w:r>
      <w:r>
        <w:rPr>
          <w:szCs w:val="21"/>
        </w:rPr>
        <w:t>典型案例</w:t>
      </w:r>
      <w:r>
        <w:rPr>
          <w:rFonts w:hint="eastAsia"/>
          <w:szCs w:val="21"/>
        </w:rPr>
        <w:t>，</w:t>
      </w:r>
      <w:r>
        <w:rPr>
          <w:szCs w:val="21"/>
        </w:rPr>
        <w:t>不仅提供原文预览，还会由</w:t>
      </w:r>
      <w:r>
        <w:rPr>
          <w:szCs w:val="21"/>
        </w:rPr>
        <w:t>AI</w:t>
      </w:r>
      <w:r>
        <w:rPr>
          <w:szCs w:val="21"/>
        </w:rPr>
        <w:t>自动分析案例与用户当前情况的相似之处及关键差异，为诉讼或维权提供策略参考。</w:t>
      </w:r>
    </w:p>
    <w:p w:rsidR="00B70185" w:rsidRDefault="00000000">
      <w:pPr>
        <w:spacing w:line="300" w:lineRule="auto"/>
        <w:ind w:firstLineChars="200" w:firstLine="420"/>
        <w:rPr>
          <w:szCs w:val="21"/>
        </w:rPr>
      </w:pPr>
      <w:r>
        <w:rPr>
          <w:rFonts w:hint="eastAsia"/>
          <w:szCs w:val="21"/>
        </w:rPr>
        <w:t>（</w:t>
      </w:r>
      <w:r>
        <w:rPr>
          <w:rFonts w:hint="eastAsia"/>
          <w:szCs w:val="21"/>
        </w:rPr>
        <w:t>3</w:t>
      </w:r>
      <w:r>
        <w:rPr>
          <w:rFonts w:hint="eastAsia"/>
          <w:szCs w:val="21"/>
        </w:rPr>
        <w:t>）</w:t>
      </w:r>
      <w:r>
        <w:rPr>
          <w:szCs w:val="21"/>
        </w:rPr>
        <w:t>全网实时搜索：支持接入实时网页检索，确保获取最新的政策动态与行业资讯，并将搜索结果整合进最终的分析报告中。</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31" w:name="_Toc13403"/>
      <w:r>
        <w:rPr>
          <w:rFonts w:ascii="宋体" w:eastAsia="宋体" w:hAnsi="宋体"/>
          <w:bCs/>
          <w:sz w:val="21"/>
          <w:szCs w:val="32"/>
        </w:rPr>
        <w:t>3.2.3 自动化文书生成</w:t>
      </w:r>
      <w:bookmarkEnd w:id="31"/>
    </w:p>
    <w:p w:rsidR="00B70185" w:rsidRDefault="00000000">
      <w:pPr>
        <w:spacing w:line="300" w:lineRule="auto"/>
        <w:ind w:firstLineChars="200" w:firstLine="420"/>
        <w:rPr>
          <w:szCs w:val="21"/>
        </w:rPr>
      </w:pPr>
      <w:r>
        <w:rPr>
          <w:szCs w:val="21"/>
        </w:rPr>
        <w:t>LawMaster</w:t>
      </w:r>
      <w:r>
        <w:rPr>
          <w:szCs w:val="21"/>
        </w:rPr>
        <w:t>能够将法律分析直接转化为可落地的法律文书：</w:t>
      </w:r>
    </w:p>
    <w:p w:rsidR="00B70185" w:rsidRDefault="00000000">
      <w:pPr>
        <w:spacing w:line="300" w:lineRule="auto"/>
        <w:ind w:firstLineChars="200" w:firstLine="420"/>
        <w:rPr>
          <w:szCs w:val="21"/>
        </w:rPr>
      </w:pPr>
      <w:r>
        <w:rPr>
          <w:rFonts w:hint="eastAsia"/>
          <w:szCs w:val="21"/>
        </w:rPr>
        <w:t>（</w:t>
      </w:r>
      <w:r>
        <w:rPr>
          <w:rFonts w:hint="eastAsia"/>
          <w:szCs w:val="21"/>
        </w:rPr>
        <w:t>1</w:t>
      </w:r>
      <w:r>
        <w:rPr>
          <w:rFonts w:hint="eastAsia"/>
          <w:szCs w:val="21"/>
        </w:rPr>
        <w:t>）</w:t>
      </w:r>
      <w:r>
        <w:rPr>
          <w:szCs w:val="21"/>
        </w:rPr>
        <w:t>文书起草：系统底层内嵌了百万级专业律师撰写的文书库。</w:t>
      </w:r>
      <w:r>
        <w:rPr>
          <w:szCs w:val="21"/>
        </w:rPr>
        <w:t>AI</w:t>
      </w:r>
      <w:r>
        <w:rPr>
          <w:szCs w:val="21"/>
        </w:rPr>
        <w:t>会根据用户案情的具体类型（如欠薪、工伤、非法辞退），从文书库中提取最适配的标准法律结构，并智能填充个性化案情。可生成</w:t>
      </w:r>
      <w:r>
        <w:rPr>
          <w:rFonts w:hint="eastAsia"/>
          <w:szCs w:val="21"/>
        </w:rPr>
        <w:t>的文书</w:t>
      </w:r>
      <w:r>
        <w:rPr>
          <w:szCs w:val="21"/>
        </w:rPr>
        <w:t>包括</w:t>
      </w:r>
      <w:r>
        <w:rPr>
          <w:rFonts w:hint="eastAsia"/>
          <w:szCs w:val="21"/>
        </w:rPr>
        <w:t>但不限于</w:t>
      </w:r>
      <w:r>
        <w:rPr>
          <w:szCs w:val="21"/>
        </w:rPr>
        <w:t>投诉信、举报函</w:t>
      </w:r>
      <w:r>
        <w:rPr>
          <w:rFonts w:hint="eastAsia"/>
          <w:szCs w:val="21"/>
        </w:rPr>
        <w:t>、起诉状</w:t>
      </w:r>
      <w:r>
        <w:rPr>
          <w:szCs w:val="21"/>
        </w:rPr>
        <w:t>、建议信等。</w:t>
      </w:r>
    </w:p>
    <w:p w:rsidR="00B70185" w:rsidRDefault="00000000">
      <w:pPr>
        <w:spacing w:line="300" w:lineRule="auto"/>
        <w:ind w:firstLineChars="200" w:firstLine="420"/>
        <w:rPr>
          <w:szCs w:val="21"/>
        </w:rPr>
      </w:pPr>
      <w:r>
        <w:rPr>
          <w:rFonts w:hint="eastAsia"/>
          <w:szCs w:val="21"/>
        </w:rPr>
        <w:t>（</w:t>
      </w:r>
      <w:r>
        <w:rPr>
          <w:rFonts w:hint="eastAsia"/>
          <w:szCs w:val="21"/>
        </w:rPr>
        <w:t>2</w:t>
      </w:r>
      <w:r>
        <w:rPr>
          <w:rFonts w:hint="eastAsia"/>
          <w:szCs w:val="21"/>
        </w:rPr>
        <w:t>）</w:t>
      </w:r>
      <w:r>
        <w:rPr>
          <w:szCs w:val="21"/>
        </w:rPr>
        <w:t>智能微调：用户可对生成的文书进行语义化指令调整（</w:t>
      </w:r>
      <w:r>
        <w:rPr>
          <w:rFonts w:hint="eastAsia"/>
          <w:szCs w:val="21"/>
        </w:rPr>
        <w:t>比</w:t>
      </w:r>
      <w:r>
        <w:rPr>
          <w:szCs w:val="21"/>
        </w:rPr>
        <w:t>如</w:t>
      </w:r>
      <w:r>
        <w:rPr>
          <w:rFonts w:hint="eastAsia"/>
          <w:szCs w:val="21"/>
        </w:rPr>
        <w:t>，要求</w:t>
      </w:r>
      <w:r>
        <w:rPr>
          <w:szCs w:val="21"/>
        </w:rPr>
        <w:t>语气更严肃一些），</w:t>
      </w:r>
      <w:r>
        <w:rPr>
          <w:szCs w:val="21"/>
        </w:rPr>
        <w:t>AI</w:t>
      </w:r>
      <w:r>
        <w:rPr>
          <w:szCs w:val="21"/>
        </w:rPr>
        <w:t>会自动完成内容润色。</w:t>
      </w:r>
    </w:p>
    <w:p w:rsidR="00B70185" w:rsidRDefault="00000000">
      <w:pPr>
        <w:spacing w:line="300" w:lineRule="auto"/>
        <w:ind w:firstLineChars="200" w:firstLine="420"/>
        <w:rPr>
          <w:szCs w:val="21"/>
        </w:rPr>
      </w:pPr>
      <w:r>
        <w:rPr>
          <w:rFonts w:hint="eastAsia"/>
          <w:szCs w:val="21"/>
        </w:rPr>
        <w:t>（</w:t>
      </w:r>
      <w:r>
        <w:rPr>
          <w:rFonts w:hint="eastAsia"/>
          <w:szCs w:val="21"/>
        </w:rPr>
        <w:t>3</w:t>
      </w:r>
      <w:r>
        <w:rPr>
          <w:rFonts w:hint="eastAsia"/>
          <w:szCs w:val="21"/>
        </w:rPr>
        <w:t>）</w:t>
      </w:r>
      <w:r>
        <w:rPr>
          <w:szCs w:val="21"/>
        </w:rPr>
        <w:t>一站式编辑导出：支持在线手动修改个人信息，并提供</w:t>
      </w:r>
      <w:r>
        <w:rPr>
          <w:szCs w:val="21"/>
        </w:rPr>
        <w:t>PDF</w:t>
      </w:r>
      <w:r>
        <w:rPr>
          <w:szCs w:val="21"/>
        </w:rPr>
        <w:t>格式生成功能，用户下载签字后即可直接使用。</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32" w:name="_Toc7886"/>
      <w:r>
        <w:rPr>
          <w:rFonts w:ascii="宋体" w:eastAsia="宋体" w:hAnsi="宋体"/>
          <w:bCs/>
          <w:sz w:val="21"/>
          <w:szCs w:val="32"/>
        </w:rPr>
        <w:t>3.2.4 推理逻辑可视化</w:t>
      </w:r>
      <w:bookmarkEnd w:id="32"/>
    </w:p>
    <w:p w:rsidR="00B70185" w:rsidRDefault="00000000">
      <w:pPr>
        <w:spacing w:line="300" w:lineRule="auto"/>
        <w:ind w:firstLineChars="200" w:firstLine="420"/>
        <w:rPr>
          <w:szCs w:val="21"/>
        </w:rPr>
      </w:pPr>
      <w:r>
        <w:rPr>
          <w:szCs w:val="21"/>
        </w:rPr>
        <w:t>为了增强法律建议的透明度与可信度，系统提供了完整的推理链路展示：</w:t>
      </w:r>
    </w:p>
    <w:p w:rsidR="00B70185" w:rsidRDefault="00000000">
      <w:pPr>
        <w:spacing w:line="300" w:lineRule="auto"/>
        <w:ind w:firstLineChars="200" w:firstLine="420"/>
        <w:rPr>
          <w:szCs w:val="21"/>
        </w:rPr>
      </w:pPr>
      <w:r>
        <w:rPr>
          <w:rFonts w:hint="eastAsia"/>
          <w:szCs w:val="21"/>
        </w:rPr>
        <w:t>（</w:t>
      </w:r>
      <w:r>
        <w:rPr>
          <w:rFonts w:hint="eastAsia"/>
          <w:szCs w:val="21"/>
        </w:rPr>
        <w:t>1</w:t>
      </w:r>
      <w:r>
        <w:rPr>
          <w:rFonts w:hint="eastAsia"/>
          <w:szCs w:val="21"/>
        </w:rPr>
        <w:t>）</w:t>
      </w:r>
      <w:r>
        <w:rPr>
          <w:szCs w:val="21"/>
        </w:rPr>
        <w:t>思维导图可视化：系统将</w:t>
      </w:r>
      <w:r>
        <w:rPr>
          <w:szCs w:val="21"/>
        </w:rPr>
        <w:t>AI</w:t>
      </w:r>
      <w:r>
        <w:rPr>
          <w:szCs w:val="21"/>
        </w:rPr>
        <w:t>的思考过程（如目标设定、关键词界定、法条要点提取等）以思维导图的形式直观呈现，让用户理解</w:t>
      </w:r>
      <w:r>
        <w:rPr>
          <w:szCs w:val="21"/>
        </w:rPr>
        <w:t>AI</w:t>
      </w:r>
      <w:r>
        <w:rPr>
          <w:szCs w:val="21"/>
        </w:rPr>
        <w:t>给出建议的内在逻辑。</w:t>
      </w:r>
    </w:p>
    <w:p w:rsidR="00B70185" w:rsidRDefault="00000000">
      <w:pPr>
        <w:spacing w:line="300" w:lineRule="auto"/>
        <w:ind w:firstLineChars="200" w:firstLine="420"/>
        <w:rPr>
          <w:szCs w:val="21"/>
        </w:rPr>
      </w:pPr>
      <w:r>
        <w:rPr>
          <w:rFonts w:hint="eastAsia"/>
          <w:szCs w:val="21"/>
        </w:rPr>
        <w:t>（</w:t>
      </w:r>
      <w:r>
        <w:rPr>
          <w:rFonts w:hint="eastAsia"/>
          <w:szCs w:val="21"/>
        </w:rPr>
        <w:t>2</w:t>
      </w:r>
      <w:r>
        <w:rPr>
          <w:rFonts w:hint="eastAsia"/>
          <w:szCs w:val="21"/>
        </w:rPr>
        <w:t>）</w:t>
      </w:r>
      <w:r>
        <w:rPr>
          <w:szCs w:val="21"/>
        </w:rPr>
        <w:t>任务进度</w:t>
      </w:r>
      <w:r>
        <w:rPr>
          <w:rFonts w:hint="eastAsia"/>
          <w:szCs w:val="21"/>
        </w:rPr>
        <w:t>条</w:t>
      </w:r>
      <w:r>
        <w:rPr>
          <w:szCs w:val="21"/>
        </w:rPr>
        <w:t>：在自我意识模式下，系统会</w:t>
      </w:r>
      <w:r>
        <w:rPr>
          <w:b/>
          <w:bCs/>
          <w:szCs w:val="21"/>
        </w:rPr>
        <w:t>展示详细的探索计划与进度</w:t>
      </w:r>
      <w:r>
        <w:rPr>
          <w:szCs w:val="21"/>
        </w:rPr>
        <w:t>条，清晰展现从信息搜集到逻辑推演的每一个步骤。</w:t>
      </w:r>
    </w:p>
    <w:p w:rsidR="00B70185" w:rsidRDefault="00000000">
      <w:pPr>
        <w:pStyle w:val="2"/>
        <w:tabs>
          <w:tab w:val="center" w:pos="4153"/>
        </w:tabs>
        <w:spacing w:line="300" w:lineRule="auto"/>
        <w:ind w:right="210"/>
        <w:rPr>
          <w:rFonts w:ascii="宋体" w:eastAsia="宋体" w:hAnsi="宋体"/>
          <w:sz w:val="21"/>
          <w:szCs w:val="21"/>
        </w:rPr>
      </w:pPr>
      <w:bookmarkStart w:id="33" w:name="_Toc19761"/>
      <w:r>
        <w:rPr>
          <w:rFonts w:ascii="宋体" w:eastAsia="宋体" w:hAnsi="宋体" w:hint="eastAsia"/>
          <w:sz w:val="21"/>
          <w:szCs w:val="21"/>
        </w:rPr>
        <w:t>3</w:t>
      </w:r>
      <w:r>
        <w:rPr>
          <w:rFonts w:ascii="宋体" w:eastAsia="宋体" w:hAnsi="宋体"/>
          <w:sz w:val="21"/>
          <w:szCs w:val="21"/>
        </w:rPr>
        <w:t>.3 技术架构与核心优势</w:t>
      </w:r>
      <w:bookmarkEnd w:id="33"/>
      <w:r>
        <w:rPr>
          <w:rFonts w:ascii="宋体" w:eastAsia="宋体" w:hAnsi="宋体"/>
          <w:sz w:val="21"/>
          <w:szCs w:val="21"/>
        </w:rPr>
        <w:t xml:space="preserve"> </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34" w:name="_Toc10817"/>
      <w:r>
        <w:rPr>
          <w:rFonts w:ascii="宋体" w:eastAsia="宋体" w:hAnsi="宋体" w:hint="eastAsia"/>
          <w:bCs/>
          <w:sz w:val="21"/>
          <w:szCs w:val="32"/>
        </w:rPr>
        <w:t>3</w:t>
      </w:r>
      <w:r>
        <w:rPr>
          <w:rFonts w:ascii="宋体" w:eastAsia="宋体" w:hAnsi="宋体"/>
          <w:bCs/>
          <w:sz w:val="21"/>
          <w:szCs w:val="32"/>
        </w:rPr>
        <w:t>.3.1 总体技术架构</w:t>
      </w:r>
      <w:bookmarkEnd w:id="34"/>
      <w:r>
        <w:rPr>
          <w:rFonts w:ascii="宋体" w:eastAsia="宋体" w:hAnsi="宋体"/>
          <w:bCs/>
          <w:sz w:val="21"/>
          <w:szCs w:val="32"/>
        </w:rPr>
        <w:t xml:space="preserve"> </w:t>
      </w:r>
    </w:p>
    <w:p w:rsidR="00B70185" w:rsidRDefault="00000000">
      <w:pPr>
        <w:spacing w:line="300" w:lineRule="auto"/>
        <w:ind w:firstLineChars="200" w:firstLine="420"/>
        <w:rPr>
          <w:szCs w:val="21"/>
        </w:rPr>
      </w:pPr>
      <w:r>
        <w:rPr>
          <w:szCs w:val="21"/>
        </w:rPr>
        <w:t>系统采用分层解耦设计，自下而上分别为国产算力层、数据与知识层、核心模型层、业务应用层。</w:t>
      </w:r>
    </w:p>
    <w:p w:rsidR="00B70185" w:rsidRDefault="00000000">
      <w:pPr>
        <w:spacing w:line="300" w:lineRule="auto"/>
        <w:ind w:firstLineChars="200" w:firstLine="420"/>
        <w:rPr>
          <w:szCs w:val="21"/>
        </w:rPr>
      </w:pPr>
      <w:r>
        <w:rPr>
          <w:rFonts w:hint="eastAsia"/>
          <w:szCs w:val="21"/>
        </w:rPr>
        <w:lastRenderedPageBreak/>
        <w:t>（</w:t>
      </w:r>
      <w:r>
        <w:rPr>
          <w:rFonts w:hint="eastAsia"/>
          <w:szCs w:val="21"/>
        </w:rPr>
        <w:t>1</w:t>
      </w:r>
      <w:r>
        <w:rPr>
          <w:rFonts w:hint="eastAsia"/>
          <w:szCs w:val="21"/>
        </w:rPr>
        <w:t>）</w:t>
      </w:r>
      <w:r>
        <w:rPr>
          <w:rFonts w:hint="eastAsia"/>
          <w:szCs w:val="21"/>
        </w:rPr>
        <w:t>L1</w:t>
      </w:r>
      <w:r>
        <w:rPr>
          <w:rFonts w:hint="eastAsia"/>
          <w:szCs w:val="21"/>
        </w:rPr>
        <w:t>国产算力底座</w:t>
      </w:r>
    </w:p>
    <w:p w:rsidR="00B70185" w:rsidRDefault="00000000">
      <w:pPr>
        <w:spacing w:line="300" w:lineRule="auto"/>
        <w:ind w:firstLineChars="200" w:firstLine="420"/>
        <w:rPr>
          <w:szCs w:val="21"/>
        </w:rPr>
      </w:pPr>
      <w:r>
        <w:rPr>
          <w:szCs w:val="21"/>
        </w:rPr>
        <w:t>模型由华为昇腾</w:t>
      </w:r>
      <w:r>
        <w:rPr>
          <w:szCs w:val="21"/>
        </w:rPr>
        <w:t>(Ascend)910B</w:t>
      </w:r>
      <w:r>
        <w:rPr>
          <w:szCs w:val="21"/>
        </w:rPr>
        <w:t>算力平台，通过</w:t>
      </w:r>
      <w:r>
        <w:rPr>
          <w:szCs w:val="21"/>
        </w:rPr>
        <w:t>CANN</w:t>
      </w:r>
      <w:r>
        <w:rPr>
          <w:szCs w:val="21"/>
        </w:rPr>
        <w:t>异构计算架构进行算子级优化来进行高效训练。此外，数据库采用</w:t>
      </w:r>
      <w:proofErr w:type="spellStart"/>
      <w:r>
        <w:rPr>
          <w:szCs w:val="21"/>
        </w:rPr>
        <w:t>OpenGauss</w:t>
      </w:r>
      <w:proofErr w:type="spellEnd"/>
      <w:r>
        <w:rPr>
          <w:szCs w:val="21"/>
        </w:rPr>
        <w:t>，确保了核心数据存储的自主安全，规避了信息外流的风险。</w:t>
      </w:r>
    </w:p>
    <w:p w:rsidR="00B70185" w:rsidRDefault="00000000">
      <w:pPr>
        <w:spacing w:line="300" w:lineRule="auto"/>
        <w:ind w:firstLineChars="200" w:firstLine="420"/>
        <w:rPr>
          <w:szCs w:val="21"/>
        </w:rPr>
      </w:pPr>
      <w:r>
        <w:rPr>
          <w:rFonts w:hint="eastAsia"/>
          <w:szCs w:val="21"/>
        </w:rPr>
        <w:t>（</w:t>
      </w:r>
      <w:r>
        <w:rPr>
          <w:rFonts w:hint="eastAsia"/>
          <w:szCs w:val="21"/>
        </w:rPr>
        <w:t>2</w:t>
      </w:r>
      <w:r>
        <w:rPr>
          <w:rFonts w:hint="eastAsia"/>
          <w:szCs w:val="21"/>
        </w:rPr>
        <w:t>）</w:t>
      </w:r>
      <w:r>
        <w:rPr>
          <w:rFonts w:hint="eastAsia"/>
          <w:szCs w:val="21"/>
        </w:rPr>
        <w:t>L2</w:t>
      </w:r>
      <w:r>
        <w:rPr>
          <w:rFonts w:hint="eastAsia"/>
          <w:szCs w:val="21"/>
        </w:rPr>
        <w:t>数据与知识层</w:t>
      </w:r>
    </w:p>
    <w:p w:rsidR="00B70185" w:rsidRDefault="00000000">
      <w:pPr>
        <w:spacing w:line="300" w:lineRule="auto"/>
        <w:ind w:firstLineChars="200" w:firstLine="420"/>
        <w:rPr>
          <w:szCs w:val="21"/>
        </w:rPr>
      </w:pPr>
      <w:r>
        <w:rPr>
          <w:rFonts w:hint="eastAsia"/>
          <w:szCs w:val="21"/>
        </w:rPr>
        <w:t>我们不仅</w:t>
      </w:r>
      <w:r>
        <w:rPr>
          <w:szCs w:val="21"/>
        </w:rPr>
        <w:t>构建了包含千万级裁判文书、实时法条库的</w:t>
      </w:r>
      <w:r>
        <w:rPr>
          <w:szCs w:val="21"/>
        </w:rPr>
        <w:t>FAISS</w:t>
      </w:r>
      <w:r>
        <w:rPr>
          <w:szCs w:val="21"/>
        </w:rPr>
        <w:t>向量数据库</w:t>
      </w:r>
      <w:r>
        <w:rPr>
          <w:rFonts w:hint="eastAsia"/>
          <w:szCs w:val="21"/>
        </w:rPr>
        <w:t>，还</w:t>
      </w:r>
      <w:r>
        <w:rPr>
          <w:szCs w:val="21"/>
        </w:rPr>
        <w:t>采用倒排索引与向量索引混合存储架构，为上层检索提供毫秒级响应支持。</w:t>
      </w:r>
    </w:p>
    <w:p w:rsidR="00B70185" w:rsidRDefault="00000000">
      <w:pPr>
        <w:spacing w:line="300" w:lineRule="auto"/>
        <w:ind w:firstLineChars="200" w:firstLine="420"/>
        <w:jc w:val="center"/>
        <w:rPr>
          <w:szCs w:val="21"/>
        </w:rPr>
      </w:pPr>
      <w:r>
        <w:rPr>
          <w:noProof/>
          <w:szCs w:val="21"/>
        </w:rPr>
        <w:drawing>
          <wp:inline distT="0" distB="0" distL="114300" distR="114300">
            <wp:extent cx="4174490" cy="3614420"/>
            <wp:effectExtent l="0" t="0" r="6985" b="5080"/>
            <wp:docPr id="5" name="图片 5" descr="截屏2026-02-13 16.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6-02-13 16.20.43"/>
                    <pic:cNvPicPr>
                      <a:picLocks noChangeAspect="1"/>
                    </pic:cNvPicPr>
                  </pic:nvPicPr>
                  <pic:blipFill>
                    <a:blip r:embed="rId12"/>
                    <a:stretch>
                      <a:fillRect/>
                    </a:stretch>
                  </pic:blipFill>
                  <pic:spPr>
                    <a:xfrm>
                      <a:off x="0" y="0"/>
                      <a:ext cx="4174490" cy="3614420"/>
                    </a:xfrm>
                    <a:prstGeom prst="rect">
                      <a:avLst/>
                    </a:prstGeom>
                  </pic:spPr>
                </pic:pic>
              </a:graphicData>
            </a:graphic>
          </wp:inline>
        </w:drawing>
      </w:r>
    </w:p>
    <w:p w:rsidR="00B70185" w:rsidRDefault="00000000">
      <w:pPr>
        <w:pStyle w:val="a3"/>
        <w:jc w:val="center"/>
        <w:rPr>
          <w:rFonts w:asciiTheme="majorHAnsi" w:hAnsiTheme="majorHAnsi" w:cstheme="majorBidi"/>
          <w:szCs w:val="20"/>
        </w:rPr>
      </w:pPr>
      <w:r>
        <w:rPr>
          <w:rFonts w:asciiTheme="majorHAnsi" w:hAnsiTheme="majorHAnsi" w:cstheme="majorBidi" w:hint="eastAsia"/>
          <w:szCs w:val="20"/>
        </w:rPr>
        <w:t>图</w:t>
      </w:r>
      <w:r>
        <w:rPr>
          <w:rFonts w:asciiTheme="majorHAnsi" w:hAnsiTheme="majorHAnsi" w:cstheme="majorBidi" w:hint="eastAsia"/>
          <w:szCs w:val="20"/>
        </w:rPr>
        <w:t xml:space="preserve"> </w:t>
      </w:r>
      <w:r>
        <w:rPr>
          <w:rFonts w:asciiTheme="majorHAnsi" w:hAnsiTheme="majorHAnsi" w:cstheme="majorBidi" w:hint="eastAsia"/>
          <w:szCs w:val="20"/>
        </w:rPr>
        <w:fldChar w:fldCharType="begin"/>
      </w:r>
      <w:r>
        <w:rPr>
          <w:rFonts w:asciiTheme="majorHAnsi" w:hAnsiTheme="majorHAnsi" w:cstheme="majorBidi" w:hint="eastAsia"/>
          <w:szCs w:val="20"/>
        </w:rPr>
        <w:instrText xml:space="preserve"> SEQ </w:instrText>
      </w:r>
      <w:r>
        <w:rPr>
          <w:rFonts w:asciiTheme="majorHAnsi" w:hAnsiTheme="majorHAnsi" w:cstheme="majorBidi" w:hint="eastAsia"/>
          <w:szCs w:val="20"/>
        </w:rPr>
        <w:instrText>图</w:instrText>
      </w:r>
      <w:r>
        <w:rPr>
          <w:rFonts w:asciiTheme="majorHAnsi" w:hAnsiTheme="majorHAnsi" w:cstheme="majorBidi" w:hint="eastAsia"/>
          <w:szCs w:val="20"/>
        </w:rPr>
        <w:instrText xml:space="preserve"> \* ARABIC </w:instrText>
      </w:r>
      <w:r>
        <w:rPr>
          <w:rFonts w:asciiTheme="majorHAnsi" w:hAnsiTheme="majorHAnsi" w:cstheme="majorBidi" w:hint="eastAsia"/>
          <w:szCs w:val="20"/>
        </w:rPr>
        <w:fldChar w:fldCharType="separate"/>
      </w:r>
      <w:r>
        <w:rPr>
          <w:rFonts w:asciiTheme="majorHAnsi" w:hAnsiTheme="majorHAnsi" w:cstheme="majorBidi" w:hint="eastAsia"/>
          <w:szCs w:val="20"/>
        </w:rPr>
        <w:t>3</w:t>
      </w:r>
      <w:r>
        <w:rPr>
          <w:rFonts w:asciiTheme="majorHAnsi" w:hAnsiTheme="majorHAnsi" w:cstheme="majorBidi" w:hint="eastAsia"/>
          <w:szCs w:val="20"/>
        </w:rPr>
        <w:fldChar w:fldCharType="end"/>
      </w:r>
      <w:r>
        <w:rPr>
          <w:rFonts w:asciiTheme="majorHAnsi" w:hAnsiTheme="majorHAnsi" w:cstheme="majorBidi" w:hint="eastAsia"/>
          <w:szCs w:val="20"/>
        </w:rPr>
        <w:t xml:space="preserve"> </w:t>
      </w:r>
      <w:r>
        <w:rPr>
          <w:rFonts w:asciiTheme="majorHAnsi" w:hAnsiTheme="majorHAnsi" w:cstheme="majorBidi" w:hint="eastAsia"/>
          <w:szCs w:val="20"/>
        </w:rPr>
        <w:t>系统中部署的数据库</w:t>
      </w:r>
    </w:p>
    <w:p w:rsidR="00B70185" w:rsidRDefault="00000000">
      <w:pPr>
        <w:spacing w:line="300" w:lineRule="auto"/>
        <w:ind w:firstLineChars="200" w:firstLine="420"/>
        <w:rPr>
          <w:szCs w:val="21"/>
        </w:rPr>
      </w:pPr>
      <w:r>
        <w:rPr>
          <w:rFonts w:hint="eastAsia"/>
          <w:szCs w:val="21"/>
        </w:rPr>
        <w:t>（</w:t>
      </w:r>
      <w:r>
        <w:rPr>
          <w:rFonts w:hint="eastAsia"/>
          <w:szCs w:val="21"/>
        </w:rPr>
        <w:t>3</w:t>
      </w:r>
      <w:r>
        <w:rPr>
          <w:rFonts w:hint="eastAsia"/>
          <w:szCs w:val="21"/>
        </w:rPr>
        <w:t>）</w:t>
      </w:r>
      <w:r>
        <w:rPr>
          <w:szCs w:val="21"/>
        </w:rPr>
        <w:t>L</w:t>
      </w:r>
      <w:r>
        <w:rPr>
          <w:rFonts w:hint="eastAsia"/>
          <w:szCs w:val="21"/>
        </w:rPr>
        <w:t>3</w:t>
      </w:r>
      <w:r>
        <w:rPr>
          <w:rFonts w:hint="eastAsia"/>
          <w:szCs w:val="21"/>
        </w:rPr>
        <w:t>核心模型层</w:t>
      </w:r>
    </w:p>
    <w:p w:rsidR="00B70185" w:rsidRDefault="00000000">
      <w:pPr>
        <w:spacing w:line="300" w:lineRule="auto"/>
        <w:ind w:firstLineChars="200" w:firstLine="420"/>
        <w:rPr>
          <w:szCs w:val="21"/>
        </w:rPr>
      </w:pPr>
      <w:r>
        <w:rPr>
          <w:rFonts w:hint="eastAsia"/>
          <w:szCs w:val="21"/>
        </w:rPr>
        <w:t>这是</w:t>
      </w:r>
      <w:r>
        <w:rPr>
          <w:rFonts w:hint="eastAsia"/>
          <w:szCs w:val="21"/>
        </w:rPr>
        <w:t>LAWMASTER</w:t>
      </w:r>
      <w:r>
        <w:rPr>
          <w:rFonts w:hint="eastAsia"/>
          <w:szCs w:val="21"/>
        </w:rPr>
        <w:t>的技术大脑，由</w:t>
      </w:r>
      <w:proofErr w:type="spellStart"/>
      <w:r>
        <w:rPr>
          <w:rFonts w:hint="eastAsia"/>
          <w:szCs w:val="21"/>
        </w:rPr>
        <w:t>QueryRewriter</w:t>
      </w:r>
      <w:proofErr w:type="spellEnd"/>
      <w:r>
        <w:rPr>
          <w:rFonts w:hint="eastAsia"/>
          <w:szCs w:val="21"/>
        </w:rPr>
        <w:t>（意图重写模型）、</w:t>
      </w:r>
      <w:proofErr w:type="spellStart"/>
      <w:r>
        <w:rPr>
          <w:rFonts w:hint="eastAsia"/>
          <w:szCs w:val="21"/>
        </w:rPr>
        <w:t>HybridRetriever</w:t>
      </w:r>
      <w:proofErr w:type="spellEnd"/>
      <w:r>
        <w:rPr>
          <w:rFonts w:hint="eastAsia"/>
          <w:szCs w:val="21"/>
        </w:rPr>
        <w:t>（混合检索引擎）和</w:t>
      </w:r>
      <w:r>
        <w:rPr>
          <w:rFonts w:hint="eastAsia"/>
          <w:szCs w:val="21"/>
        </w:rPr>
        <w:t>Legal-LLM</w:t>
      </w:r>
      <w:r>
        <w:rPr>
          <w:rFonts w:hint="eastAsia"/>
          <w:szCs w:val="21"/>
        </w:rPr>
        <w:t>（法律生成模型）组成的流水线，协同完成从理解到生成的全过程。</w:t>
      </w:r>
    </w:p>
    <w:p w:rsidR="00B70185" w:rsidRDefault="00000000">
      <w:pPr>
        <w:spacing w:line="300" w:lineRule="auto"/>
        <w:ind w:firstLineChars="200" w:firstLine="420"/>
        <w:rPr>
          <w:szCs w:val="21"/>
        </w:rPr>
      </w:pPr>
      <w:r>
        <w:rPr>
          <w:rFonts w:hint="eastAsia"/>
          <w:szCs w:val="21"/>
        </w:rPr>
        <w:t>（</w:t>
      </w:r>
      <w:r>
        <w:rPr>
          <w:rFonts w:hint="eastAsia"/>
          <w:szCs w:val="21"/>
        </w:rPr>
        <w:t>4</w:t>
      </w:r>
      <w:r>
        <w:rPr>
          <w:rFonts w:hint="eastAsia"/>
          <w:szCs w:val="21"/>
        </w:rPr>
        <w:t>）</w:t>
      </w:r>
      <w:r>
        <w:rPr>
          <w:rFonts w:hint="eastAsia"/>
          <w:szCs w:val="21"/>
        </w:rPr>
        <w:t>L4</w:t>
      </w:r>
      <w:r>
        <w:rPr>
          <w:rFonts w:hint="eastAsia"/>
          <w:szCs w:val="21"/>
        </w:rPr>
        <w:t>业务应用层</w:t>
      </w:r>
    </w:p>
    <w:p w:rsidR="00B70185" w:rsidRDefault="00000000">
      <w:pPr>
        <w:spacing w:line="300" w:lineRule="auto"/>
        <w:ind w:firstLineChars="200" w:firstLine="420"/>
        <w:rPr>
          <w:szCs w:val="21"/>
        </w:rPr>
      </w:pPr>
      <w:r>
        <w:rPr>
          <w:rFonts w:hint="eastAsia"/>
          <w:szCs w:val="21"/>
        </w:rPr>
        <w:t>支持</w:t>
      </w:r>
      <w:r>
        <w:rPr>
          <w:rFonts w:hint="eastAsia"/>
          <w:szCs w:val="21"/>
        </w:rPr>
        <w:t>Web</w:t>
      </w:r>
      <w:r>
        <w:rPr>
          <w:rFonts w:hint="eastAsia"/>
          <w:szCs w:val="21"/>
        </w:rPr>
        <w:t>端、微信小程序及</w:t>
      </w:r>
      <w:r>
        <w:rPr>
          <w:rFonts w:hint="eastAsia"/>
          <w:szCs w:val="21"/>
        </w:rPr>
        <w:t>API</w:t>
      </w:r>
      <w:r>
        <w:rPr>
          <w:rFonts w:hint="eastAsia"/>
          <w:szCs w:val="21"/>
        </w:rPr>
        <w:t>接口的高并发访问，采用</w:t>
      </w:r>
      <w:r>
        <w:rPr>
          <w:rFonts w:hint="eastAsia"/>
          <w:szCs w:val="21"/>
        </w:rPr>
        <w:t>Kubernetes</w:t>
      </w:r>
      <w:r>
        <w:rPr>
          <w:rFonts w:hint="eastAsia"/>
          <w:szCs w:val="21"/>
        </w:rPr>
        <w:t>分布式服务网格，保障系统在万级用户并发下的稳定性。</w:t>
      </w:r>
    </w:p>
    <w:p w:rsidR="00B70185" w:rsidRDefault="00000000">
      <w:pPr>
        <w:pStyle w:val="3"/>
        <w:spacing w:before="0" w:after="0" w:line="300" w:lineRule="auto"/>
        <w:ind w:leftChars="200" w:left="420" w:rightChars="100" w:right="210"/>
        <w:rPr>
          <w:rFonts w:ascii="宋体" w:eastAsia="宋体" w:hAnsi="宋体" w:hint="eastAsia"/>
          <w:bCs/>
          <w:sz w:val="21"/>
          <w:szCs w:val="32"/>
        </w:rPr>
      </w:pPr>
      <w:bookmarkStart w:id="35" w:name="_Toc1563"/>
      <w:r>
        <w:rPr>
          <w:rFonts w:ascii="宋体" w:eastAsia="宋体" w:hAnsi="宋体" w:hint="eastAsia"/>
          <w:bCs/>
          <w:sz w:val="21"/>
          <w:szCs w:val="32"/>
        </w:rPr>
        <w:t>3.3.2关键技术创新</w:t>
      </w:r>
      <w:bookmarkEnd w:id="35"/>
      <w:r w:rsidR="00A30BA5" w:rsidRPr="00A30BA5">
        <w:rPr>
          <w:rFonts w:ascii="宋体" w:eastAsia="宋体" w:hAnsi="宋体" w:hint="eastAsia"/>
          <w:bCs/>
          <w:sz w:val="21"/>
          <w:szCs w:val="32"/>
          <w:highlight w:val="yellow"/>
        </w:rPr>
        <w:t>（需要技术部自己写，至少给我一个文档，我来吧语言组织组织）</w:t>
      </w:r>
    </w:p>
    <w:p w:rsidR="00B70185" w:rsidRDefault="00000000">
      <w:pPr>
        <w:spacing w:line="300" w:lineRule="auto"/>
        <w:ind w:firstLineChars="200" w:firstLine="420"/>
        <w:rPr>
          <w:szCs w:val="21"/>
        </w:rPr>
      </w:pPr>
      <w:r>
        <w:rPr>
          <w:rFonts w:hint="eastAsia"/>
          <w:szCs w:val="21"/>
        </w:rPr>
        <w:t>为了解决</w:t>
      </w:r>
      <w:r>
        <w:rPr>
          <w:szCs w:val="21"/>
        </w:rPr>
        <w:t>传统</w:t>
      </w:r>
      <w:r>
        <w:rPr>
          <w:szCs w:val="21"/>
        </w:rPr>
        <w:t>AI</w:t>
      </w:r>
      <w:r>
        <w:rPr>
          <w:rFonts w:hint="eastAsia"/>
          <w:szCs w:val="21"/>
        </w:rPr>
        <w:t>难以“将人们的大白话转换成法律术语”以及会“</w:t>
      </w:r>
      <w:r>
        <w:rPr>
          <w:szCs w:val="21"/>
        </w:rPr>
        <w:t>胡乱引用</w:t>
      </w:r>
      <w:r>
        <w:rPr>
          <w:rFonts w:hint="eastAsia"/>
          <w:szCs w:val="21"/>
        </w:rPr>
        <w:t>产生</w:t>
      </w:r>
      <w:r>
        <w:rPr>
          <w:szCs w:val="21"/>
        </w:rPr>
        <w:t>AI</w:t>
      </w:r>
      <w:r>
        <w:rPr>
          <w:rFonts w:hint="eastAsia"/>
          <w:szCs w:val="21"/>
        </w:rPr>
        <w:t>幻觉</w:t>
      </w:r>
      <w:r>
        <w:rPr>
          <w:szCs w:val="21"/>
        </w:rPr>
        <w:t>”</w:t>
      </w:r>
      <w:r>
        <w:rPr>
          <w:rFonts w:hint="eastAsia"/>
          <w:szCs w:val="21"/>
        </w:rPr>
        <w:t>等问题，</w:t>
      </w:r>
      <w:r>
        <w:rPr>
          <w:szCs w:val="21"/>
        </w:rPr>
        <w:t>我们独创</w:t>
      </w:r>
      <w:r>
        <w:rPr>
          <w:szCs w:val="21"/>
        </w:rPr>
        <w:t>“</w:t>
      </w:r>
      <w:r>
        <w:rPr>
          <w:szCs w:val="21"/>
        </w:rPr>
        <w:t>三模型协同</w:t>
      </w:r>
      <w:r>
        <w:rPr>
          <w:szCs w:val="21"/>
        </w:rPr>
        <w:t>”</w:t>
      </w:r>
      <w:r>
        <w:rPr>
          <w:rFonts w:hint="eastAsia"/>
          <w:szCs w:val="21"/>
        </w:rPr>
        <w:t>架构</w:t>
      </w:r>
      <w:r>
        <w:rPr>
          <w:szCs w:val="21"/>
        </w:rPr>
        <w:t>：</w:t>
      </w:r>
    </w:p>
    <w:p w:rsidR="00B70185" w:rsidRDefault="00000000">
      <w:pPr>
        <w:spacing w:line="300" w:lineRule="auto"/>
        <w:jc w:val="center"/>
        <w:rPr>
          <w:rFonts w:ascii="Calibri" w:hAnsi="Calibri"/>
          <w:sz w:val="24"/>
          <w:szCs w:val="32"/>
        </w:rPr>
      </w:pPr>
      <w:r>
        <w:rPr>
          <w:rFonts w:ascii="Calibri" w:hAnsi="Calibri"/>
          <w:noProof/>
          <w:sz w:val="24"/>
          <w:szCs w:val="32"/>
        </w:rPr>
        <w:lastRenderedPageBreak/>
        <w:drawing>
          <wp:inline distT="0" distB="0" distL="114300" distR="114300">
            <wp:extent cx="4400550" cy="1969135"/>
            <wp:effectExtent l="0" t="0" r="0" b="2540"/>
            <wp:docPr id="1" name="图片 1" descr="截屏2026-01-23 23.0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1-23 23.01.55"/>
                    <pic:cNvPicPr>
                      <a:picLocks noChangeAspect="1"/>
                    </pic:cNvPicPr>
                  </pic:nvPicPr>
                  <pic:blipFill>
                    <a:blip r:embed="rId13"/>
                    <a:stretch>
                      <a:fillRect/>
                    </a:stretch>
                  </pic:blipFill>
                  <pic:spPr>
                    <a:xfrm>
                      <a:off x="0" y="0"/>
                      <a:ext cx="4400550" cy="1969135"/>
                    </a:xfrm>
                    <a:prstGeom prst="rect">
                      <a:avLst/>
                    </a:prstGeom>
                  </pic:spPr>
                </pic:pic>
              </a:graphicData>
            </a:graphic>
          </wp:inline>
        </w:drawing>
      </w:r>
    </w:p>
    <w:p w:rsidR="00B70185" w:rsidRDefault="00000000">
      <w:pPr>
        <w:pStyle w:val="a3"/>
        <w:jc w:val="center"/>
        <w:rPr>
          <w:rFonts w:asciiTheme="majorHAnsi" w:hAnsiTheme="majorHAnsi" w:cstheme="majorBidi"/>
          <w:szCs w:val="20"/>
        </w:rPr>
      </w:pPr>
      <w:r>
        <w:rPr>
          <w:rFonts w:asciiTheme="majorHAnsi" w:hAnsiTheme="majorHAnsi" w:cstheme="majorBidi" w:hint="eastAsia"/>
          <w:szCs w:val="20"/>
        </w:rPr>
        <w:t>图</w:t>
      </w:r>
      <w:r>
        <w:rPr>
          <w:rFonts w:asciiTheme="majorHAnsi" w:hAnsiTheme="majorHAnsi" w:cstheme="majorBidi" w:hint="eastAsia"/>
          <w:szCs w:val="20"/>
        </w:rPr>
        <w:t xml:space="preserve"> </w:t>
      </w:r>
      <w:r>
        <w:rPr>
          <w:rFonts w:asciiTheme="majorHAnsi" w:hAnsiTheme="majorHAnsi" w:cstheme="majorBidi" w:hint="eastAsia"/>
          <w:szCs w:val="20"/>
        </w:rPr>
        <w:fldChar w:fldCharType="begin"/>
      </w:r>
      <w:r>
        <w:rPr>
          <w:rFonts w:asciiTheme="majorHAnsi" w:hAnsiTheme="majorHAnsi" w:cstheme="majorBidi" w:hint="eastAsia"/>
          <w:szCs w:val="20"/>
        </w:rPr>
        <w:instrText xml:space="preserve"> SEQ </w:instrText>
      </w:r>
      <w:r>
        <w:rPr>
          <w:rFonts w:asciiTheme="majorHAnsi" w:hAnsiTheme="majorHAnsi" w:cstheme="majorBidi" w:hint="eastAsia"/>
          <w:szCs w:val="20"/>
        </w:rPr>
        <w:instrText>图</w:instrText>
      </w:r>
      <w:r>
        <w:rPr>
          <w:rFonts w:asciiTheme="majorHAnsi" w:hAnsiTheme="majorHAnsi" w:cstheme="majorBidi" w:hint="eastAsia"/>
          <w:szCs w:val="20"/>
        </w:rPr>
        <w:instrText xml:space="preserve"> \* ARABIC </w:instrText>
      </w:r>
      <w:r>
        <w:rPr>
          <w:rFonts w:asciiTheme="majorHAnsi" w:hAnsiTheme="majorHAnsi" w:cstheme="majorBidi" w:hint="eastAsia"/>
          <w:szCs w:val="20"/>
        </w:rPr>
        <w:fldChar w:fldCharType="separate"/>
      </w:r>
      <w:r>
        <w:rPr>
          <w:rFonts w:asciiTheme="majorHAnsi" w:hAnsiTheme="majorHAnsi" w:cstheme="majorBidi" w:hint="eastAsia"/>
          <w:szCs w:val="20"/>
        </w:rPr>
        <w:t>4</w:t>
      </w:r>
      <w:r>
        <w:rPr>
          <w:rFonts w:asciiTheme="majorHAnsi" w:hAnsiTheme="majorHAnsi" w:cstheme="majorBidi" w:hint="eastAsia"/>
          <w:szCs w:val="20"/>
        </w:rPr>
        <w:fldChar w:fldCharType="end"/>
      </w:r>
      <w:r>
        <w:rPr>
          <w:rFonts w:asciiTheme="majorHAnsi" w:hAnsiTheme="majorHAnsi" w:cstheme="majorBidi" w:hint="eastAsia"/>
          <w:szCs w:val="20"/>
        </w:rPr>
        <w:t xml:space="preserve"> </w:t>
      </w:r>
      <w:r>
        <w:rPr>
          <w:rFonts w:asciiTheme="majorHAnsi" w:hAnsiTheme="majorHAnsi" w:cstheme="majorBidi" w:hint="eastAsia"/>
          <w:szCs w:val="20"/>
        </w:rPr>
        <w:t>三模型协同架构示意图</w:t>
      </w:r>
    </w:p>
    <w:p w:rsidR="00B70185" w:rsidRDefault="00000000">
      <w:pPr>
        <w:spacing w:line="300" w:lineRule="auto"/>
        <w:ind w:firstLineChars="200" w:firstLine="420"/>
        <w:rPr>
          <w:szCs w:val="21"/>
        </w:rPr>
      </w:pPr>
      <w:r>
        <w:rPr>
          <w:rFonts w:hint="eastAsia"/>
          <w:szCs w:val="21"/>
        </w:rPr>
        <w:t>（</w:t>
      </w:r>
      <w:r>
        <w:rPr>
          <w:rFonts w:hint="eastAsia"/>
          <w:szCs w:val="21"/>
        </w:rPr>
        <w:t>1</w:t>
      </w:r>
      <w:r>
        <w:rPr>
          <w:rFonts w:hint="eastAsia"/>
          <w:szCs w:val="21"/>
        </w:rPr>
        <w:t>）</w:t>
      </w:r>
      <w:r>
        <w:rPr>
          <w:szCs w:val="21"/>
        </w:rPr>
        <w:t>查询重写模型</w:t>
      </w:r>
    </w:p>
    <w:p w:rsidR="00B70185" w:rsidRDefault="00000000">
      <w:pPr>
        <w:spacing w:line="300" w:lineRule="auto"/>
        <w:ind w:firstLineChars="200" w:firstLine="420"/>
        <w:rPr>
          <w:szCs w:val="21"/>
        </w:rPr>
      </w:pPr>
      <w:r>
        <w:rPr>
          <w:rFonts w:hint="eastAsia"/>
          <w:szCs w:val="21"/>
        </w:rPr>
        <w:t>基于</w:t>
      </w:r>
      <w:r>
        <w:rPr>
          <w:rFonts w:hint="eastAsia"/>
          <w:szCs w:val="21"/>
        </w:rPr>
        <w:t>DeepSeek-1.5B</w:t>
      </w:r>
      <w:r>
        <w:rPr>
          <w:rFonts w:hint="eastAsia"/>
          <w:szCs w:val="21"/>
        </w:rPr>
        <w:t>模型进行了</w:t>
      </w:r>
      <w:proofErr w:type="spellStart"/>
      <w:r>
        <w:rPr>
          <w:rFonts w:hint="eastAsia"/>
          <w:szCs w:val="21"/>
        </w:rPr>
        <w:t>LoRA</w:t>
      </w:r>
      <w:proofErr w:type="spellEnd"/>
      <w:r>
        <w:rPr>
          <w:rFonts w:hint="eastAsia"/>
          <w:szCs w:val="21"/>
        </w:rPr>
        <w:t>微调。它能够将用户的口语（如“老板跑路”）重写为结构化的法律检索语言（如“劳动争议</w:t>
      </w:r>
      <w:r>
        <w:rPr>
          <w:rFonts w:hint="eastAsia"/>
          <w:szCs w:val="21"/>
        </w:rPr>
        <w:t>-</w:t>
      </w:r>
      <w:r>
        <w:rPr>
          <w:rFonts w:hint="eastAsia"/>
          <w:szCs w:val="21"/>
        </w:rPr>
        <w:t>欠薪</w:t>
      </w:r>
      <w:r>
        <w:rPr>
          <w:rFonts w:hint="eastAsia"/>
          <w:szCs w:val="21"/>
        </w:rPr>
        <w:t>-</w:t>
      </w:r>
      <w:r>
        <w:rPr>
          <w:rFonts w:hint="eastAsia"/>
          <w:szCs w:val="21"/>
        </w:rPr>
        <w:t>主体失联”），解决了语义鸿沟。</w:t>
      </w:r>
    </w:p>
    <w:p w:rsidR="00B70185" w:rsidRDefault="00000000">
      <w:pPr>
        <w:spacing w:line="300" w:lineRule="auto"/>
        <w:ind w:firstLineChars="200" w:firstLine="420"/>
        <w:rPr>
          <w:szCs w:val="21"/>
        </w:rPr>
      </w:pPr>
      <w:r>
        <w:rPr>
          <w:rFonts w:hint="eastAsia"/>
          <w:szCs w:val="21"/>
        </w:rPr>
        <w:t>（</w:t>
      </w:r>
      <w:r>
        <w:rPr>
          <w:rFonts w:hint="eastAsia"/>
          <w:szCs w:val="21"/>
        </w:rPr>
        <w:t>2</w:t>
      </w:r>
      <w:r>
        <w:rPr>
          <w:rFonts w:hint="eastAsia"/>
          <w:szCs w:val="21"/>
        </w:rPr>
        <w:t>）</w:t>
      </w:r>
      <w:r>
        <w:rPr>
          <w:szCs w:val="21"/>
        </w:rPr>
        <w:t>混合检索</w:t>
      </w:r>
      <w:r>
        <w:rPr>
          <w:rFonts w:hint="eastAsia"/>
          <w:szCs w:val="21"/>
        </w:rPr>
        <w:t>模型</w:t>
      </w:r>
    </w:p>
    <w:p w:rsidR="00B70185" w:rsidRDefault="00000000">
      <w:pPr>
        <w:spacing w:line="300" w:lineRule="auto"/>
        <w:ind w:firstLineChars="200" w:firstLine="420"/>
        <w:rPr>
          <w:szCs w:val="21"/>
          <w:highlight w:val="yellow"/>
        </w:rPr>
      </w:pPr>
      <w:r>
        <w:rPr>
          <w:rFonts w:hint="eastAsia"/>
          <w:szCs w:val="21"/>
        </w:rPr>
        <w:t>创新性地融合了关键词检索</w:t>
      </w:r>
      <w:r>
        <w:rPr>
          <w:rFonts w:hint="eastAsia"/>
          <w:szCs w:val="21"/>
        </w:rPr>
        <w:t>(BM25)</w:t>
      </w:r>
      <w:r>
        <w:rPr>
          <w:rFonts w:hint="eastAsia"/>
          <w:szCs w:val="21"/>
        </w:rPr>
        <w:t>与向量语义检索，且结合</w:t>
      </w:r>
      <w:proofErr w:type="spellStart"/>
      <w:r>
        <w:rPr>
          <w:rFonts w:hint="eastAsia"/>
          <w:szCs w:val="21"/>
        </w:rPr>
        <w:t>HyDE</w:t>
      </w:r>
      <w:proofErr w:type="spellEnd"/>
      <w:r>
        <w:rPr>
          <w:rFonts w:hint="eastAsia"/>
          <w:szCs w:val="21"/>
        </w:rPr>
        <w:t>（假设性文档嵌入）技术，使得模型既能精准匹配具体的法条编号，又能理解案情的相似度，确保召回的法律依据准确率达到</w:t>
      </w:r>
      <w:r>
        <w:rPr>
          <w:rFonts w:hint="eastAsia"/>
          <w:szCs w:val="21"/>
        </w:rPr>
        <w:t>95%</w:t>
      </w:r>
      <w:r>
        <w:rPr>
          <w:rFonts w:hint="eastAsia"/>
          <w:szCs w:val="21"/>
        </w:rPr>
        <w:t>以上。</w:t>
      </w:r>
      <w:r>
        <w:rPr>
          <w:rFonts w:hint="eastAsia"/>
          <w:szCs w:val="21"/>
          <w:highlight w:val="yellow"/>
        </w:rPr>
        <w:t>（表达上有点奇怪，此外</w:t>
      </w:r>
      <w:r>
        <w:rPr>
          <w:rFonts w:hint="eastAsia"/>
          <w:szCs w:val="21"/>
          <w:highlight w:val="yellow"/>
        </w:rPr>
        <w:t>95%</w:t>
      </w:r>
      <w:r>
        <w:rPr>
          <w:rFonts w:hint="eastAsia"/>
          <w:szCs w:val="21"/>
          <w:highlight w:val="yellow"/>
        </w:rPr>
        <w:t>这个数据是真的吗）</w:t>
      </w:r>
    </w:p>
    <w:p w:rsidR="00B70185" w:rsidRDefault="00000000">
      <w:pPr>
        <w:spacing w:line="300" w:lineRule="auto"/>
        <w:ind w:firstLineChars="200" w:firstLine="420"/>
        <w:rPr>
          <w:szCs w:val="21"/>
        </w:rPr>
      </w:pPr>
      <w:r>
        <w:rPr>
          <w:rFonts w:hint="eastAsia"/>
          <w:szCs w:val="21"/>
        </w:rPr>
        <w:t>（</w:t>
      </w:r>
      <w:r>
        <w:rPr>
          <w:rFonts w:hint="eastAsia"/>
          <w:szCs w:val="21"/>
        </w:rPr>
        <w:t>3</w:t>
      </w:r>
      <w:r>
        <w:rPr>
          <w:rFonts w:hint="eastAsia"/>
          <w:szCs w:val="21"/>
        </w:rPr>
        <w:t>）答案生成模型</w:t>
      </w:r>
    </w:p>
    <w:p w:rsidR="00B70185" w:rsidRDefault="00000000">
      <w:pPr>
        <w:spacing w:line="300" w:lineRule="auto"/>
        <w:ind w:firstLineChars="200" w:firstLine="420"/>
      </w:pPr>
      <w:r>
        <w:rPr>
          <w:rFonts w:hint="eastAsia"/>
          <w:szCs w:val="21"/>
        </w:rPr>
        <w:t>基于检索到的真实法条（</w:t>
      </w:r>
      <w:r>
        <w:rPr>
          <w:rFonts w:hint="eastAsia"/>
          <w:szCs w:val="21"/>
        </w:rPr>
        <w:t>RAG</w:t>
      </w:r>
      <w:r>
        <w:rPr>
          <w:rFonts w:hint="eastAsia"/>
          <w:szCs w:val="21"/>
        </w:rPr>
        <w:t>技术），采用双阶段生成策略：先生成严谨的法律分析，再转化为可执行的保姆级行动建议（如包含了具体部门、部门电话、维权话术以及文书起草等步骤的维权指引），最后强制在回答中索引法条来源以及高匹配度的法律案件。</w:t>
      </w:r>
    </w:p>
    <w:p w:rsidR="00B70185" w:rsidRDefault="00000000">
      <w:pPr>
        <w:pStyle w:val="2"/>
        <w:tabs>
          <w:tab w:val="center" w:pos="4153"/>
        </w:tabs>
        <w:spacing w:line="300" w:lineRule="auto"/>
        <w:ind w:right="210"/>
        <w:rPr>
          <w:rFonts w:ascii="宋体" w:eastAsia="宋体" w:hAnsi="宋体"/>
          <w:sz w:val="21"/>
          <w:szCs w:val="21"/>
        </w:rPr>
      </w:pPr>
      <w:bookmarkStart w:id="36" w:name="_Toc22108"/>
      <w:r>
        <w:rPr>
          <w:rFonts w:ascii="宋体" w:eastAsia="宋体" w:hAnsi="宋体" w:hint="eastAsia"/>
          <w:sz w:val="21"/>
          <w:szCs w:val="21"/>
        </w:rPr>
        <w:t>3.4 产品迭代与研发规划</w:t>
      </w:r>
      <w:bookmarkEnd w:id="36"/>
    </w:p>
    <w:p w:rsidR="00B70185" w:rsidRDefault="00000000">
      <w:pPr>
        <w:spacing w:line="300" w:lineRule="auto"/>
        <w:ind w:firstLineChars="200" w:firstLine="420"/>
        <w:rPr>
          <w:szCs w:val="21"/>
        </w:rPr>
      </w:pPr>
      <w:r>
        <w:rPr>
          <w:szCs w:val="21"/>
        </w:rPr>
        <w:t>本项目计划于</w:t>
      </w:r>
      <w:r>
        <w:rPr>
          <w:szCs w:val="21"/>
        </w:rPr>
        <w:t>2025</w:t>
      </w:r>
      <w:r>
        <w:rPr>
          <w:szCs w:val="21"/>
        </w:rPr>
        <w:t>年</w:t>
      </w:r>
      <w:r>
        <w:rPr>
          <w:szCs w:val="21"/>
        </w:rPr>
        <w:t>8</w:t>
      </w:r>
      <w:r>
        <w:rPr>
          <w:szCs w:val="21"/>
        </w:rPr>
        <w:t>月启动，历时</w:t>
      </w:r>
      <w:r>
        <w:rPr>
          <w:rFonts w:hint="eastAsia"/>
          <w:szCs w:val="21"/>
        </w:rPr>
        <w:t>七</w:t>
      </w:r>
      <w:r>
        <w:rPr>
          <w:szCs w:val="21"/>
        </w:rPr>
        <w:t>个月。截至</w:t>
      </w:r>
      <w:r>
        <w:rPr>
          <w:szCs w:val="21"/>
        </w:rPr>
        <w:t>2026</w:t>
      </w:r>
      <w:r>
        <w:rPr>
          <w:szCs w:val="21"/>
        </w:rPr>
        <w:t>年</w:t>
      </w:r>
      <w:r>
        <w:rPr>
          <w:szCs w:val="21"/>
        </w:rPr>
        <w:t>2</w:t>
      </w:r>
      <w:r>
        <w:rPr>
          <w:szCs w:val="21"/>
        </w:rPr>
        <w:t>月底，</w:t>
      </w:r>
      <w:r>
        <w:rPr>
          <w:rFonts w:hint="eastAsia"/>
          <w:szCs w:val="21"/>
        </w:rPr>
        <w:t>我们</w:t>
      </w:r>
      <w:r>
        <w:rPr>
          <w:szCs w:val="21"/>
        </w:rPr>
        <w:t>已顺利完成</w:t>
      </w:r>
      <w:r>
        <w:rPr>
          <w:szCs w:val="21"/>
        </w:rPr>
        <w:t>LAWMASTERV1.0</w:t>
      </w:r>
      <w:r>
        <w:rPr>
          <w:szCs w:val="21"/>
        </w:rPr>
        <w:t>核心版本的迭代。目前，我们正处于从</w:t>
      </w:r>
      <w:r>
        <w:rPr>
          <w:szCs w:val="21"/>
        </w:rPr>
        <w:t>“</w:t>
      </w:r>
      <w:r>
        <w:rPr>
          <w:szCs w:val="21"/>
        </w:rPr>
        <w:t>单体智能</w:t>
      </w:r>
      <w:r>
        <w:rPr>
          <w:szCs w:val="21"/>
        </w:rPr>
        <w:t>”</w:t>
      </w:r>
      <w:r>
        <w:rPr>
          <w:szCs w:val="21"/>
        </w:rPr>
        <w:t>向</w:t>
      </w:r>
      <w:r>
        <w:rPr>
          <w:szCs w:val="21"/>
        </w:rPr>
        <w:t>“</w:t>
      </w:r>
      <w:r>
        <w:rPr>
          <w:szCs w:val="21"/>
        </w:rPr>
        <w:t>多模态协作智能</w:t>
      </w:r>
      <w:r>
        <w:rPr>
          <w:szCs w:val="21"/>
        </w:rPr>
        <w:t>”</w:t>
      </w:r>
      <w:r>
        <w:rPr>
          <w:szCs w:val="21"/>
        </w:rPr>
        <w:t>演进的关键窗口期。具体里程碑如下：</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37" w:name="_Toc17241"/>
      <w:r>
        <w:rPr>
          <w:rFonts w:ascii="宋体" w:eastAsia="宋体" w:hAnsi="宋体" w:hint="eastAsia"/>
          <w:bCs/>
          <w:sz w:val="21"/>
          <w:szCs w:val="32"/>
        </w:rPr>
        <w:t>3.4.1阶段一：核心架构搭建与V1.0交付（已完成）</w:t>
      </w:r>
      <w:bookmarkEnd w:id="37"/>
    </w:p>
    <w:p w:rsidR="00B70185" w:rsidRDefault="00000000">
      <w:pPr>
        <w:spacing w:line="300" w:lineRule="auto"/>
        <w:ind w:firstLineChars="200" w:firstLine="420"/>
        <w:rPr>
          <w:szCs w:val="21"/>
        </w:rPr>
      </w:pPr>
      <w:r>
        <w:rPr>
          <w:szCs w:val="21"/>
        </w:rPr>
        <w:t>在此阶段，我们确立了</w:t>
      </w:r>
      <w:r>
        <w:rPr>
          <w:szCs w:val="21"/>
        </w:rPr>
        <w:t>“</w:t>
      </w:r>
      <w:r>
        <w:rPr>
          <w:szCs w:val="21"/>
        </w:rPr>
        <w:t>动态骨架</w:t>
      </w:r>
      <w:r>
        <w:rPr>
          <w:szCs w:val="21"/>
        </w:rPr>
        <w:t>+Action</w:t>
      </w:r>
      <w:r>
        <w:rPr>
          <w:szCs w:val="21"/>
        </w:rPr>
        <w:t>体系</w:t>
      </w:r>
      <w:r>
        <w:rPr>
          <w:szCs w:val="21"/>
        </w:rPr>
        <w:t>”</w:t>
      </w:r>
      <w:r>
        <w:rPr>
          <w:szCs w:val="21"/>
        </w:rPr>
        <w:t>的技术底座，并完成了核心功能的落地验证</w:t>
      </w:r>
      <w:r>
        <w:rPr>
          <w:rFonts w:hint="eastAsia"/>
          <w:szCs w:val="21"/>
        </w:rPr>
        <w:t>。</w:t>
      </w:r>
    </w:p>
    <w:p w:rsidR="00B70185" w:rsidRDefault="00000000">
      <w:pPr>
        <w:spacing w:line="300" w:lineRule="auto"/>
        <w:ind w:firstLineChars="200" w:firstLine="420"/>
        <w:rPr>
          <w:szCs w:val="21"/>
        </w:rPr>
      </w:pPr>
      <w:r>
        <w:rPr>
          <w:rFonts w:hint="eastAsia"/>
          <w:szCs w:val="21"/>
        </w:rPr>
        <w:t>（</w:t>
      </w:r>
      <w:r>
        <w:rPr>
          <w:rFonts w:hint="eastAsia"/>
          <w:szCs w:val="21"/>
        </w:rPr>
        <w:t>1</w:t>
      </w:r>
      <w:r>
        <w:rPr>
          <w:rFonts w:hint="eastAsia"/>
          <w:szCs w:val="21"/>
        </w:rPr>
        <w:t>）成功部署动态骨架智能体与</w:t>
      </w:r>
      <w:r>
        <w:rPr>
          <w:rFonts w:hint="eastAsia"/>
          <w:szCs w:val="21"/>
        </w:rPr>
        <w:t>Action</w:t>
      </w:r>
      <w:r>
        <w:rPr>
          <w:rFonts w:hint="eastAsia"/>
          <w:szCs w:val="21"/>
        </w:rPr>
        <w:t>（动作）执行体系，实现了从机械问答到自主推理的跨越。</w:t>
      </w:r>
    </w:p>
    <w:p w:rsidR="00B70185" w:rsidRDefault="00000000">
      <w:pPr>
        <w:spacing w:line="300" w:lineRule="auto"/>
        <w:ind w:firstLineChars="200" w:firstLine="420"/>
        <w:rPr>
          <w:szCs w:val="21"/>
        </w:rPr>
      </w:pPr>
      <w:r>
        <w:rPr>
          <w:rFonts w:hint="eastAsia"/>
          <w:szCs w:val="21"/>
        </w:rPr>
        <w:t>（</w:t>
      </w:r>
      <w:r>
        <w:rPr>
          <w:rFonts w:hint="eastAsia"/>
          <w:szCs w:val="21"/>
        </w:rPr>
        <w:t>2</w:t>
      </w:r>
      <w:r>
        <w:rPr>
          <w:rFonts w:hint="eastAsia"/>
          <w:szCs w:val="21"/>
        </w:rPr>
        <w:t>）构建了“法条库</w:t>
      </w:r>
      <w:r>
        <w:rPr>
          <w:rFonts w:hint="eastAsia"/>
          <w:szCs w:val="21"/>
        </w:rPr>
        <w:t>+</w:t>
      </w:r>
      <w:r>
        <w:rPr>
          <w:rFonts w:hint="eastAsia"/>
          <w:szCs w:val="21"/>
        </w:rPr>
        <w:t>案例库”双通道</w:t>
      </w:r>
      <w:r>
        <w:rPr>
          <w:rFonts w:hint="eastAsia"/>
          <w:szCs w:val="21"/>
        </w:rPr>
        <w:t>RAG</w:t>
      </w:r>
      <w:r>
        <w:rPr>
          <w:rFonts w:hint="eastAsia"/>
          <w:szCs w:val="21"/>
        </w:rPr>
        <w:t>检索，并接入可选网页搜索，确保信息的时效性与广度。</w:t>
      </w:r>
    </w:p>
    <w:p w:rsidR="00B70185" w:rsidRDefault="00000000">
      <w:pPr>
        <w:spacing w:line="300" w:lineRule="auto"/>
        <w:ind w:firstLineChars="200" w:firstLine="420"/>
        <w:rPr>
          <w:szCs w:val="21"/>
        </w:rPr>
      </w:pPr>
      <w:r>
        <w:rPr>
          <w:rFonts w:hint="eastAsia"/>
          <w:szCs w:val="21"/>
        </w:rPr>
        <w:t>（</w:t>
      </w:r>
      <w:r>
        <w:rPr>
          <w:rFonts w:hint="eastAsia"/>
          <w:szCs w:val="21"/>
        </w:rPr>
        <w:t>3</w:t>
      </w:r>
      <w:r>
        <w:rPr>
          <w:rFonts w:hint="eastAsia"/>
          <w:szCs w:val="21"/>
        </w:rPr>
        <w:t>）上线结构化回答与引用对齐功能，解决了</w:t>
      </w:r>
      <w:r>
        <w:rPr>
          <w:rFonts w:hint="eastAsia"/>
          <w:szCs w:val="21"/>
        </w:rPr>
        <w:t>AI</w:t>
      </w:r>
      <w:r>
        <w:rPr>
          <w:rFonts w:hint="eastAsia"/>
          <w:szCs w:val="21"/>
        </w:rPr>
        <w:t>幻觉问题</w:t>
      </w:r>
    </w:p>
    <w:p w:rsidR="00B70185" w:rsidRDefault="00000000">
      <w:pPr>
        <w:spacing w:line="300" w:lineRule="auto"/>
        <w:ind w:firstLineChars="200" w:firstLine="420"/>
        <w:rPr>
          <w:szCs w:val="21"/>
        </w:rPr>
      </w:pPr>
      <w:r>
        <w:rPr>
          <w:rFonts w:hint="eastAsia"/>
          <w:szCs w:val="21"/>
        </w:rPr>
        <w:t>（</w:t>
      </w:r>
      <w:r>
        <w:rPr>
          <w:rFonts w:hint="eastAsia"/>
          <w:szCs w:val="21"/>
        </w:rPr>
        <w:t>4</w:t>
      </w:r>
      <w:r>
        <w:rPr>
          <w:rFonts w:hint="eastAsia"/>
          <w:szCs w:val="21"/>
        </w:rPr>
        <w:t>）前端实现思维导图展示与检索详情折叠</w:t>
      </w:r>
      <w:r>
        <w:rPr>
          <w:rFonts w:hint="eastAsia"/>
          <w:szCs w:val="21"/>
        </w:rPr>
        <w:t>UI</w:t>
      </w:r>
      <w:r>
        <w:rPr>
          <w:rFonts w:hint="eastAsia"/>
          <w:szCs w:val="21"/>
        </w:rPr>
        <w:t>，提升用户阅读效率。</w:t>
      </w:r>
    </w:p>
    <w:p w:rsidR="00B70185" w:rsidRDefault="00000000">
      <w:pPr>
        <w:jc w:val="center"/>
        <w:rPr>
          <w:szCs w:val="21"/>
        </w:rPr>
      </w:pPr>
      <w:r>
        <w:rPr>
          <w:rFonts w:hint="eastAsia"/>
          <w:szCs w:val="21"/>
        </w:rPr>
        <w:t>（</w:t>
      </w:r>
      <w:r>
        <w:rPr>
          <w:rFonts w:hint="eastAsia"/>
          <w:szCs w:val="21"/>
        </w:rPr>
        <w:t>5</w:t>
      </w:r>
      <w:r>
        <w:rPr>
          <w:rFonts w:hint="eastAsia"/>
          <w:szCs w:val="21"/>
        </w:rPr>
        <w:t>）实现了标准法律文书的自动生成与</w:t>
      </w:r>
      <w:r>
        <w:rPr>
          <w:rFonts w:hint="eastAsia"/>
          <w:szCs w:val="21"/>
        </w:rPr>
        <w:t>PDF</w:t>
      </w:r>
      <w:r>
        <w:rPr>
          <w:rFonts w:hint="eastAsia"/>
          <w:szCs w:val="21"/>
        </w:rPr>
        <w:t>导出，打通了服务闭环。</w:t>
      </w:r>
    </w:p>
    <w:p w:rsidR="00B70185" w:rsidRDefault="00000000">
      <w:pPr>
        <w:jc w:val="center"/>
        <w:rPr>
          <w:rFonts w:ascii="Times New Roman" w:hAnsi="Times New Roman" w:cs="Times New Roman"/>
          <w:sz w:val="22"/>
        </w:rPr>
      </w:pPr>
      <w:r>
        <w:rPr>
          <w:rFonts w:ascii="Times New Roman" w:hAnsi="Times New Roman" w:cs="Times New Roman"/>
          <w:noProof/>
          <w:sz w:val="22"/>
        </w:rPr>
        <w:lastRenderedPageBreak/>
        <w:drawing>
          <wp:inline distT="0" distB="0" distL="114300" distR="114300">
            <wp:extent cx="5266690" cy="1699895"/>
            <wp:effectExtent l="0" t="0" r="16510" b="1905"/>
            <wp:docPr id="3" name="图片 3" descr="截屏2026-01-24 10.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6-01-24 10.17.41"/>
                    <pic:cNvPicPr>
                      <a:picLocks noChangeAspect="1"/>
                    </pic:cNvPicPr>
                  </pic:nvPicPr>
                  <pic:blipFill>
                    <a:blip r:embed="rId14"/>
                    <a:srcRect b="6333"/>
                    <a:stretch>
                      <a:fillRect/>
                    </a:stretch>
                  </pic:blipFill>
                  <pic:spPr>
                    <a:xfrm>
                      <a:off x="0" y="0"/>
                      <a:ext cx="5266690" cy="1699895"/>
                    </a:xfrm>
                    <a:prstGeom prst="rect">
                      <a:avLst/>
                    </a:prstGeom>
                  </pic:spPr>
                </pic:pic>
              </a:graphicData>
            </a:graphic>
          </wp:inline>
        </w:drawing>
      </w:r>
    </w:p>
    <w:p w:rsidR="00B70185" w:rsidRDefault="00000000">
      <w:pPr>
        <w:pStyle w:val="a3"/>
        <w:jc w:val="center"/>
        <w:rPr>
          <w:rFonts w:asciiTheme="majorHAnsi" w:hAnsiTheme="majorHAnsi" w:cstheme="majorBidi"/>
          <w:szCs w:val="20"/>
        </w:rPr>
      </w:pPr>
      <w:r>
        <w:rPr>
          <w:rFonts w:asciiTheme="majorHAnsi" w:hAnsiTheme="majorHAnsi" w:cstheme="majorBidi" w:hint="eastAsia"/>
          <w:szCs w:val="20"/>
        </w:rPr>
        <w:t>图</w:t>
      </w:r>
      <w:r>
        <w:rPr>
          <w:rFonts w:asciiTheme="majorHAnsi" w:hAnsiTheme="majorHAnsi" w:cstheme="majorBidi" w:hint="eastAsia"/>
          <w:szCs w:val="20"/>
        </w:rPr>
        <w:t xml:space="preserve"> </w:t>
      </w:r>
      <w:r>
        <w:rPr>
          <w:rFonts w:asciiTheme="majorHAnsi" w:hAnsiTheme="majorHAnsi" w:cstheme="majorBidi" w:hint="eastAsia"/>
          <w:szCs w:val="20"/>
        </w:rPr>
        <w:fldChar w:fldCharType="begin"/>
      </w:r>
      <w:r>
        <w:rPr>
          <w:rFonts w:asciiTheme="majorHAnsi" w:hAnsiTheme="majorHAnsi" w:cstheme="majorBidi" w:hint="eastAsia"/>
          <w:szCs w:val="20"/>
        </w:rPr>
        <w:instrText xml:space="preserve"> SEQ </w:instrText>
      </w:r>
      <w:r>
        <w:rPr>
          <w:rFonts w:asciiTheme="majorHAnsi" w:hAnsiTheme="majorHAnsi" w:cstheme="majorBidi" w:hint="eastAsia"/>
          <w:szCs w:val="20"/>
        </w:rPr>
        <w:instrText>图</w:instrText>
      </w:r>
      <w:r>
        <w:rPr>
          <w:rFonts w:asciiTheme="majorHAnsi" w:hAnsiTheme="majorHAnsi" w:cstheme="majorBidi" w:hint="eastAsia"/>
          <w:szCs w:val="20"/>
        </w:rPr>
        <w:instrText xml:space="preserve"> \* ARABIC </w:instrText>
      </w:r>
      <w:r>
        <w:rPr>
          <w:rFonts w:asciiTheme="majorHAnsi" w:hAnsiTheme="majorHAnsi" w:cstheme="majorBidi" w:hint="eastAsia"/>
          <w:szCs w:val="20"/>
        </w:rPr>
        <w:fldChar w:fldCharType="separate"/>
      </w:r>
      <w:r>
        <w:rPr>
          <w:rFonts w:asciiTheme="majorHAnsi" w:hAnsiTheme="majorHAnsi" w:cstheme="majorBidi" w:hint="eastAsia"/>
          <w:szCs w:val="20"/>
        </w:rPr>
        <w:t>5</w:t>
      </w:r>
      <w:r>
        <w:rPr>
          <w:rFonts w:asciiTheme="majorHAnsi" w:hAnsiTheme="majorHAnsi" w:cstheme="majorBidi" w:hint="eastAsia"/>
          <w:szCs w:val="20"/>
        </w:rPr>
        <w:fldChar w:fldCharType="end"/>
      </w:r>
      <w:r>
        <w:rPr>
          <w:rFonts w:asciiTheme="majorHAnsi" w:hAnsiTheme="majorHAnsi" w:cstheme="majorBidi" w:hint="eastAsia"/>
          <w:szCs w:val="20"/>
        </w:rPr>
        <w:t xml:space="preserve"> V1.0</w:t>
      </w:r>
      <w:r>
        <w:rPr>
          <w:rFonts w:asciiTheme="majorHAnsi" w:hAnsiTheme="majorHAnsi" w:cstheme="majorBidi" w:hint="eastAsia"/>
          <w:szCs w:val="20"/>
        </w:rPr>
        <w:t>实施时间线</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38" w:name="_Toc1942"/>
      <w:r>
        <w:rPr>
          <w:rFonts w:ascii="宋体" w:eastAsia="宋体" w:hAnsi="宋体" w:hint="eastAsia"/>
          <w:bCs/>
          <w:sz w:val="21"/>
          <w:szCs w:val="32"/>
        </w:rPr>
        <w:t>3.4.2阶段二：系统深度迭代（V1.1 - V1.5 近期规划）</w:t>
      </w:r>
      <w:bookmarkEnd w:id="38"/>
    </w:p>
    <w:p w:rsidR="00B70185" w:rsidRDefault="00000000">
      <w:pPr>
        <w:spacing w:line="300" w:lineRule="auto"/>
        <w:ind w:firstLineChars="200" w:firstLine="420"/>
        <w:rPr>
          <w:szCs w:val="21"/>
        </w:rPr>
      </w:pPr>
      <w:r>
        <w:rPr>
          <w:rFonts w:hint="eastAsia"/>
          <w:szCs w:val="21"/>
        </w:rPr>
        <w:t>未来</w:t>
      </w:r>
      <w:r>
        <w:rPr>
          <w:rFonts w:hint="eastAsia"/>
          <w:szCs w:val="21"/>
        </w:rPr>
        <w:t>3</w:t>
      </w:r>
      <w:r>
        <w:rPr>
          <w:rFonts w:hint="eastAsia"/>
          <w:szCs w:val="21"/>
        </w:rPr>
        <w:t>个月，我们将按周迭代，重点攻克“精准度”与“</w:t>
      </w:r>
      <w:r>
        <w:rPr>
          <w:rFonts w:hint="eastAsia"/>
          <w:szCs w:val="21"/>
        </w:rPr>
        <w:t>B</w:t>
      </w:r>
      <w:r>
        <w:rPr>
          <w:rFonts w:hint="eastAsia"/>
          <w:szCs w:val="21"/>
        </w:rPr>
        <w:t>端适配”两大高地。</w:t>
      </w:r>
    </w:p>
    <w:p w:rsidR="00B70185" w:rsidRDefault="00000000">
      <w:pPr>
        <w:spacing w:line="300" w:lineRule="auto"/>
        <w:ind w:firstLineChars="200" w:firstLine="420"/>
        <w:rPr>
          <w:szCs w:val="21"/>
        </w:rPr>
      </w:pPr>
      <w:r>
        <w:rPr>
          <w:rFonts w:hint="eastAsia"/>
          <w:szCs w:val="21"/>
        </w:rPr>
        <w:t>（</w:t>
      </w:r>
      <w:r>
        <w:rPr>
          <w:rFonts w:hint="eastAsia"/>
          <w:szCs w:val="21"/>
        </w:rPr>
        <w:t>1</w:t>
      </w:r>
      <w:r>
        <w:rPr>
          <w:rFonts w:hint="eastAsia"/>
          <w:szCs w:val="21"/>
        </w:rPr>
        <w:t>）上线检索质量自评系统，引入“检索不足→自动改写关键词→再检索”的自我修正回路。</w:t>
      </w:r>
    </w:p>
    <w:p w:rsidR="00B70185" w:rsidRDefault="00000000">
      <w:pPr>
        <w:spacing w:line="300" w:lineRule="auto"/>
        <w:ind w:firstLineChars="200" w:firstLine="420"/>
        <w:rPr>
          <w:szCs w:val="21"/>
        </w:rPr>
      </w:pPr>
      <w:r>
        <w:rPr>
          <w:rFonts w:hint="eastAsia"/>
          <w:szCs w:val="21"/>
        </w:rPr>
        <w:t>（</w:t>
      </w:r>
      <w:r>
        <w:rPr>
          <w:rFonts w:hint="eastAsia"/>
          <w:szCs w:val="21"/>
        </w:rPr>
        <w:t>2</w:t>
      </w:r>
      <w:r>
        <w:rPr>
          <w:rFonts w:hint="eastAsia"/>
          <w:szCs w:val="21"/>
        </w:rPr>
        <w:t>）知识库扩容，引入地方规范、行业标准、企业制度及校园规章，覆盖更多垂直场景。</w:t>
      </w:r>
    </w:p>
    <w:p w:rsidR="00B70185" w:rsidRDefault="00000000">
      <w:pPr>
        <w:spacing w:line="300" w:lineRule="auto"/>
        <w:ind w:firstLineChars="200" w:firstLine="420"/>
        <w:rPr>
          <w:szCs w:val="21"/>
        </w:rPr>
      </w:pPr>
      <w:r>
        <w:rPr>
          <w:rFonts w:hint="eastAsia"/>
          <w:szCs w:val="21"/>
        </w:rPr>
        <w:t>（</w:t>
      </w:r>
      <w:r>
        <w:rPr>
          <w:rFonts w:hint="eastAsia"/>
          <w:szCs w:val="21"/>
        </w:rPr>
        <w:t>3</w:t>
      </w:r>
      <w:r>
        <w:rPr>
          <w:rFonts w:hint="eastAsia"/>
          <w:szCs w:val="21"/>
        </w:rPr>
        <w:t>）向量数据库由</w:t>
      </w:r>
      <w:r>
        <w:rPr>
          <w:rFonts w:hint="eastAsia"/>
          <w:szCs w:val="21"/>
        </w:rPr>
        <w:t>FAISS</w:t>
      </w:r>
      <w:r>
        <w:rPr>
          <w:rFonts w:hint="eastAsia"/>
          <w:szCs w:val="21"/>
        </w:rPr>
        <w:t>迁移至</w:t>
      </w:r>
      <w:r>
        <w:rPr>
          <w:rFonts w:hint="eastAsia"/>
          <w:szCs w:val="21"/>
        </w:rPr>
        <w:t>Milvus/</w:t>
      </w:r>
      <w:proofErr w:type="spellStart"/>
      <w:r>
        <w:rPr>
          <w:rFonts w:hint="eastAsia"/>
          <w:szCs w:val="21"/>
        </w:rPr>
        <w:t>PGVector</w:t>
      </w:r>
      <w:proofErr w:type="spellEnd"/>
      <w:r>
        <w:rPr>
          <w:rFonts w:hint="eastAsia"/>
          <w:szCs w:val="21"/>
        </w:rPr>
        <w:t>，支持亿级数据规模</w:t>
      </w:r>
    </w:p>
    <w:p w:rsidR="00B70185" w:rsidRDefault="00000000">
      <w:pPr>
        <w:spacing w:line="300" w:lineRule="auto"/>
        <w:ind w:firstLineChars="200" w:firstLine="420"/>
        <w:rPr>
          <w:szCs w:val="21"/>
        </w:rPr>
      </w:pPr>
      <w:r>
        <w:rPr>
          <w:rFonts w:hint="eastAsia"/>
          <w:szCs w:val="21"/>
        </w:rPr>
        <w:t>（</w:t>
      </w:r>
      <w:r>
        <w:rPr>
          <w:rFonts w:hint="eastAsia"/>
          <w:szCs w:val="21"/>
        </w:rPr>
        <w:t>4</w:t>
      </w:r>
      <w:r>
        <w:rPr>
          <w:rFonts w:hint="eastAsia"/>
          <w:szCs w:val="21"/>
        </w:rPr>
        <w:t>）实现端侧私有化部署与权限隔离，满足</w:t>
      </w:r>
      <w:r>
        <w:rPr>
          <w:rFonts w:hint="eastAsia"/>
          <w:szCs w:val="21"/>
        </w:rPr>
        <w:t>B</w:t>
      </w:r>
      <w:r>
        <w:rPr>
          <w:rFonts w:hint="eastAsia"/>
          <w:szCs w:val="21"/>
        </w:rPr>
        <w:t>端客户的数据安全需求。</w:t>
      </w:r>
    </w:p>
    <w:p w:rsidR="00B70185" w:rsidRDefault="00000000">
      <w:pPr>
        <w:spacing w:line="300" w:lineRule="auto"/>
        <w:ind w:firstLineChars="200" w:firstLine="420"/>
        <w:rPr>
          <w:szCs w:val="21"/>
        </w:rPr>
      </w:pPr>
      <w:r>
        <w:rPr>
          <w:rFonts w:hint="eastAsia"/>
          <w:szCs w:val="21"/>
        </w:rPr>
        <w:t>（</w:t>
      </w:r>
      <w:r>
        <w:rPr>
          <w:rFonts w:hint="eastAsia"/>
          <w:szCs w:val="21"/>
        </w:rPr>
        <w:t>5</w:t>
      </w:r>
      <w:r>
        <w:rPr>
          <w:rFonts w:hint="eastAsia"/>
          <w:szCs w:val="21"/>
        </w:rPr>
        <w:t>）增强网页搜索，采用多线程抓取</w:t>
      </w:r>
      <w:r>
        <w:rPr>
          <w:rFonts w:hint="eastAsia"/>
          <w:szCs w:val="21"/>
        </w:rPr>
        <w:t>+</w:t>
      </w:r>
      <w:r>
        <w:rPr>
          <w:rFonts w:hint="eastAsia"/>
          <w:szCs w:val="21"/>
        </w:rPr>
        <w:t>反爬策略</w:t>
      </w:r>
      <w:r>
        <w:rPr>
          <w:rFonts w:hint="eastAsia"/>
          <w:szCs w:val="21"/>
        </w:rPr>
        <w:t>+</w:t>
      </w:r>
      <w:r>
        <w:rPr>
          <w:rFonts w:hint="eastAsia"/>
          <w:szCs w:val="21"/>
        </w:rPr>
        <w:t>多源交叉验证，确保外部信息源的可靠性。</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39" w:name="_Toc27634"/>
      <w:r>
        <w:rPr>
          <w:rFonts w:ascii="宋体" w:eastAsia="宋体" w:hAnsi="宋体" w:hint="eastAsia"/>
          <w:bCs/>
          <w:sz w:val="21"/>
          <w:szCs w:val="32"/>
        </w:rPr>
        <w:t>3.4.3阶段三：实地测试与市场化验证</w:t>
      </w:r>
      <w:bookmarkEnd w:id="39"/>
    </w:p>
    <w:p w:rsidR="00B70185" w:rsidRDefault="00000000">
      <w:pPr>
        <w:spacing w:line="300" w:lineRule="auto"/>
        <w:ind w:firstLineChars="200" w:firstLine="420"/>
        <w:rPr>
          <w:szCs w:val="21"/>
        </w:rPr>
      </w:pPr>
      <w:r>
        <w:rPr>
          <w:szCs w:val="21"/>
        </w:rPr>
        <w:t>我们将于</w:t>
      </w:r>
      <w:r>
        <w:rPr>
          <w:szCs w:val="21"/>
        </w:rPr>
        <w:t>2026</w:t>
      </w:r>
      <w:r>
        <w:rPr>
          <w:szCs w:val="21"/>
        </w:rPr>
        <w:t>年</w:t>
      </w:r>
      <w:r>
        <w:rPr>
          <w:rFonts w:hint="eastAsia"/>
          <w:szCs w:val="21"/>
        </w:rPr>
        <w:t>3</w:t>
      </w:r>
      <w:r>
        <w:rPr>
          <w:szCs w:val="21"/>
        </w:rPr>
        <w:t>月开启为期半年的</w:t>
      </w:r>
      <w:r>
        <w:rPr>
          <w:rFonts w:hint="eastAsia"/>
          <w:szCs w:val="21"/>
        </w:rPr>
        <w:t>线下测试</w:t>
      </w:r>
      <w:r>
        <w:rPr>
          <w:szCs w:val="21"/>
        </w:rPr>
        <w:t>阶段，与知名法律服务平台律咚咚</w:t>
      </w:r>
      <w:r>
        <w:rPr>
          <w:rFonts w:hint="eastAsia"/>
          <w:szCs w:val="21"/>
        </w:rPr>
        <w:t>、社区街道办事处司法部门等</w:t>
      </w:r>
      <w:r>
        <w:rPr>
          <w:szCs w:val="21"/>
        </w:rPr>
        <w:t>展开合作。通过试点，</w:t>
      </w:r>
      <w:r>
        <w:rPr>
          <w:szCs w:val="21"/>
        </w:rPr>
        <w:t>LAWMASTER</w:t>
      </w:r>
      <w:r>
        <w:rPr>
          <w:szCs w:val="21"/>
        </w:rPr>
        <w:t>将接入真实的高频咨询场景进行</w:t>
      </w:r>
      <w:r>
        <w:rPr>
          <w:szCs w:val="21"/>
        </w:rPr>
        <w:t>A/B</w:t>
      </w:r>
      <w:r>
        <w:rPr>
          <w:szCs w:val="21"/>
        </w:rPr>
        <w:t>测试与灰度发布，利用真实用户反馈驱动</w:t>
      </w:r>
      <w:r>
        <w:rPr>
          <w:szCs w:val="21"/>
        </w:rPr>
        <w:t>RLHF</w:t>
      </w:r>
      <w:r>
        <w:rPr>
          <w:szCs w:val="21"/>
        </w:rPr>
        <w:t>（人类反馈强化学习）训练，解决复杂案情中的边界问题，完成从</w:t>
      </w:r>
      <w:r>
        <w:rPr>
          <w:szCs w:val="21"/>
        </w:rPr>
        <w:t>“</w:t>
      </w:r>
      <w:r>
        <w:rPr>
          <w:szCs w:val="21"/>
        </w:rPr>
        <w:t>模型</w:t>
      </w:r>
      <w:r>
        <w:rPr>
          <w:szCs w:val="21"/>
        </w:rPr>
        <w:t>”</w:t>
      </w:r>
      <w:r>
        <w:rPr>
          <w:szCs w:val="21"/>
        </w:rPr>
        <w:t>到</w:t>
      </w:r>
      <w:r>
        <w:rPr>
          <w:szCs w:val="21"/>
        </w:rPr>
        <w:t>“</w:t>
      </w:r>
      <w:r>
        <w:rPr>
          <w:szCs w:val="21"/>
        </w:rPr>
        <w:t>市场级产品</w:t>
      </w:r>
      <w:r>
        <w:rPr>
          <w:szCs w:val="21"/>
        </w:rPr>
        <w:t>”</w:t>
      </w:r>
      <w:r>
        <w:rPr>
          <w:szCs w:val="21"/>
        </w:rPr>
        <w:t>的关键跨越。</w:t>
      </w:r>
    </w:p>
    <w:p w:rsidR="00B70185" w:rsidRDefault="00000000">
      <w:pPr>
        <w:pStyle w:val="2"/>
        <w:tabs>
          <w:tab w:val="center" w:pos="4153"/>
        </w:tabs>
        <w:spacing w:line="300" w:lineRule="auto"/>
        <w:ind w:right="210"/>
        <w:rPr>
          <w:rFonts w:ascii="宋体" w:eastAsia="宋体" w:hAnsi="宋体"/>
          <w:sz w:val="21"/>
          <w:szCs w:val="21"/>
        </w:rPr>
      </w:pPr>
      <w:bookmarkStart w:id="40" w:name="_Toc29593"/>
      <w:r>
        <w:rPr>
          <w:rFonts w:ascii="宋体" w:eastAsia="宋体" w:hAnsi="宋体" w:hint="eastAsia"/>
          <w:sz w:val="21"/>
          <w:szCs w:val="21"/>
        </w:rPr>
        <w:t>3.5 核心竞争优势对比</w:t>
      </w:r>
      <w:bookmarkEnd w:id="40"/>
    </w:p>
    <w:tbl>
      <w:tblPr>
        <w:tblStyle w:val="aa"/>
        <w:tblW w:w="5000" w:type="pct"/>
        <w:tblLook w:val="04A0" w:firstRow="1" w:lastRow="0" w:firstColumn="1" w:lastColumn="0" w:noHBand="0" w:noVBand="1"/>
      </w:tblPr>
      <w:tblGrid>
        <w:gridCol w:w="1010"/>
        <w:gridCol w:w="3660"/>
        <w:gridCol w:w="3852"/>
      </w:tblGrid>
      <w:tr w:rsidR="00B70185">
        <w:trPr>
          <w:trHeight w:val="397"/>
        </w:trPr>
        <w:tc>
          <w:tcPr>
            <w:tcW w:w="592" w:type="pct"/>
            <w:tcBorders>
              <w:top w:val="single" w:sz="4" w:space="0" w:color="4874CB"/>
              <w:left w:val="single" w:sz="4" w:space="0" w:color="4874CB"/>
              <w:bottom w:val="single" w:sz="4" w:space="0" w:color="4874CB"/>
              <w:right w:val="single" w:sz="4" w:space="0" w:color="4874CB"/>
              <w:tl2br w:val="nil"/>
            </w:tcBorders>
            <w:shd w:val="clear" w:color="auto" w:fill="4874CB" w:themeFill="accent1"/>
            <w:vAlign w:val="center"/>
          </w:tcPr>
          <w:p w:rsidR="00B70185" w:rsidRDefault="00000000">
            <w:pPr>
              <w:jc w:val="center"/>
              <w:rPr>
                <w:bCs/>
                <w:color w:val="FFFFFF" w:themeColor="background1"/>
                <w:sz w:val="22"/>
                <w:szCs w:val="28"/>
              </w:rPr>
            </w:pPr>
            <w:r>
              <w:rPr>
                <w:rFonts w:hint="eastAsia"/>
                <w:bCs/>
                <w:color w:val="FFFFFF" w:themeColor="background1"/>
                <w:sz w:val="22"/>
                <w:szCs w:val="28"/>
              </w:rPr>
              <w:t>维度</w:t>
            </w:r>
          </w:p>
        </w:tc>
        <w:tc>
          <w:tcPr>
            <w:tcW w:w="2147" w:type="pct"/>
            <w:tcBorders>
              <w:top w:val="single" w:sz="4" w:space="0" w:color="4874CB"/>
              <w:left w:val="single" w:sz="4" w:space="0" w:color="4874CB"/>
              <w:bottom w:val="single" w:sz="4" w:space="0" w:color="4874CB"/>
              <w:right w:val="single" w:sz="4" w:space="0" w:color="4874CB"/>
            </w:tcBorders>
            <w:shd w:val="clear" w:color="auto" w:fill="4874CB" w:themeFill="accent1"/>
            <w:vAlign w:val="center"/>
          </w:tcPr>
          <w:p w:rsidR="00B70185" w:rsidRDefault="00000000">
            <w:pPr>
              <w:jc w:val="center"/>
              <w:rPr>
                <w:color w:val="FFFFFF" w:themeColor="background1"/>
                <w:sz w:val="22"/>
                <w:szCs w:val="28"/>
              </w:rPr>
            </w:pPr>
            <w:r>
              <w:rPr>
                <w:color w:val="FFFFFF" w:themeColor="background1"/>
                <w:sz w:val="22"/>
                <w:szCs w:val="28"/>
              </w:rPr>
              <w:t>LAW MASTER</w:t>
            </w:r>
          </w:p>
        </w:tc>
        <w:tc>
          <w:tcPr>
            <w:tcW w:w="2260" w:type="pct"/>
            <w:tcBorders>
              <w:top w:val="single" w:sz="4" w:space="0" w:color="4874CB"/>
              <w:left w:val="single" w:sz="4" w:space="0" w:color="4874CB"/>
              <w:bottom w:val="single" w:sz="4" w:space="0" w:color="4874CB"/>
              <w:right w:val="single" w:sz="4" w:space="0" w:color="4874CB"/>
            </w:tcBorders>
            <w:shd w:val="clear" w:color="auto" w:fill="4874CB" w:themeFill="accent1"/>
            <w:vAlign w:val="center"/>
          </w:tcPr>
          <w:p w:rsidR="00B70185" w:rsidRDefault="00000000">
            <w:pPr>
              <w:jc w:val="center"/>
              <w:rPr>
                <w:color w:val="FFFFFF" w:themeColor="background1"/>
                <w:sz w:val="22"/>
                <w:szCs w:val="28"/>
              </w:rPr>
            </w:pPr>
            <w:r>
              <w:rPr>
                <w:rFonts w:hint="eastAsia"/>
                <w:color w:val="FFFFFF" w:themeColor="background1"/>
                <w:sz w:val="22"/>
                <w:szCs w:val="28"/>
              </w:rPr>
              <w:t>通用大模型</w:t>
            </w:r>
          </w:p>
        </w:tc>
      </w:tr>
      <w:tr w:rsidR="00B70185">
        <w:tc>
          <w:tcPr>
            <w:tcW w:w="592" w:type="pct"/>
            <w:tcBorders>
              <w:top w:val="single" w:sz="4" w:space="0" w:color="4874CB"/>
              <w:left w:val="single" w:sz="4" w:space="0" w:color="4874CB"/>
              <w:bottom w:val="single" w:sz="4" w:space="0" w:color="4874CB"/>
              <w:right w:val="single" w:sz="4" w:space="0" w:color="4874CB"/>
            </w:tcBorders>
            <w:shd w:val="clear" w:color="auto" w:fill="B5C7EA" w:themeFill="accent1" w:themeFillTint="66"/>
            <w:vAlign w:val="center"/>
          </w:tcPr>
          <w:p w:rsidR="00B70185" w:rsidRDefault="00000000">
            <w:pPr>
              <w:jc w:val="center"/>
              <w:rPr>
                <w:bCs/>
                <w:color w:val="000000"/>
                <w:sz w:val="22"/>
                <w:szCs w:val="28"/>
              </w:rPr>
            </w:pPr>
            <w:r>
              <w:rPr>
                <w:rFonts w:hint="eastAsia"/>
                <w:bCs/>
                <w:color w:val="000000"/>
                <w:sz w:val="22"/>
                <w:szCs w:val="28"/>
              </w:rPr>
              <w:t>技术壁垒</w:t>
            </w:r>
          </w:p>
        </w:tc>
        <w:tc>
          <w:tcPr>
            <w:tcW w:w="2147" w:type="pct"/>
            <w:tcBorders>
              <w:top w:val="single" w:sz="4" w:space="0" w:color="4874CB"/>
              <w:left w:val="single" w:sz="4" w:space="0" w:color="4874CB"/>
              <w:bottom w:val="single" w:sz="4" w:space="0" w:color="4874CB"/>
              <w:right w:val="single" w:sz="4" w:space="0" w:color="4874CB"/>
            </w:tcBorders>
            <w:shd w:val="clear" w:color="auto" w:fill="FFFFFF"/>
            <w:vAlign w:val="center"/>
          </w:tcPr>
          <w:p w:rsidR="00B70185" w:rsidRDefault="00000000">
            <w:pPr>
              <w:jc w:val="center"/>
              <w:rPr>
                <w:color w:val="000000"/>
                <w:sz w:val="20"/>
                <w:szCs w:val="22"/>
              </w:rPr>
            </w:pPr>
            <w:r>
              <w:rPr>
                <w:color w:val="000000"/>
                <w:sz w:val="20"/>
                <w:szCs w:val="22"/>
              </w:rPr>
              <w:t>基于华为昇腾</w:t>
            </w:r>
            <w:r>
              <w:rPr>
                <w:color w:val="000000"/>
                <w:sz w:val="20"/>
                <w:szCs w:val="22"/>
              </w:rPr>
              <w:t xml:space="preserve"> 910B + </w:t>
            </w:r>
            <w:r>
              <w:rPr>
                <w:color w:val="000000"/>
                <w:sz w:val="20"/>
                <w:szCs w:val="22"/>
              </w:rPr>
              <w:t>鲲鹏</w:t>
            </w:r>
            <w:r>
              <w:rPr>
                <w:color w:val="000000"/>
                <w:sz w:val="20"/>
                <w:szCs w:val="22"/>
              </w:rPr>
              <w:t xml:space="preserve"> 920 + </w:t>
            </w:r>
            <w:proofErr w:type="spellStart"/>
            <w:r>
              <w:rPr>
                <w:color w:val="000000"/>
                <w:sz w:val="20"/>
                <w:szCs w:val="22"/>
              </w:rPr>
              <w:t>OpenGauss</w:t>
            </w:r>
            <w:proofErr w:type="spellEnd"/>
            <w:r>
              <w:rPr>
                <w:color w:val="000000"/>
                <w:sz w:val="20"/>
                <w:szCs w:val="22"/>
              </w:rPr>
              <w:t xml:space="preserve"> </w:t>
            </w:r>
            <w:r>
              <w:rPr>
                <w:color w:val="000000"/>
                <w:sz w:val="20"/>
                <w:szCs w:val="22"/>
              </w:rPr>
              <w:t>构建，符合国家数据安全战略</w:t>
            </w:r>
          </w:p>
        </w:tc>
        <w:tc>
          <w:tcPr>
            <w:tcW w:w="2260" w:type="pct"/>
            <w:tcBorders>
              <w:top w:val="single" w:sz="4" w:space="0" w:color="4874CB"/>
              <w:left w:val="single" w:sz="4" w:space="0" w:color="4874CB"/>
              <w:bottom w:val="single" w:sz="4" w:space="0" w:color="4874CB"/>
              <w:right w:val="single" w:sz="4" w:space="0" w:color="4874CB"/>
            </w:tcBorders>
            <w:shd w:val="clear" w:color="auto" w:fill="FFFFFF"/>
            <w:vAlign w:val="center"/>
          </w:tcPr>
          <w:p w:rsidR="00B70185" w:rsidRDefault="00000000">
            <w:pPr>
              <w:jc w:val="center"/>
              <w:rPr>
                <w:color w:val="000000"/>
                <w:sz w:val="20"/>
                <w:szCs w:val="22"/>
              </w:rPr>
            </w:pPr>
            <w:r>
              <w:rPr>
                <w:color w:val="000000"/>
                <w:sz w:val="20"/>
                <w:szCs w:val="22"/>
              </w:rPr>
              <w:t>存在数据风险</w:t>
            </w:r>
          </w:p>
        </w:tc>
      </w:tr>
      <w:tr w:rsidR="00B70185">
        <w:tc>
          <w:tcPr>
            <w:tcW w:w="592" w:type="pct"/>
            <w:tcBorders>
              <w:top w:val="single" w:sz="4" w:space="0" w:color="4874CB"/>
              <w:left w:val="single" w:sz="4" w:space="0" w:color="4874CB"/>
              <w:bottom w:val="single" w:sz="4" w:space="0" w:color="4874CB"/>
              <w:right w:val="single" w:sz="4" w:space="0" w:color="4874CB"/>
            </w:tcBorders>
            <w:shd w:val="clear" w:color="auto" w:fill="B5C7EA" w:themeFill="accent1" w:themeFillTint="66"/>
            <w:vAlign w:val="center"/>
          </w:tcPr>
          <w:p w:rsidR="00B70185" w:rsidRDefault="00000000">
            <w:pPr>
              <w:pStyle w:val="Compact"/>
              <w:jc w:val="center"/>
              <w:rPr>
                <w:bCs/>
                <w:color w:val="000000"/>
                <w:sz w:val="22"/>
                <w:szCs w:val="28"/>
              </w:rPr>
            </w:pPr>
            <w:r>
              <w:rPr>
                <w:rFonts w:hint="eastAsia"/>
                <w:bCs/>
                <w:color w:val="000000"/>
                <w:sz w:val="22"/>
                <w:szCs w:val="28"/>
              </w:rPr>
              <w:t>工作流</w:t>
            </w:r>
          </w:p>
        </w:tc>
        <w:tc>
          <w:tcPr>
            <w:tcW w:w="2147" w:type="pct"/>
            <w:tcBorders>
              <w:top w:val="single" w:sz="4" w:space="0" w:color="4874CB"/>
              <w:left w:val="single" w:sz="4" w:space="0" w:color="4874CB"/>
              <w:bottom w:val="single" w:sz="4" w:space="0" w:color="4874CB"/>
              <w:right w:val="single" w:sz="4" w:space="0" w:color="4874CB"/>
            </w:tcBorders>
            <w:shd w:val="clear" w:color="auto" w:fill="FFFFFF"/>
            <w:vAlign w:val="center"/>
          </w:tcPr>
          <w:p w:rsidR="00B70185" w:rsidRDefault="00000000">
            <w:pPr>
              <w:pStyle w:val="Compact"/>
              <w:jc w:val="center"/>
              <w:rPr>
                <w:color w:val="000000"/>
                <w:sz w:val="20"/>
                <w:szCs w:val="22"/>
              </w:rPr>
            </w:pPr>
            <w:r>
              <w:rPr>
                <w:rFonts w:hint="eastAsia"/>
                <w:b/>
                <w:bCs/>
              </w:rPr>
              <w:t>动态骨架智能体，</w:t>
            </w:r>
            <w:r>
              <w:rPr>
                <w:rFonts w:hint="eastAsia"/>
              </w:rPr>
              <w:t>按问题生成定制流程，无需用户具备法律常识</w:t>
            </w:r>
          </w:p>
        </w:tc>
        <w:tc>
          <w:tcPr>
            <w:tcW w:w="2260" w:type="pct"/>
            <w:tcBorders>
              <w:top w:val="single" w:sz="4" w:space="0" w:color="4874CB"/>
              <w:left w:val="single" w:sz="4" w:space="0" w:color="4874CB"/>
              <w:bottom w:val="single" w:sz="4" w:space="0" w:color="4874CB"/>
              <w:right w:val="single" w:sz="4" w:space="0" w:color="4874CB"/>
            </w:tcBorders>
            <w:shd w:val="clear" w:color="auto" w:fill="FFFFFF"/>
            <w:vAlign w:val="center"/>
          </w:tcPr>
          <w:p w:rsidR="00B70185" w:rsidRDefault="00000000">
            <w:pPr>
              <w:pStyle w:val="Compact"/>
              <w:jc w:val="center"/>
              <w:rPr>
                <w:color w:val="000000"/>
                <w:sz w:val="20"/>
                <w:szCs w:val="22"/>
              </w:rPr>
            </w:pPr>
            <w:r>
              <w:rPr>
                <w:rFonts w:hint="eastAsia"/>
                <w:b/>
                <w:bCs/>
              </w:rPr>
              <w:t>固定提示驱动</w:t>
            </w:r>
            <w:r>
              <w:rPr>
                <w:rFonts w:hint="eastAsia"/>
              </w:rPr>
              <w:t>，工作流程依赖用户</w:t>
            </w:r>
            <w:r>
              <w:rPr>
                <w:rFonts w:hint="eastAsia"/>
                <w:b/>
                <w:bCs/>
              </w:rPr>
              <w:t>会</w:t>
            </w:r>
            <w:r>
              <w:rPr>
                <w:rFonts w:hint="eastAsia"/>
              </w:rPr>
              <w:t>问、</w:t>
            </w:r>
            <w:r>
              <w:rPr>
                <w:rFonts w:hint="eastAsia"/>
                <w:b/>
                <w:bCs/>
              </w:rPr>
              <w:t>会</w:t>
            </w:r>
            <w:r>
              <w:rPr>
                <w:rFonts w:hint="eastAsia"/>
              </w:rPr>
              <w:t>追问，用户若是不会问，</w:t>
            </w:r>
            <w:r>
              <w:t>AI</w:t>
            </w:r>
            <w:r>
              <w:rPr>
                <w:rFonts w:hint="eastAsia"/>
              </w:rPr>
              <w:t>就答不好</w:t>
            </w:r>
          </w:p>
        </w:tc>
      </w:tr>
      <w:tr w:rsidR="00B70185">
        <w:trPr>
          <w:trHeight w:val="959"/>
        </w:trPr>
        <w:tc>
          <w:tcPr>
            <w:tcW w:w="592" w:type="pct"/>
            <w:tcBorders>
              <w:top w:val="single" w:sz="4" w:space="0" w:color="4874CB"/>
              <w:left w:val="single" w:sz="4" w:space="0" w:color="4874CB"/>
              <w:bottom w:val="single" w:sz="4" w:space="0" w:color="4874CB"/>
              <w:right w:val="single" w:sz="4" w:space="0" w:color="4874CB"/>
            </w:tcBorders>
            <w:shd w:val="clear" w:color="auto" w:fill="B5C7EA" w:themeFill="accent1" w:themeFillTint="66"/>
            <w:vAlign w:val="center"/>
          </w:tcPr>
          <w:p w:rsidR="00B70185" w:rsidRDefault="00000000">
            <w:pPr>
              <w:jc w:val="center"/>
              <w:rPr>
                <w:bCs/>
                <w:color w:val="000000"/>
                <w:sz w:val="22"/>
                <w:szCs w:val="28"/>
              </w:rPr>
            </w:pPr>
            <w:r>
              <w:rPr>
                <w:rFonts w:hint="eastAsia"/>
                <w:bCs/>
                <w:color w:val="000000"/>
                <w:sz w:val="22"/>
                <w:szCs w:val="28"/>
              </w:rPr>
              <w:t>精确度</w:t>
            </w:r>
          </w:p>
        </w:tc>
        <w:tc>
          <w:tcPr>
            <w:tcW w:w="2147" w:type="pct"/>
            <w:tcBorders>
              <w:top w:val="single" w:sz="4" w:space="0" w:color="4874CB"/>
              <w:left w:val="single" w:sz="4" w:space="0" w:color="4874CB"/>
              <w:bottom w:val="single" w:sz="4" w:space="0" w:color="4874CB"/>
              <w:right w:val="single" w:sz="4" w:space="0" w:color="4874CB"/>
            </w:tcBorders>
            <w:shd w:val="clear" w:color="auto" w:fill="FFFFFF"/>
            <w:vAlign w:val="center"/>
          </w:tcPr>
          <w:p w:rsidR="00B70185" w:rsidRDefault="00000000">
            <w:pPr>
              <w:jc w:val="center"/>
              <w:rPr>
                <w:color w:val="000000"/>
                <w:sz w:val="20"/>
                <w:szCs w:val="22"/>
              </w:rPr>
            </w:pPr>
            <w:r>
              <w:rPr>
                <w:color w:val="000000"/>
                <w:sz w:val="20"/>
                <w:szCs w:val="22"/>
              </w:rPr>
              <w:t xml:space="preserve">RAG </w:t>
            </w:r>
            <w:r>
              <w:rPr>
                <w:color w:val="000000"/>
                <w:sz w:val="20"/>
                <w:szCs w:val="22"/>
              </w:rPr>
              <w:t>检索增强</w:t>
            </w:r>
            <w:r>
              <w:rPr>
                <w:color w:val="000000"/>
                <w:sz w:val="20"/>
                <w:szCs w:val="22"/>
              </w:rPr>
              <w:t xml:space="preserve"> + </w:t>
            </w:r>
            <w:r>
              <w:rPr>
                <w:color w:val="000000"/>
                <w:sz w:val="20"/>
                <w:szCs w:val="22"/>
              </w:rPr>
              <w:t>实时法条</w:t>
            </w:r>
            <w:r>
              <w:rPr>
                <w:rFonts w:hint="eastAsia"/>
                <w:color w:val="000000"/>
                <w:sz w:val="20"/>
                <w:szCs w:val="22"/>
              </w:rPr>
              <w:t>：</w:t>
            </w:r>
          </w:p>
          <w:p w:rsidR="00B70185" w:rsidRDefault="00000000">
            <w:pPr>
              <w:jc w:val="center"/>
              <w:rPr>
                <w:color w:val="000000"/>
                <w:sz w:val="20"/>
                <w:szCs w:val="22"/>
              </w:rPr>
            </w:pPr>
            <w:r>
              <w:rPr>
                <w:color w:val="000000"/>
                <w:sz w:val="20"/>
                <w:szCs w:val="22"/>
              </w:rPr>
              <w:t>每句建议都有明确的法条出处和</w:t>
            </w:r>
            <w:r>
              <w:rPr>
                <w:rFonts w:hint="eastAsia"/>
                <w:color w:val="000000"/>
                <w:sz w:val="20"/>
                <w:szCs w:val="22"/>
              </w:rPr>
              <w:t>高匹配度案例的</w:t>
            </w:r>
            <w:r>
              <w:rPr>
                <w:color w:val="000000"/>
                <w:sz w:val="20"/>
                <w:szCs w:val="22"/>
              </w:rPr>
              <w:t>支撑，杜绝</w:t>
            </w:r>
            <w:r>
              <w:rPr>
                <w:color w:val="000000"/>
                <w:sz w:val="20"/>
                <w:szCs w:val="22"/>
              </w:rPr>
              <w:t>“AI</w:t>
            </w:r>
            <w:r>
              <w:rPr>
                <w:color w:val="000000"/>
                <w:sz w:val="20"/>
                <w:szCs w:val="22"/>
              </w:rPr>
              <w:t>幻觉</w:t>
            </w:r>
            <w:r>
              <w:rPr>
                <w:color w:val="000000"/>
                <w:sz w:val="20"/>
                <w:szCs w:val="22"/>
              </w:rPr>
              <w:t>”</w:t>
            </w:r>
          </w:p>
        </w:tc>
        <w:tc>
          <w:tcPr>
            <w:tcW w:w="2260" w:type="pct"/>
            <w:tcBorders>
              <w:top w:val="single" w:sz="4" w:space="0" w:color="4874CB"/>
              <w:left w:val="single" w:sz="4" w:space="0" w:color="4874CB"/>
              <w:bottom w:val="single" w:sz="4" w:space="0" w:color="4874CB"/>
              <w:right w:val="single" w:sz="4" w:space="0" w:color="4874CB"/>
            </w:tcBorders>
            <w:shd w:val="clear" w:color="auto" w:fill="FFFFFF"/>
            <w:vAlign w:val="center"/>
          </w:tcPr>
          <w:p w:rsidR="00B70185" w:rsidRDefault="00000000">
            <w:pPr>
              <w:jc w:val="center"/>
              <w:rPr>
                <w:color w:val="000000"/>
                <w:sz w:val="20"/>
                <w:szCs w:val="22"/>
              </w:rPr>
            </w:pPr>
            <w:r>
              <w:rPr>
                <w:color w:val="000000"/>
                <w:sz w:val="20"/>
                <w:szCs w:val="22"/>
              </w:rPr>
              <w:t>通用语料训练</w:t>
            </w:r>
            <w:r>
              <w:rPr>
                <w:rFonts w:hint="eastAsia"/>
                <w:color w:val="000000"/>
                <w:sz w:val="20"/>
                <w:szCs w:val="22"/>
              </w:rPr>
              <w:t>：</w:t>
            </w:r>
          </w:p>
          <w:p w:rsidR="00B70185" w:rsidRDefault="00000000">
            <w:pPr>
              <w:jc w:val="center"/>
              <w:rPr>
                <w:color w:val="000000"/>
                <w:sz w:val="20"/>
                <w:szCs w:val="22"/>
              </w:rPr>
            </w:pPr>
            <w:r>
              <w:rPr>
                <w:color w:val="000000"/>
                <w:sz w:val="20"/>
                <w:szCs w:val="22"/>
              </w:rPr>
              <w:t>经常捏造不存在的法条，误导用户</w:t>
            </w:r>
          </w:p>
        </w:tc>
      </w:tr>
      <w:tr w:rsidR="00B70185">
        <w:tc>
          <w:tcPr>
            <w:tcW w:w="592" w:type="pct"/>
            <w:tcBorders>
              <w:top w:val="single" w:sz="4" w:space="0" w:color="4874CB"/>
              <w:left w:val="single" w:sz="4" w:space="0" w:color="4874CB"/>
              <w:bottom w:val="single" w:sz="4" w:space="0" w:color="4874CB"/>
              <w:right w:val="single" w:sz="4" w:space="0" w:color="4874CB"/>
            </w:tcBorders>
            <w:shd w:val="clear" w:color="auto" w:fill="B5C7EA" w:themeFill="accent1" w:themeFillTint="66"/>
            <w:vAlign w:val="center"/>
          </w:tcPr>
          <w:p w:rsidR="00B70185" w:rsidRDefault="00000000">
            <w:pPr>
              <w:jc w:val="center"/>
              <w:rPr>
                <w:bCs/>
                <w:color w:val="000000"/>
                <w:sz w:val="22"/>
                <w:szCs w:val="28"/>
              </w:rPr>
            </w:pPr>
            <w:r>
              <w:rPr>
                <w:rFonts w:hint="eastAsia"/>
              </w:rPr>
              <w:t>可解释性</w:t>
            </w:r>
          </w:p>
        </w:tc>
        <w:tc>
          <w:tcPr>
            <w:tcW w:w="2147" w:type="pct"/>
            <w:tcBorders>
              <w:top w:val="single" w:sz="4" w:space="0" w:color="4874CB"/>
              <w:left w:val="single" w:sz="4" w:space="0" w:color="4874CB"/>
              <w:bottom w:val="single" w:sz="4" w:space="0" w:color="4874CB"/>
              <w:right w:val="single" w:sz="4" w:space="0" w:color="4874CB"/>
            </w:tcBorders>
            <w:shd w:val="clear" w:color="auto" w:fill="FFFFFF"/>
            <w:vAlign w:val="center"/>
          </w:tcPr>
          <w:p w:rsidR="00B70185" w:rsidRDefault="00000000">
            <w:pPr>
              <w:pStyle w:val="Compact"/>
              <w:jc w:val="center"/>
              <w:rPr>
                <w:color w:val="000000"/>
                <w:sz w:val="18"/>
                <w:szCs w:val="21"/>
              </w:rPr>
            </w:pPr>
            <w:r>
              <w:rPr>
                <w:rFonts w:hint="eastAsia"/>
              </w:rPr>
              <w:t>会生成思维导图、检索详情以及进度条，透明展示推理路径</w:t>
            </w:r>
          </w:p>
        </w:tc>
        <w:tc>
          <w:tcPr>
            <w:tcW w:w="2260" w:type="pct"/>
            <w:tcBorders>
              <w:top w:val="single" w:sz="4" w:space="0" w:color="4874CB"/>
              <w:left w:val="single" w:sz="4" w:space="0" w:color="4874CB"/>
              <w:bottom w:val="single" w:sz="4" w:space="0" w:color="4874CB"/>
              <w:right w:val="single" w:sz="4" w:space="0" w:color="4874CB"/>
            </w:tcBorders>
            <w:shd w:val="clear" w:color="auto" w:fill="FFFFFF"/>
            <w:vAlign w:val="center"/>
          </w:tcPr>
          <w:p w:rsidR="00B70185" w:rsidRDefault="00000000">
            <w:pPr>
              <w:pStyle w:val="Compact"/>
              <w:jc w:val="center"/>
              <w:rPr>
                <w:color w:val="000000"/>
                <w:sz w:val="18"/>
                <w:szCs w:val="21"/>
              </w:rPr>
            </w:pPr>
            <w:r>
              <w:rPr>
                <w:rFonts w:hint="eastAsia"/>
              </w:rPr>
              <w:t>解释往往泛化，缺少可核验链条</w:t>
            </w:r>
          </w:p>
        </w:tc>
      </w:tr>
      <w:tr w:rsidR="00B70185">
        <w:tc>
          <w:tcPr>
            <w:tcW w:w="592" w:type="pct"/>
            <w:tcBorders>
              <w:top w:val="single" w:sz="4" w:space="0" w:color="4874CB"/>
              <w:left w:val="single" w:sz="4" w:space="0" w:color="4874CB"/>
              <w:bottom w:val="single" w:sz="4" w:space="0" w:color="4874CB"/>
              <w:right w:val="single" w:sz="4" w:space="0" w:color="4874CB"/>
            </w:tcBorders>
            <w:shd w:val="clear" w:color="auto" w:fill="B5C7EA" w:themeFill="accent1" w:themeFillTint="66"/>
            <w:vAlign w:val="center"/>
          </w:tcPr>
          <w:p w:rsidR="00B70185" w:rsidRDefault="00000000">
            <w:pPr>
              <w:jc w:val="center"/>
              <w:rPr>
                <w:bCs/>
                <w:color w:val="000000"/>
                <w:sz w:val="22"/>
                <w:szCs w:val="28"/>
              </w:rPr>
            </w:pPr>
            <w:r>
              <w:rPr>
                <w:bCs/>
                <w:color w:val="000000"/>
                <w:sz w:val="22"/>
                <w:szCs w:val="28"/>
              </w:rPr>
              <w:t>结果交付</w:t>
            </w:r>
          </w:p>
          <w:p w:rsidR="00B70185" w:rsidRDefault="00B70185">
            <w:pPr>
              <w:jc w:val="center"/>
              <w:rPr>
                <w:bCs/>
                <w:color w:val="000000"/>
                <w:sz w:val="22"/>
                <w:szCs w:val="28"/>
              </w:rPr>
            </w:pPr>
          </w:p>
        </w:tc>
        <w:tc>
          <w:tcPr>
            <w:tcW w:w="2147" w:type="pct"/>
            <w:tcBorders>
              <w:top w:val="single" w:sz="4" w:space="0" w:color="4874CB"/>
              <w:left w:val="single" w:sz="4" w:space="0" w:color="4874CB"/>
              <w:bottom w:val="single" w:sz="4" w:space="0" w:color="4874CB"/>
              <w:right w:val="single" w:sz="4" w:space="0" w:color="4874CB"/>
            </w:tcBorders>
            <w:shd w:val="clear" w:color="auto" w:fill="FFFFFF"/>
            <w:vAlign w:val="center"/>
          </w:tcPr>
          <w:p w:rsidR="00B70185" w:rsidRDefault="00000000">
            <w:pPr>
              <w:jc w:val="center"/>
            </w:pPr>
            <w:r>
              <w:rPr>
                <w:rFonts w:hint="eastAsia"/>
              </w:rPr>
              <w:lastRenderedPageBreak/>
              <w:t>会直接给出操作具体步骤路线图，比如：</w:t>
            </w:r>
          </w:p>
          <w:p w:rsidR="00B70185" w:rsidRDefault="00000000">
            <w:pPr>
              <w:jc w:val="center"/>
            </w:pPr>
            <w:r>
              <w:rPr>
                <w:rFonts w:hint="eastAsia"/>
              </w:rPr>
              <w:lastRenderedPageBreak/>
              <w:t xml:space="preserve">1. </w:t>
            </w:r>
            <w:r>
              <w:rPr>
                <w:rFonts w:hint="eastAsia"/>
              </w:rPr>
              <w:t>去哪里（精确到</w:t>
            </w:r>
            <w:r>
              <w:rPr>
                <w:rFonts w:hint="eastAsia"/>
              </w:rPr>
              <w:t>xx</w:t>
            </w:r>
            <w:r>
              <w:rPr>
                <w:rFonts w:hint="eastAsia"/>
              </w:rPr>
              <w:t>区仲裁委地址）</w:t>
            </w:r>
          </w:p>
          <w:p w:rsidR="00B70185" w:rsidRDefault="00000000">
            <w:pPr>
              <w:jc w:val="center"/>
            </w:pPr>
            <w:r>
              <w:rPr>
                <w:rFonts w:hint="eastAsia"/>
              </w:rPr>
              <w:t xml:space="preserve">2. </w:t>
            </w:r>
            <w:r>
              <w:rPr>
                <w:rFonts w:hint="eastAsia"/>
              </w:rPr>
              <w:t>找谁（联系电话）</w:t>
            </w:r>
          </w:p>
          <w:p w:rsidR="00B70185" w:rsidRDefault="00000000">
            <w:pPr>
              <w:jc w:val="center"/>
            </w:pPr>
            <w:r>
              <w:rPr>
                <w:rFonts w:hint="eastAsia"/>
              </w:rPr>
              <w:t xml:space="preserve">3. </w:t>
            </w:r>
            <w:r>
              <w:rPr>
                <w:rFonts w:hint="eastAsia"/>
              </w:rPr>
              <w:t>说什么（生成谈判话术与文书）</w:t>
            </w:r>
          </w:p>
        </w:tc>
        <w:tc>
          <w:tcPr>
            <w:tcW w:w="2260" w:type="pct"/>
            <w:tcBorders>
              <w:top w:val="single" w:sz="4" w:space="0" w:color="4874CB"/>
              <w:left w:val="single" w:sz="4" w:space="0" w:color="4874CB"/>
              <w:bottom w:val="single" w:sz="4" w:space="0" w:color="4874CB"/>
              <w:right w:val="single" w:sz="4" w:space="0" w:color="4874CB"/>
            </w:tcBorders>
            <w:shd w:val="clear" w:color="auto" w:fill="FFFFFF"/>
            <w:vAlign w:val="center"/>
          </w:tcPr>
          <w:p w:rsidR="00B70185" w:rsidRDefault="00000000">
            <w:pPr>
              <w:jc w:val="center"/>
            </w:pPr>
            <w:r>
              <w:rPr>
                <w:rFonts w:hint="eastAsia"/>
              </w:rPr>
              <w:lastRenderedPageBreak/>
              <w:t>多为解释性文本，落地成本高，比如，只告诉你“根据法律规定你可以申请仲</w:t>
            </w:r>
            <w:r>
              <w:rPr>
                <w:rFonts w:hint="eastAsia"/>
              </w:rPr>
              <w:lastRenderedPageBreak/>
              <w:t>裁”</w:t>
            </w:r>
          </w:p>
        </w:tc>
      </w:tr>
      <w:tr w:rsidR="00B70185">
        <w:tc>
          <w:tcPr>
            <w:tcW w:w="592" w:type="pct"/>
            <w:tcBorders>
              <w:top w:val="single" w:sz="4" w:space="0" w:color="4874CB"/>
              <w:left w:val="single" w:sz="4" w:space="0" w:color="4874CB"/>
              <w:bottom w:val="single" w:sz="4" w:space="0" w:color="4874CB"/>
              <w:right w:val="single" w:sz="4" w:space="0" w:color="4874CB"/>
            </w:tcBorders>
            <w:shd w:val="clear" w:color="auto" w:fill="B5C7EA" w:themeFill="accent1" w:themeFillTint="66"/>
            <w:vAlign w:val="center"/>
          </w:tcPr>
          <w:p w:rsidR="00B70185" w:rsidRDefault="00000000">
            <w:pPr>
              <w:jc w:val="center"/>
              <w:rPr>
                <w:bCs/>
                <w:color w:val="000000"/>
                <w:sz w:val="22"/>
                <w:szCs w:val="28"/>
              </w:rPr>
            </w:pPr>
            <w:r>
              <w:rPr>
                <w:bCs/>
                <w:color w:val="000000"/>
                <w:sz w:val="22"/>
                <w:szCs w:val="28"/>
              </w:rPr>
              <w:lastRenderedPageBreak/>
              <w:t>成本效率</w:t>
            </w:r>
          </w:p>
          <w:p w:rsidR="00B70185" w:rsidRDefault="00000000">
            <w:pPr>
              <w:jc w:val="center"/>
              <w:rPr>
                <w:bCs/>
                <w:color w:val="000000"/>
                <w:sz w:val="22"/>
                <w:szCs w:val="28"/>
              </w:rPr>
            </w:pPr>
            <w:r>
              <w:rPr>
                <w:rFonts w:hint="eastAsia"/>
                <w:color w:val="000000"/>
                <w:highlight w:val="yellow"/>
              </w:rPr>
              <w:t>（如何量化）</w:t>
            </w:r>
          </w:p>
        </w:tc>
        <w:tc>
          <w:tcPr>
            <w:tcW w:w="2147" w:type="pct"/>
            <w:tcBorders>
              <w:top w:val="single" w:sz="4" w:space="0" w:color="4874CB"/>
              <w:left w:val="single" w:sz="4" w:space="0" w:color="4874CB"/>
              <w:bottom w:val="single" w:sz="4" w:space="0" w:color="4874CB"/>
              <w:right w:val="single" w:sz="4" w:space="0" w:color="4874CB"/>
            </w:tcBorders>
            <w:shd w:val="clear" w:color="auto" w:fill="FFFFFF"/>
            <w:vAlign w:val="center"/>
          </w:tcPr>
          <w:p w:rsidR="00B70185" w:rsidRDefault="00000000">
            <w:pPr>
              <w:jc w:val="center"/>
            </w:pPr>
            <w:r>
              <w:rPr>
                <w:rFonts w:hint="eastAsia"/>
              </w:rPr>
              <w:t>通过算子融合与混合精度训练，单次咨询成本降至分毫级别</w:t>
            </w:r>
          </w:p>
        </w:tc>
        <w:tc>
          <w:tcPr>
            <w:tcW w:w="2260" w:type="pct"/>
            <w:tcBorders>
              <w:top w:val="single" w:sz="4" w:space="0" w:color="4874CB"/>
              <w:left w:val="single" w:sz="4" w:space="0" w:color="4874CB"/>
              <w:bottom w:val="single" w:sz="4" w:space="0" w:color="4874CB"/>
              <w:right w:val="single" w:sz="4" w:space="0" w:color="4874CB"/>
            </w:tcBorders>
            <w:shd w:val="clear" w:color="auto" w:fill="FFFFFF"/>
            <w:vAlign w:val="center"/>
          </w:tcPr>
          <w:p w:rsidR="00B70185" w:rsidRDefault="00000000">
            <w:pPr>
              <w:jc w:val="center"/>
            </w:pPr>
            <w:r>
              <w:rPr>
                <w:rFonts w:hint="eastAsia"/>
              </w:rPr>
              <w:t>随着上下文增长，</w:t>
            </w:r>
            <w:r>
              <w:rPr>
                <w:rFonts w:hint="eastAsia"/>
              </w:rPr>
              <w:t xml:space="preserve">token </w:t>
            </w:r>
            <w:r>
              <w:rPr>
                <w:rFonts w:hint="eastAsia"/>
              </w:rPr>
              <w:t>成本指数级上升</w:t>
            </w:r>
          </w:p>
        </w:tc>
      </w:tr>
    </w:tbl>
    <w:p w:rsidR="00B70185" w:rsidRDefault="00000000">
      <w:pPr>
        <w:pStyle w:val="a3"/>
        <w:jc w:val="center"/>
        <w:rPr>
          <w:rFonts w:asciiTheme="majorHAnsi" w:hAnsiTheme="majorHAnsi" w:cstheme="majorBidi"/>
          <w:szCs w:val="20"/>
        </w:rPr>
      </w:pPr>
      <w:bookmarkStart w:id="41" w:name="heading_0"/>
      <w:r>
        <w:rPr>
          <w:rFonts w:asciiTheme="majorHAnsi" w:hAnsiTheme="majorHAnsi" w:cstheme="majorBidi" w:hint="eastAsia"/>
          <w:szCs w:val="20"/>
        </w:rPr>
        <w:t>表</w:t>
      </w:r>
      <w:r>
        <w:rPr>
          <w:rFonts w:asciiTheme="majorHAnsi" w:hAnsiTheme="majorHAnsi" w:cstheme="majorBidi" w:hint="eastAsia"/>
          <w:szCs w:val="20"/>
        </w:rPr>
        <w:t xml:space="preserve"> </w:t>
      </w:r>
      <w:r>
        <w:rPr>
          <w:rFonts w:asciiTheme="majorHAnsi" w:hAnsiTheme="majorHAnsi" w:cstheme="majorBidi" w:hint="eastAsia"/>
          <w:szCs w:val="20"/>
        </w:rPr>
        <w:fldChar w:fldCharType="begin"/>
      </w:r>
      <w:r>
        <w:rPr>
          <w:rFonts w:asciiTheme="majorHAnsi" w:hAnsiTheme="majorHAnsi" w:cstheme="majorBidi" w:hint="eastAsia"/>
          <w:szCs w:val="20"/>
        </w:rPr>
        <w:instrText xml:space="preserve"> SEQ </w:instrText>
      </w:r>
      <w:r>
        <w:rPr>
          <w:rFonts w:asciiTheme="majorHAnsi" w:hAnsiTheme="majorHAnsi" w:cstheme="majorBidi" w:hint="eastAsia"/>
          <w:szCs w:val="20"/>
        </w:rPr>
        <w:instrText>表</w:instrText>
      </w:r>
      <w:r>
        <w:rPr>
          <w:rFonts w:asciiTheme="majorHAnsi" w:hAnsiTheme="majorHAnsi" w:cstheme="majorBidi" w:hint="eastAsia"/>
          <w:szCs w:val="20"/>
        </w:rPr>
        <w:instrText xml:space="preserve"> \* ARABIC </w:instrText>
      </w:r>
      <w:r>
        <w:rPr>
          <w:rFonts w:asciiTheme="majorHAnsi" w:hAnsiTheme="majorHAnsi" w:cstheme="majorBidi" w:hint="eastAsia"/>
          <w:szCs w:val="20"/>
        </w:rPr>
        <w:fldChar w:fldCharType="separate"/>
      </w:r>
      <w:r>
        <w:rPr>
          <w:rFonts w:asciiTheme="majorHAnsi" w:hAnsiTheme="majorHAnsi" w:cstheme="majorBidi" w:hint="eastAsia"/>
          <w:szCs w:val="20"/>
        </w:rPr>
        <w:t>4</w:t>
      </w:r>
      <w:r>
        <w:rPr>
          <w:rFonts w:asciiTheme="majorHAnsi" w:hAnsiTheme="majorHAnsi" w:cstheme="majorBidi" w:hint="eastAsia"/>
          <w:szCs w:val="20"/>
        </w:rPr>
        <w:fldChar w:fldCharType="end"/>
      </w:r>
      <w:r>
        <w:rPr>
          <w:rFonts w:asciiTheme="majorHAnsi" w:hAnsiTheme="majorHAnsi" w:cstheme="majorBidi" w:hint="eastAsia"/>
          <w:szCs w:val="20"/>
        </w:rPr>
        <w:t xml:space="preserve"> LAW MASTER</w:t>
      </w:r>
      <w:r>
        <w:rPr>
          <w:rFonts w:asciiTheme="majorHAnsi" w:hAnsiTheme="majorHAnsi" w:cstheme="majorBidi" w:hint="eastAsia"/>
          <w:szCs w:val="20"/>
        </w:rPr>
        <w:t>和通用大模型的对比</w:t>
      </w:r>
    </w:p>
    <w:p w:rsidR="00B70185" w:rsidRDefault="00000000">
      <w:pPr>
        <w:pStyle w:val="1"/>
        <w:spacing w:line="300" w:lineRule="auto"/>
        <w:rPr>
          <w:rFonts w:ascii="黑体" w:eastAsia="黑体" w:hAnsi="黑体"/>
          <w:sz w:val="24"/>
          <w:szCs w:val="24"/>
        </w:rPr>
      </w:pPr>
      <w:bookmarkStart w:id="42" w:name="_Toc9888"/>
      <w:r>
        <w:rPr>
          <w:rFonts w:ascii="黑体" w:eastAsia="黑体" w:hAnsi="黑体" w:hint="eastAsia"/>
          <w:sz w:val="24"/>
          <w:szCs w:val="24"/>
        </w:rPr>
        <w:t>4.商业模式与营销策略</w:t>
      </w:r>
      <w:bookmarkEnd w:id="42"/>
    </w:p>
    <w:p w:rsidR="00B70185" w:rsidRDefault="00000000">
      <w:pPr>
        <w:pStyle w:val="2"/>
        <w:tabs>
          <w:tab w:val="center" w:pos="4153"/>
        </w:tabs>
        <w:spacing w:line="300" w:lineRule="auto"/>
        <w:ind w:right="210"/>
        <w:rPr>
          <w:rFonts w:ascii="宋体" w:eastAsia="宋体" w:hAnsi="宋体"/>
          <w:sz w:val="21"/>
          <w:szCs w:val="21"/>
        </w:rPr>
      </w:pPr>
      <w:r>
        <w:rPr>
          <w:rFonts w:ascii="宋体" w:eastAsia="宋体" w:hAnsi="宋体" w:hint="eastAsia"/>
          <w:sz w:val="21"/>
          <w:szCs w:val="21"/>
        </w:rPr>
        <w:t xml:space="preserve"> </w:t>
      </w:r>
      <w:bookmarkStart w:id="43" w:name="_Toc14089"/>
      <w:r>
        <w:rPr>
          <w:rFonts w:ascii="宋体" w:eastAsia="宋体" w:hAnsi="宋体" w:hint="eastAsia"/>
          <w:sz w:val="21"/>
          <w:szCs w:val="21"/>
        </w:rPr>
        <w:t>4.1 盈利模式</w:t>
      </w:r>
      <w:bookmarkEnd w:id="43"/>
    </w:p>
    <w:p w:rsidR="00B70185" w:rsidRDefault="00000000">
      <w:r>
        <w:rPr>
          <w:rFonts w:hint="eastAsia"/>
        </w:rPr>
        <w:t>LAW-MASTER</w:t>
      </w:r>
      <w:r>
        <w:rPr>
          <w:rFonts w:hint="eastAsia"/>
        </w:rPr>
        <w:t>的盈利模式将采用“订阅服务为主，按量计费</w:t>
      </w:r>
      <w:r>
        <w:rPr>
          <w:rFonts w:hint="eastAsia"/>
        </w:rPr>
        <w:t>/</w:t>
      </w:r>
      <w:r>
        <w:rPr>
          <w:rFonts w:hint="eastAsia"/>
        </w:rPr>
        <w:t>增值服务为辅，</w:t>
      </w:r>
      <w:r>
        <w:rPr>
          <w:rFonts w:hint="eastAsia"/>
        </w:rPr>
        <w:t>B</w:t>
      </w:r>
      <w:r>
        <w:rPr>
          <w:rFonts w:hint="eastAsia"/>
        </w:rPr>
        <w:t>端定制为高价值支撑”的多元化结构，以覆盖不同层次用户需求并实现可持续增长。</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44" w:name="_Toc13057"/>
      <w:r>
        <w:rPr>
          <w:rFonts w:ascii="宋体" w:eastAsia="宋体" w:hAnsi="宋体" w:hint="eastAsia"/>
          <w:bCs/>
          <w:sz w:val="21"/>
          <w:szCs w:val="32"/>
        </w:rPr>
        <w:t>4.1.1 订阅服务</w:t>
      </w:r>
      <w:bookmarkEnd w:id="44"/>
    </w:p>
    <w:tbl>
      <w:tblPr>
        <w:tblStyle w:val="aa"/>
        <w:tblW w:w="5000" w:type="pct"/>
        <w:tblBorders>
          <w:top w:val="single" w:sz="4" w:space="0" w:color="91ABDF" w:themeColor="accent1" w:themeTint="99"/>
          <w:left w:val="single" w:sz="4" w:space="0" w:color="91ABDF" w:themeColor="accent1" w:themeTint="99"/>
          <w:bottom w:val="single" w:sz="4" w:space="0" w:color="91ABDF" w:themeColor="accent1" w:themeTint="99"/>
          <w:right w:val="single" w:sz="4" w:space="0" w:color="91ABDF" w:themeColor="accent1" w:themeTint="99"/>
          <w:insideH w:val="single" w:sz="4" w:space="0" w:color="91ABDF" w:themeColor="accent1" w:themeTint="99"/>
          <w:insideV w:val="single" w:sz="4" w:space="0" w:color="91ABDF" w:themeColor="accent1" w:themeTint="99"/>
        </w:tblBorders>
        <w:tblLook w:val="04A0" w:firstRow="1" w:lastRow="0" w:firstColumn="1" w:lastColumn="0" w:noHBand="0" w:noVBand="1"/>
      </w:tblPr>
      <w:tblGrid>
        <w:gridCol w:w="489"/>
        <w:gridCol w:w="1341"/>
        <w:gridCol w:w="4079"/>
        <w:gridCol w:w="2613"/>
      </w:tblGrid>
      <w:tr w:rsidR="00B70185">
        <w:trPr>
          <w:trHeight w:val="308"/>
        </w:trPr>
        <w:tc>
          <w:tcPr>
            <w:tcW w:w="287" w:type="pct"/>
            <w:tcBorders>
              <w:tl2br w:val="nil"/>
              <w:tr2bl w:val="nil"/>
            </w:tcBorders>
            <w:shd w:val="clear" w:color="auto" w:fill="2D53A0" w:themeFill="accent1" w:themeFillShade="BF"/>
            <w:vAlign w:val="center"/>
          </w:tcPr>
          <w:p w:rsidR="00B70185" w:rsidRDefault="00000000">
            <w:pPr>
              <w:jc w:val="center"/>
              <w:rPr>
                <w:color w:val="FFFFFF" w:themeColor="background1"/>
              </w:rPr>
            </w:pPr>
            <w:r>
              <w:rPr>
                <w:rFonts w:hint="eastAsia"/>
                <w:color w:val="FFFFFF" w:themeColor="background1"/>
              </w:rPr>
              <w:t>版本</w:t>
            </w:r>
          </w:p>
        </w:tc>
        <w:tc>
          <w:tcPr>
            <w:tcW w:w="787" w:type="pct"/>
            <w:tcBorders>
              <w:tl2br w:val="nil"/>
              <w:tr2bl w:val="nil"/>
            </w:tcBorders>
            <w:shd w:val="clear" w:color="auto" w:fill="2D53A0" w:themeFill="accent1" w:themeFillShade="BF"/>
            <w:vAlign w:val="center"/>
          </w:tcPr>
          <w:p w:rsidR="00B70185" w:rsidRDefault="00000000">
            <w:pPr>
              <w:jc w:val="center"/>
              <w:rPr>
                <w:color w:val="FFFFFF" w:themeColor="background1"/>
              </w:rPr>
            </w:pPr>
            <w:r>
              <w:rPr>
                <w:rFonts w:hint="eastAsia"/>
                <w:color w:val="FFFFFF" w:themeColor="background1"/>
              </w:rPr>
              <w:t>价格</w:t>
            </w:r>
          </w:p>
        </w:tc>
        <w:tc>
          <w:tcPr>
            <w:tcW w:w="2392" w:type="pct"/>
            <w:tcBorders>
              <w:tl2br w:val="nil"/>
              <w:tr2bl w:val="nil"/>
            </w:tcBorders>
            <w:shd w:val="clear" w:color="auto" w:fill="2D53A0" w:themeFill="accent1" w:themeFillShade="BF"/>
            <w:vAlign w:val="center"/>
          </w:tcPr>
          <w:p w:rsidR="00B70185" w:rsidRDefault="00000000">
            <w:pPr>
              <w:jc w:val="center"/>
              <w:rPr>
                <w:color w:val="FFFFFF" w:themeColor="background1"/>
              </w:rPr>
            </w:pPr>
            <w:r>
              <w:rPr>
                <w:rFonts w:hint="eastAsia"/>
                <w:color w:val="FFFFFF" w:themeColor="background1"/>
              </w:rPr>
              <w:t>功能</w:t>
            </w:r>
          </w:p>
        </w:tc>
        <w:tc>
          <w:tcPr>
            <w:tcW w:w="1532" w:type="pct"/>
            <w:tcBorders>
              <w:tl2br w:val="nil"/>
              <w:tr2bl w:val="nil"/>
            </w:tcBorders>
            <w:shd w:val="clear" w:color="auto" w:fill="2D53A0" w:themeFill="accent1" w:themeFillShade="BF"/>
            <w:vAlign w:val="center"/>
          </w:tcPr>
          <w:p w:rsidR="00B70185" w:rsidRDefault="00000000">
            <w:pPr>
              <w:jc w:val="center"/>
              <w:rPr>
                <w:color w:val="FFFFFF" w:themeColor="background1"/>
              </w:rPr>
            </w:pPr>
            <w:r>
              <w:rPr>
                <w:rFonts w:hint="eastAsia"/>
                <w:color w:val="FFFFFF" w:themeColor="background1"/>
              </w:rPr>
              <w:t>目的</w:t>
            </w:r>
          </w:p>
        </w:tc>
      </w:tr>
      <w:tr w:rsidR="00B70185">
        <w:tc>
          <w:tcPr>
            <w:tcW w:w="287" w:type="pct"/>
            <w:tcBorders>
              <w:tl2br w:val="nil"/>
              <w:tr2bl w:val="nil"/>
            </w:tcBorders>
            <w:shd w:val="clear" w:color="auto" w:fill="DAE3F4" w:themeFill="accent1" w:themeFillTint="32"/>
            <w:vAlign w:val="center"/>
          </w:tcPr>
          <w:p w:rsidR="00B70185" w:rsidRDefault="00000000">
            <w:pPr>
              <w:jc w:val="center"/>
            </w:pPr>
            <w:r>
              <w:rPr>
                <w:rFonts w:hint="eastAsia"/>
              </w:rPr>
              <w:t>免费版</w:t>
            </w:r>
          </w:p>
        </w:tc>
        <w:tc>
          <w:tcPr>
            <w:tcW w:w="787" w:type="pct"/>
            <w:tcBorders>
              <w:tl2br w:val="nil"/>
              <w:tr2bl w:val="nil"/>
            </w:tcBorders>
            <w:vAlign w:val="center"/>
          </w:tcPr>
          <w:p w:rsidR="00B70185" w:rsidRDefault="00000000">
            <w:pPr>
              <w:jc w:val="center"/>
            </w:pPr>
            <w:r>
              <w:rPr>
                <w:rFonts w:hint="eastAsia"/>
              </w:rPr>
              <w:t>0</w:t>
            </w:r>
            <w:r>
              <w:rPr>
                <w:rFonts w:hint="eastAsia"/>
              </w:rPr>
              <w:t>元</w:t>
            </w:r>
          </w:p>
        </w:tc>
        <w:tc>
          <w:tcPr>
            <w:tcW w:w="2392" w:type="pct"/>
            <w:tcBorders>
              <w:tl2br w:val="nil"/>
              <w:tr2bl w:val="nil"/>
            </w:tcBorders>
            <w:vAlign w:val="center"/>
          </w:tcPr>
          <w:p w:rsidR="00B70185" w:rsidRDefault="00000000">
            <w:pPr>
              <w:jc w:val="center"/>
            </w:pPr>
            <w:r>
              <w:rPr>
                <w:rFonts w:hint="eastAsia"/>
              </w:rPr>
              <w:t>提供基础的“普通模式对话”（日常法律咨询）、每月</w:t>
            </w:r>
            <w:r>
              <w:rPr>
                <w:rFonts w:hint="eastAsia"/>
              </w:rPr>
              <w:t>3</w:t>
            </w:r>
            <w:r>
              <w:rPr>
                <w:rFonts w:hint="eastAsia"/>
              </w:rPr>
              <w:t>次的法条</w:t>
            </w:r>
            <w:r>
              <w:rPr>
                <w:rFonts w:hint="eastAsia"/>
              </w:rPr>
              <w:t>/</w:t>
            </w:r>
            <w:r>
              <w:rPr>
                <w:rFonts w:hint="eastAsia"/>
              </w:rPr>
              <w:t>案例库普通搜索、少量标准化文档模板生成（无微调、无编辑权限、下载次数</w:t>
            </w:r>
            <w:r>
              <w:rPr>
                <w:rFonts w:hint="eastAsia"/>
              </w:rPr>
              <w:t>3</w:t>
            </w:r>
            <w:r>
              <w:rPr>
                <w:rFonts w:hint="eastAsia"/>
              </w:rPr>
              <w:t>次</w:t>
            </w:r>
            <w:r>
              <w:rPr>
                <w:rFonts w:hint="eastAsia"/>
              </w:rPr>
              <w:t>/</w:t>
            </w:r>
            <w:r>
              <w:rPr>
                <w:rFonts w:hint="eastAsia"/>
              </w:rPr>
              <w:t>月）、基本语音交互和图片上传（</w:t>
            </w:r>
            <w:r>
              <w:rPr>
                <w:rFonts w:hint="eastAsia"/>
              </w:rPr>
              <w:t>1MB/</w:t>
            </w:r>
            <w:r>
              <w:rPr>
                <w:rFonts w:hint="eastAsia"/>
              </w:rPr>
              <w:t>每月）。</w:t>
            </w:r>
          </w:p>
        </w:tc>
        <w:tc>
          <w:tcPr>
            <w:tcW w:w="1532" w:type="pct"/>
            <w:tcBorders>
              <w:tl2br w:val="nil"/>
              <w:tr2bl w:val="nil"/>
            </w:tcBorders>
            <w:vAlign w:val="center"/>
          </w:tcPr>
          <w:p w:rsidR="00B70185" w:rsidRDefault="00000000">
            <w:pPr>
              <w:jc w:val="center"/>
            </w:pPr>
            <w:r>
              <w:rPr>
                <w:rFonts w:hint="eastAsia"/>
              </w:rPr>
              <w:t>降低用户门槛，快速获取用户、积累数据、进行产品体验和市场教育，为付费转化提供基础。</w:t>
            </w:r>
          </w:p>
        </w:tc>
      </w:tr>
      <w:tr w:rsidR="00B70185">
        <w:tc>
          <w:tcPr>
            <w:tcW w:w="287" w:type="pct"/>
            <w:tcBorders>
              <w:tl2br w:val="nil"/>
              <w:tr2bl w:val="nil"/>
            </w:tcBorders>
            <w:shd w:val="clear" w:color="auto" w:fill="DAE3F4" w:themeFill="accent1" w:themeFillTint="32"/>
            <w:vAlign w:val="center"/>
          </w:tcPr>
          <w:p w:rsidR="00B70185" w:rsidRDefault="00000000">
            <w:pPr>
              <w:jc w:val="center"/>
            </w:pPr>
            <w:r>
              <w:rPr>
                <w:rFonts w:hint="eastAsia"/>
              </w:rPr>
              <w:t>专业版</w:t>
            </w:r>
          </w:p>
        </w:tc>
        <w:tc>
          <w:tcPr>
            <w:tcW w:w="787" w:type="pct"/>
            <w:tcBorders>
              <w:tl2br w:val="nil"/>
              <w:tr2bl w:val="nil"/>
            </w:tcBorders>
            <w:vAlign w:val="center"/>
          </w:tcPr>
          <w:p w:rsidR="00B70185" w:rsidRDefault="00000000">
            <w:pPr>
              <w:jc w:val="center"/>
            </w:pPr>
            <w:r>
              <w:rPr>
                <w:rFonts w:hint="eastAsia"/>
              </w:rPr>
              <w:t>16.6</w:t>
            </w:r>
            <w:r>
              <w:rPr>
                <w:rFonts w:hint="eastAsia"/>
              </w:rPr>
              <w:t>元</w:t>
            </w:r>
            <w:r>
              <w:rPr>
                <w:rFonts w:hint="eastAsia"/>
              </w:rPr>
              <w:t>/</w:t>
            </w:r>
            <w:r>
              <w:rPr>
                <w:rFonts w:hint="eastAsia"/>
              </w:rPr>
              <w:t>月</w:t>
            </w:r>
          </w:p>
        </w:tc>
        <w:tc>
          <w:tcPr>
            <w:tcW w:w="2392" w:type="pct"/>
            <w:tcBorders>
              <w:tl2br w:val="nil"/>
              <w:tr2bl w:val="nil"/>
            </w:tcBorders>
            <w:vAlign w:val="center"/>
          </w:tcPr>
          <w:p w:rsidR="00B70185" w:rsidRDefault="00000000">
            <w:pPr>
              <w:jc w:val="center"/>
            </w:pPr>
            <w:r>
              <w:rPr>
                <w:rFonts w:hint="eastAsia"/>
              </w:rPr>
              <w:t>包含免费版所有功能，并解锁“自我意识模式对话”（带链接可溯源）、更高频次的法条</w:t>
            </w:r>
            <w:r>
              <w:rPr>
                <w:rFonts w:hint="eastAsia"/>
              </w:rPr>
              <w:t>+</w:t>
            </w:r>
            <w:r>
              <w:rPr>
                <w:rFonts w:hint="eastAsia"/>
              </w:rPr>
              <w:t>案例库精准搜索、无限量文档生成（多类型、</w:t>
            </w:r>
            <w:r>
              <w:rPr>
                <w:rFonts w:hint="eastAsia"/>
              </w:rPr>
              <w:t>AI</w:t>
            </w:r>
            <w:r>
              <w:rPr>
                <w:rFonts w:hint="eastAsia"/>
              </w:rPr>
              <w:t>微调、可编辑权限、下载次数</w:t>
            </w:r>
            <w:r>
              <w:rPr>
                <w:rFonts w:hint="eastAsia"/>
              </w:rPr>
              <w:t>30</w:t>
            </w:r>
            <w:r>
              <w:rPr>
                <w:rFonts w:hint="eastAsia"/>
              </w:rPr>
              <w:t>次</w:t>
            </w:r>
            <w:r>
              <w:rPr>
                <w:rFonts w:hint="eastAsia"/>
              </w:rPr>
              <w:t>/</w:t>
            </w:r>
            <w:r>
              <w:rPr>
                <w:rFonts w:hint="eastAsia"/>
              </w:rPr>
              <w:t>月）、思维导图、语音交互与文件上传（</w:t>
            </w:r>
            <w:r>
              <w:rPr>
                <w:rFonts w:hint="eastAsia"/>
              </w:rPr>
              <w:t>30MB/</w:t>
            </w:r>
            <w:r>
              <w:rPr>
                <w:rFonts w:hint="eastAsia"/>
              </w:rPr>
              <w:t>月）</w:t>
            </w:r>
          </w:p>
        </w:tc>
        <w:tc>
          <w:tcPr>
            <w:tcW w:w="1532" w:type="pct"/>
            <w:tcBorders>
              <w:tl2br w:val="nil"/>
              <w:tr2bl w:val="nil"/>
            </w:tcBorders>
            <w:vAlign w:val="center"/>
          </w:tcPr>
          <w:p w:rsidR="00B70185" w:rsidRDefault="00000000">
            <w:pPr>
              <w:jc w:val="center"/>
            </w:pPr>
            <w:r>
              <w:rPr>
                <w:rFonts w:hint="eastAsia"/>
              </w:rPr>
              <w:t>满足对法律服务有更高精度、更高效率、更个性化需求的用户（如个体经营者、律师助理、法务人员、频繁需要法律咨询的个人）。</w:t>
            </w:r>
          </w:p>
        </w:tc>
      </w:tr>
      <w:tr w:rsidR="00B70185">
        <w:tc>
          <w:tcPr>
            <w:tcW w:w="287" w:type="pct"/>
            <w:tcBorders>
              <w:tl2br w:val="nil"/>
              <w:tr2bl w:val="nil"/>
            </w:tcBorders>
            <w:shd w:val="clear" w:color="auto" w:fill="DAE3F4" w:themeFill="accent1" w:themeFillTint="32"/>
            <w:vAlign w:val="center"/>
          </w:tcPr>
          <w:p w:rsidR="00B70185" w:rsidRDefault="00000000">
            <w:pPr>
              <w:jc w:val="center"/>
            </w:pPr>
            <w:r>
              <w:rPr>
                <w:rFonts w:hint="eastAsia"/>
                <w:highlight w:val="yellow"/>
              </w:rPr>
              <w:t>企业版</w:t>
            </w:r>
          </w:p>
        </w:tc>
        <w:tc>
          <w:tcPr>
            <w:tcW w:w="787" w:type="pct"/>
            <w:tcBorders>
              <w:tl2br w:val="nil"/>
              <w:tr2bl w:val="nil"/>
            </w:tcBorders>
            <w:vAlign w:val="center"/>
          </w:tcPr>
          <w:p w:rsidR="00B70185" w:rsidRDefault="00000000">
            <w:pPr>
              <w:jc w:val="center"/>
            </w:pPr>
            <w:r>
              <w:rPr>
                <w:rFonts w:hint="eastAsia"/>
              </w:rPr>
              <w:t>根据企业规模功能需求、本地化部署要求等定制报价。</w:t>
            </w:r>
          </w:p>
        </w:tc>
        <w:tc>
          <w:tcPr>
            <w:tcW w:w="2392" w:type="pct"/>
            <w:tcBorders>
              <w:tl2br w:val="nil"/>
              <w:tr2bl w:val="nil"/>
            </w:tcBorders>
            <w:vAlign w:val="center"/>
          </w:tcPr>
          <w:p w:rsidR="00B70185" w:rsidRDefault="00000000">
            <w:pPr>
              <w:jc w:val="center"/>
            </w:pPr>
            <w:r>
              <w:rPr>
                <w:rFonts w:hint="eastAsia"/>
              </w:rPr>
              <w:t>包含专业个人版所有功能，提供专属</w:t>
            </w:r>
            <w:r>
              <w:rPr>
                <w:rFonts w:hint="eastAsia"/>
              </w:rPr>
              <w:t>API</w:t>
            </w:r>
            <w:r>
              <w:rPr>
                <w:rFonts w:hint="eastAsia"/>
              </w:rPr>
              <w:t>接口、本地化部署方案，更高检索参数（算力分配）、多账号管理、定制化</w:t>
            </w:r>
            <w:r>
              <w:rPr>
                <w:rFonts w:hint="eastAsia"/>
              </w:rPr>
              <w:t>AI</w:t>
            </w:r>
            <w:r>
              <w:rPr>
                <w:rFonts w:hint="eastAsia"/>
              </w:rPr>
              <w:t>模型微调、优先客户服务与技术支持。</w:t>
            </w:r>
          </w:p>
        </w:tc>
        <w:tc>
          <w:tcPr>
            <w:tcW w:w="1532" w:type="pct"/>
            <w:tcBorders>
              <w:tl2br w:val="nil"/>
              <w:tr2bl w:val="nil"/>
            </w:tcBorders>
            <w:vAlign w:val="center"/>
          </w:tcPr>
          <w:p w:rsidR="00B70185" w:rsidRDefault="00000000">
            <w:pPr>
              <w:jc w:val="center"/>
            </w:pPr>
            <w:r>
              <w:rPr>
                <w:rFonts w:hint="eastAsia"/>
              </w:rPr>
              <w:t>面向中小型律所、企业法务部、政府机构等，提供深度集成和安全合规的解决方案。</w:t>
            </w:r>
          </w:p>
        </w:tc>
      </w:tr>
    </w:tbl>
    <w:p w:rsidR="00B70185" w:rsidRDefault="00000000">
      <w:pPr>
        <w:pStyle w:val="a3"/>
        <w:jc w:val="center"/>
        <w:rPr>
          <w:rFonts w:asciiTheme="majorHAnsi" w:hAnsiTheme="majorHAnsi" w:cstheme="majorBidi"/>
          <w:szCs w:val="20"/>
        </w:rPr>
      </w:pPr>
      <w:r>
        <w:rPr>
          <w:rFonts w:asciiTheme="majorHAnsi" w:hAnsiTheme="majorHAnsi" w:cstheme="majorBidi" w:hint="eastAsia"/>
          <w:szCs w:val="20"/>
        </w:rPr>
        <w:t>表</w:t>
      </w:r>
      <w:r>
        <w:rPr>
          <w:rFonts w:asciiTheme="majorHAnsi" w:hAnsiTheme="majorHAnsi" w:cstheme="majorBidi" w:hint="eastAsia"/>
          <w:szCs w:val="20"/>
        </w:rPr>
        <w:t xml:space="preserve"> </w:t>
      </w:r>
      <w:r>
        <w:rPr>
          <w:rFonts w:asciiTheme="majorHAnsi" w:hAnsiTheme="majorHAnsi" w:cstheme="majorBidi" w:hint="eastAsia"/>
          <w:szCs w:val="20"/>
        </w:rPr>
        <w:fldChar w:fldCharType="begin"/>
      </w:r>
      <w:r>
        <w:rPr>
          <w:rFonts w:asciiTheme="majorHAnsi" w:hAnsiTheme="majorHAnsi" w:cstheme="majorBidi" w:hint="eastAsia"/>
          <w:szCs w:val="20"/>
        </w:rPr>
        <w:instrText xml:space="preserve"> SEQ </w:instrText>
      </w:r>
      <w:r>
        <w:rPr>
          <w:rFonts w:asciiTheme="majorHAnsi" w:hAnsiTheme="majorHAnsi" w:cstheme="majorBidi" w:hint="eastAsia"/>
          <w:szCs w:val="20"/>
        </w:rPr>
        <w:instrText>表</w:instrText>
      </w:r>
      <w:r>
        <w:rPr>
          <w:rFonts w:asciiTheme="majorHAnsi" w:hAnsiTheme="majorHAnsi" w:cstheme="majorBidi" w:hint="eastAsia"/>
          <w:szCs w:val="20"/>
        </w:rPr>
        <w:instrText xml:space="preserve"> \* ARABIC </w:instrText>
      </w:r>
      <w:r>
        <w:rPr>
          <w:rFonts w:asciiTheme="majorHAnsi" w:hAnsiTheme="majorHAnsi" w:cstheme="majorBidi" w:hint="eastAsia"/>
          <w:szCs w:val="20"/>
        </w:rPr>
        <w:fldChar w:fldCharType="separate"/>
      </w:r>
      <w:r>
        <w:rPr>
          <w:rFonts w:asciiTheme="majorHAnsi" w:hAnsiTheme="majorHAnsi" w:cstheme="majorBidi" w:hint="eastAsia"/>
          <w:szCs w:val="20"/>
        </w:rPr>
        <w:t>5</w:t>
      </w:r>
      <w:r>
        <w:rPr>
          <w:rFonts w:asciiTheme="majorHAnsi" w:hAnsiTheme="majorHAnsi" w:cstheme="majorBidi" w:hint="eastAsia"/>
          <w:szCs w:val="20"/>
        </w:rPr>
        <w:fldChar w:fldCharType="end"/>
      </w:r>
      <w:r>
        <w:rPr>
          <w:rFonts w:asciiTheme="majorHAnsi" w:hAnsiTheme="majorHAnsi" w:cstheme="majorBidi" w:hint="eastAsia"/>
          <w:szCs w:val="20"/>
        </w:rPr>
        <w:t xml:space="preserve">  LAW-MASTER</w:t>
      </w:r>
      <w:r>
        <w:rPr>
          <w:rFonts w:asciiTheme="majorHAnsi" w:hAnsiTheme="majorHAnsi" w:cstheme="majorBidi" w:hint="eastAsia"/>
          <w:szCs w:val="20"/>
        </w:rPr>
        <w:t>订阅服务</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45" w:name="_Toc31342"/>
      <w:r>
        <w:rPr>
          <w:rFonts w:ascii="宋体" w:eastAsia="宋体" w:hAnsi="宋体" w:hint="eastAsia"/>
          <w:bCs/>
          <w:sz w:val="21"/>
          <w:szCs w:val="32"/>
        </w:rPr>
        <w:t>4.1.2 增值服务</w:t>
      </w:r>
      <w:bookmarkEnd w:id="45"/>
    </w:p>
    <w:p w:rsidR="00B70185" w:rsidRDefault="00000000">
      <w:pPr>
        <w:ind w:firstLine="420"/>
      </w:pPr>
      <w:r>
        <w:rPr>
          <w:rFonts w:hint="eastAsia"/>
        </w:rPr>
        <w:t>针对非订阅用户及订阅用户的超额需求，</w:t>
      </w:r>
      <w:r>
        <w:rPr>
          <w:rFonts w:hint="eastAsia"/>
        </w:rPr>
        <w:t>LAW-MASTER</w:t>
      </w:r>
      <w:r>
        <w:rPr>
          <w:rFonts w:hint="eastAsia"/>
        </w:rPr>
        <w:t>提供按量计费的服务。</w:t>
      </w:r>
    </w:p>
    <w:tbl>
      <w:tblPr>
        <w:tblStyle w:val="aa"/>
        <w:tblW w:w="5000" w:type="pct"/>
        <w:tblLook w:val="04A0" w:firstRow="1" w:lastRow="0" w:firstColumn="1" w:lastColumn="0" w:noHBand="0" w:noVBand="1"/>
      </w:tblPr>
      <w:tblGrid>
        <w:gridCol w:w="1024"/>
        <w:gridCol w:w="2635"/>
        <w:gridCol w:w="1282"/>
        <w:gridCol w:w="3581"/>
      </w:tblGrid>
      <w:tr w:rsidR="00B70185">
        <w:tc>
          <w:tcPr>
            <w:tcW w:w="601" w:type="pct"/>
            <w:shd w:val="clear" w:color="auto" w:fill="2D53A0" w:themeFill="accent1" w:themeFillShade="BF"/>
            <w:vAlign w:val="center"/>
          </w:tcPr>
          <w:p w:rsidR="00B70185" w:rsidRDefault="00000000">
            <w:pPr>
              <w:jc w:val="center"/>
              <w:rPr>
                <w:color w:val="FFFFFF" w:themeColor="background1"/>
              </w:rPr>
            </w:pPr>
            <w:r>
              <w:rPr>
                <w:rFonts w:hint="eastAsia"/>
                <w:color w:val="FFFFFF" w:themeColor="background1"/>
              </w:rPr>
              <w:t>服务项目</w:t>
            </w:r>
          </w:p>
        </w:tc>
        <w:tc>
          <w:tcPr>
            <w:tcW w:w="1545" w:type="pct"/>
            <w:shd w:val="clear" w:color="auto" w:fill="2D53A0" w:themeFill="accent1" w:themeFillShade="BF"/>
            <w:vAlign w:val="center"/>
          </w:tcPr>
          <w:p w:rsidR="00B70185" w:rsidRDefault="00000000">
            <w:pPr>
              <w:jc w:val="center"/>
              <w:rPr>
                <w:color w:val="FFFFFF" w:themeColor="background1"/>
              </w:rPr>
            </w:pPr>
            <w:r>
              <w:rPr>
                <w:rFonts w:hint="eastAsia"/>
                <w:color w:val="FFFFFF" w:themeColor="background1"/>
              </w:rPr>
              <w:t>服务内容</w:t>
            </w:r>
          </w:p>
        </w:tc>
        <w:tc>
          <w:tcPr>
            <w:tcW w:w="752" w:type="pct"/>
            <w:shd w:val="clear" w:color="auto" w:fill="2D53A0" w:themeFill="accent1" w:themeFillShade="BF"/>
            <w:vAlign w:val="center"/>
          </w:tcPr>
          <w:p w:rsidR="00B70185" w:rsidRDefault="00000000">
            <w:pPr>
              <w:jc w:val="center"/>
              <w:rPr>
                <w:color w:val="FFFFFF" w:themeColor="background1"/>
              </w:rPr>
            </w:pPr>
            <w:r>
              <w:rPr>
                <w:rFonts w:hint="eastAsia"/>
                <w:color w:val="FFFFFF" w:themeColor="background1"/>
              </w:rPr>
              <w:t>收费标准</w:t>
            </w:r>
          </w:p>
        </w:tc>
        <w:tc>
          <w:tcPr>
            <w:tcW w:w="2100" w:type="pct"/>
            <w:shd w:val="clear" w:color="auto" w:fill="2D53A0" w:themeFill="accent1" w:themeFillShade="BF"/>
            <w:vAlign w:val="center"/>
          </w:tcPr>
          <w:p w:rsidR="00B70185" w:rsidRDefault="00000000">
            <w:pPr>
              <w:jc w:val="center"/>
              <w:rPr>
                <w:color w:val="FFFFFF" w:themeColor="background1"/>
              </w:rPr>
            </w:pPr>
            <w:r>
              <w:rPr>
                <w:rFonts w:hint="eastAsia"/>
                <w:color w:val="FFFFFF" w:themeColor="background1"/>
              </w:rPr>
              <w:t>市场对标</w:t>
            </w:r>
          </w:p>
        </w:tc>
      </w:tr>
      <w:tr w:rsidR="00B70185">
        <w:trPr>
          <w:trHeight w:val="2481"/>
        </w:trPr>
        <w:tc>
          <w:tcPr>
            <w:tcW w:w="601" w:type="pct"/>
            <w:shd w:val="clear" w:color="auto" w:fill="DAE3F4" w:themeFill="accent1" w:themeFillTint="32"/>
            <w:vAlign w:val="center"/>
          </w:tcPr>
          <w:p w:rsidR="00B70185" w:rsidRDefault="00000000">
            <w:pPr>
              <w:jc w:val="center"/>
            </w:pPr>
            <w:r>
              <w:rPr>
                <w:rFonts w:hint="eastAsia"/>
              </w:rPr>
              <w:lastRenderedPageBreak/>
              <w:t>文档下载</w:t>
            </w:r>
            <w:r>
              <w:rPr>
                <w:rFonts w:hint="eastAsia"/>
              </w:rPr>
              <w:t>/</w:t>
            </w:r>
            <w:r>
              <w:rPr>
                <w:rFonts w:hint="eastAsia"/>
              </w:rPr>
              <w:t>导出超额服务</w:t>
            </w:r>
          </w:p>
        </w:tc>
        <w:tc>
          <w:tcPr>
            <w:tcW w:w="1545" w:type="pct"/>
            <w:vAlign w:val="center"/>
          </w:tcPr>
          <w:p w:rsidR="00B70185" w:rsidRDefault="00000000">
            <w:pPr>
              <w:jc w:val="center"/>
            </w:pPr>
            <w:r>
              <w:rPr>
                <w:rFonts w:hint="eastAsia"/>
              </w:rPr>
              <w:t>超出订阅套餐所含免费额度的法律文书生成及导出功能。每导出</w:t>
            </w:r>
            <w:r>
              <w:rPr>
                <w:rFonts w:hint="eastAsia"/>
              </w:rPr>
              <w:t>1</w:t>
            </w:r>
            <w:r>
              <w:rPr>
                <w:rFonts w:hint="eastAsia"/>
              </w:rPr>
              <w:t>份标准化法律文书（起诉状、答辩状、合同文本等）计为</w:t>
            </w:r>
            <w:r>
              <w:rPr>
                <w:rFonts w:hint="eastAsia"/>
              </w:rPr>
              <w:t>1</w:t>
            </w:r>
            <w:r>
              <w:rPr>
                <w:rFonts w:hint="eastAsia"/>
              </w:rPr>
              <w:t>次。</w:t>
            </w:r>
          </w:p>
        </w:tc>
        <w:tc>
          <w:tcPr>
            <w:tcW w:w="752" w:type="pct"/>
            <w:vAlign w:val="center"/>
          </w:tcPr>
          <w:p w:rsidR="00B70185" w:rsidRDefault="00000000">
            <w:pPr>
              <w:jc w:val="center"/>
            </w:pPr>
            <w:r>
              <w:rPr>
                <w:rFonts w:hint="eastAsia"/>
              </w:rPr>
              <w:t>按次收费：</w:t>
            </w:r>
            <w:r>
              <w:rPr>
                <w:rFonts w:hint="eastAsia"/>
              </w:rPr>
              <w:t>2.9</w:t>
            </w:r>
            <w:r>
              <w:rPr>
                <w:rFonts w:hint="eastAsia"/>
              </w:rPr>
              <w:t>元</w:t>
            </w:r>
            <w:r>
              <w:rPr>
                <w:rFonts w:hint="eastAsia"/>
              </w:rPr>
              <w:t>/</w:t>
            </w:r>
            <w:r>
              <w:rPr>
                <w:rFonts w:hint="eastAsia"/>
              </w:rPr>
              <w:t>份</w:t>
            </w:r>
          </w:p>
          <w:p w:rsidR="00B70185" w:rsidRDefault="00000000">
            <w:pPr>
              <w:jc w:val="center"/>
            </w:pPr>
            <w:r>
              <w:rPr>
                <w:rFonts w:hint="eastAsia"/>
              </w:rPr>
              <w:t>超额提醒：用户当月累计导出第</w:t>
            </w:r>
            <w:r>
              <w:rPr>
                <w:rFonts w:hint="eastAsia"/>
              </w:rPr>
              <w:t>6</w:t>
            </w:r>
            <w:r>
              <w:rPr>
                <w:rFonts w:hint="eastAsia"/>
              </w:rPr>
              <w:t>份起自动按次计费</w:t>
            </w:r>
          </w:p>
        </w:tc>
        <w:tc>
          <w:tcPr>
            <w:tcW w:w="2100" w:type="pct"/>
            <w:vAlign w:val="center"/>
          </w:tcPr>
          <w:p w:rsidR="00B70185" w:rsidRDefault="00000000">
            <w:pPr>
              <w:jc w:val="center"/>
            </w:pPr>
            <w:r>
              <w:rPr>
                <w:rFonts w:hint="eastAsia"/>
              </w:rPr>
              <w:t>英国</w:t>
            </w:r>
            <w:r>
              <w:rPr>
                <w:rFonts w:hint="eastAsia"/>
              </w:rPr>
              <w:t>360 Business Law</w:t>
            </w:r>
            <w:r>
              <w:rPr>
                <w:rFonts w:hint="eastAsia"/>
              </w:rPr>
              <w:t>简单合同</w:t>
            </w:r>
            <w:r>
              <w:rPr>
                <w:rFonts w:hint="eastAsia"/>
              </w:rPr>
              <w:t>AI</w:t>
            </w:r>
            <w:r>
              <w:rPr>
                <w:rFonts w:hint="eastAsia"/>
              </w:rPr>
              <w:t>审阅</w:t>
            </w:r>
            <w:r>
              <w:rPr>
                <w:rFonts w:hint="eastAsia"/>
              </w:rPr>
              <w:t>£17.50</w:t>
            </w:r>
            <w:r>
              <w:rPr>
                <w:rFonts w:hint="eastAsia"/>
              </w:rPr>
              <w:t>（约合人民币</w:t>
            </w:r>
            <w:r>
              <w:rPr>
                <w:rFonts w:hint="eastAsia"/>
              </w:rPr>
              <w:t>160</w:t>
            </w:r>
            <w:r>
              <w:rPr>
                <w:rFonts w:hint="eastAsia"/>
              </w:rPr>
              <w:t>元），</w:t>
            </w:r>
            <w:r>
              <w:rPr>
                <w:rFonts w:hint="eastAsia"/>
              </w:rPr>
              <w:t>LAW-MASTER</w:t>
            </w:r>
            <w:r>
              <w:rPr>
                <w:rFonts w:hint="eastAsia"/>
              </w:rPr>
              <w:t>定价约为竞品的</w:t>
            </w:r>
            <w:r>
              <w:rPr>
                <w:rFonts w:hint="eastAsia"/>
              </w:rPr>
              <w:t>1/5</w:t>
            </w:r>
          </w:p>
        </w:tc>
      </w:tr>
      <w:tr w:rsidR="00B70185">
        <w:tc>
          <w:tcPr>
            <w:tcW w:w="601" w:type="pct"/>
            <w:shd w:val="clear" w:color="auto" w:fill="DAE3F4" w:themeFill="accent1" w:themeFillTint="32"/>
            <w:vAlign w:val="center"/>
          </w:tcPr>
          <w:p w:rsidR="00B70185" w:rsidRDefault="00000000">
            <w:pPr>
              <w:jc w:val="center"/>
            </w:pPr>
            <w:r>
              <w:rPr>
                <w:rFonts w:hint="eastAsia"/>
              </w:rPr>
              <w:t>语音转录</w:t>
            </w:r>
            <w:r>
              <w:rPr>
                <w:rFonts w:hint="eastAsia"/>
              </w:rPr>
              <w:t>/OCR</w:t>
            </w:r>
            <w:r>
              <w:rPr>
                <w:rFonts w:hint="eastAsia"/>
              </w:rPr>
              <w:t>超额处理</w:t>
            </w:r>
          </w:p>
        </w:tc>
        <w:tc>
          <w:tcPr>
            <w:tcW w:w="1545" w:type="pct"/>
            <w:vAlign w:val="center"/>
          </w:tcPr>
          <w:p w:rsidR="00B70185" w:rsidRDefault="00000000">
            <w:pPr>
              <w:jc w:val="center"/>
            </w:pPr>
            <w:r>
              <w:rPr>
                <w:rFonts w:hint="eastAsia"/>
              </w:rPr>
              <w:t>超出免费额度的语音消息转文字、图片上传解析（如拍摄的合同、聊天记录截图、手写欠条等）。每处理</w:t>
            </w:r>
            <w:r>
              <w:rPr>
                <w:rFonts w:hint="eastAsia"/>
              </w:rPr>
              <w:t>1</w:t>
            </w:r>
            <w:r>
              <w:rPr>
                <w:rFonts w:hint="eastAsia"/>
              </w:rPr>
              <w:t>条语音消息或</w:t>
            </w:r>
            <w:r>
              <w:rPr>
                <w:rFonts w:hint="eastAsia"/>
              </w:rPr>
              <w:t>1</w:t>
            </w:r>
            <w:r>
              <w:rPr>
                <w:rFonts w:hint="eastAsia"/>
              </w:rPr>
              <w:t>张图片计为</w:t>
            </w:r>
            <w:r>
              <w:rPr>
                <w:rFonts w:hint="eastAsia"/>
              </w:rPr>
              <w:t>1</w:t>
            </w:r>
            <w:r>
              <w:rPr>
                <w:rFonts w:hint="eastAsia"/>
              </w:rPr>
              <w:t>次</w:t>
            </w:r>
          </w:p>
        </w:tc>
        <w:tc>
          <w:tcPr>
            <w:tcW w:w="752" w:type="pct"/>
            <w:vAlign w:val="center"/>
          </w:tcPr>
          <w:p w:rsidR="00B70185" w:rsidRDefault="00000000">
            <w:pPr>
              <w:jc w:val="center"/>
            </w:pPr>
            <w:r>
              <w:rPr>
                <w:rFonts w:hint="eastAsia"/>
              </w:rPr>
              <w:t>按次收费：</w:t>
            </w:r>
            <w:r>
              <w:rPr>
                <w:rFonts w:hint="eastAsia"/>
              </w:rPr>
              <w:t>0.5</w:t>
            </w:r>
            <w:r>
              <w:rPr>
                <w:rFonts w:hint="eastAsia"/>
              </w:rPr>
              <w:t>元</w:t>
            </w:r>
            <w:r>
              <w:rPr>
                <w:rFonts w:hint="eastAsia"/>
              </w:rPr>
              <w:t>/</w:t>
            </w:r>
            <w:r>
              <w:rPr>
                <w:rFonts w:hint="eastAsia"/>
              </w:rPr>
              <w:t>次</w:t>
            </w:r>
          </w:p>
          <w:p w:rsidR="00B70185" w:rsidRDefault="00000000">
            <w:pPr>
              <w:jc w:val="center"/>
            </w:pPr>
            <w:r>
              <w:rPr>
                <w:rFonts w:hint="eastAsia"/>
              </w:rPr>
              <w:t>月度加油包：</w:t>
            </w:r>
            <w:r>
              <w:rPr>
                <w:rFonts w:hint="eastAsia"/>
              </w:rPr>
              <w:t>9.9</w:t>
            </w:r>
            <w:r>
              <w:rPr>
                <w:rFonts w:hint="eastAsia"/>
              </w:rPr>
              <w:t>元</w:t>
            </w:r>
            <w:r>
              <w:rPr>
                <w:rFonts w:hint="eastAsia"/>
              </w:rPr>
              <w:t>/</w:t>
            </w:r>
            <w:r>
              <w:rPr>
                <w:rFonts w:hint="eastAsia"/>
              </w:rPr>
              <w:t>月（不限次数）</w:t>
            </w:r>
          </w:p>
        </w:tc>
        <w:tc>
          <w:tcPr>
            <w:tcW w:w="2100" w:type="pct"/>
            <w:vAlign w:val="center"/>
          </w:tcPr>
          <w:p w:rsidR="00B70185" w:rsidRDefault="00000000">
            <w:pPr>
              <w:jc w:val="center"/>
            </w:pPr>
            <w:r>
              <w:rPr>
                <w:rFonts w:hint="eastAsia"/>
              </w:rPr>
              <w:t>语音转录与</w:t>
            </w:r>
            <w:r>
              <w:rPr>
                <w:rFonts w:hint="eastAsia"/>
              </w:rPr>
              <w:t>OCR</w:t>
            </w:r>
            <w:r>
              <w:rPr>
                <w:rFonts w:hint="eastAsia"/>
              </w:rPr>
              <w:t>为成熟技术，边际成本极低，小额定价既覆盖算力成本，又培养用户为“便利性”付费的习惯，可作为从免费用户向付费用户转化的首个触点。</w:t>
            </w:r>
          </w:p>
        </w:tc>
      </w:tr>
      <w:tr w:rsidR="00B70185">
        <w:tc>
          <w:tcPr>
            <w:tcW w:w="601" w:type="pct"/>
            <w:shd w:val="clear" w:color="auto" w:fill="DAE3F4" w:themeFill="accent1" w:themeFillTint="32"/>
            <w:vAlign w:val="center"/>
          </w:tcPr>
          <w:p w:rsidR="00B70185" w:rsidRDefault="00000000">
            <w:pPr>
              <w:jc w:val="center"/>
            </w:pPr>
            <w:r>
              <w:rPr>
                <w:rFonts w:hint="eastAsia"/>
                <w:highlight w:val="yellow"/>
              </w:rPr>
              <w:t>境外搜索</w:t>
            </w:r>
            <w:r>
              <w:rPr>
                <w:rFonts w:hint="eastAsia"/>
                <w:highlight w:val="yellow"/>
              </w:rPr>
              <w:t>/</w:t>
            </w:r>
            <w:r>
              <w:rPr>
                <w:rFonts w:hint="eastAsia"/>
                <w:highlight w:val="yellow"/>
              </w:rPr>
              <w:t>专业数据库超额访问</w:t>
            </w:r>
          </w:p>
        </w:tc>
        <w:tc>
          <w:tcPr>
            <w:tcW w:w="1545" w:type="pct"/>
            <w:vAlign w:val="center"/>
          </w:tcPr>
          <w:p w:rsidR="00B70185" w:rsidRDefault="00000000">
            <w:pPr>
              <w:jc w:val="center"/>
            </w:pPr>
            <w:r>
              <w:rPr>
                <w:rFonts w:hint="eastAsia"/>
              </w:rPr>
              <w:t>超出免费</w:t>
            </w:r>
            <w:r>
              <w:rPr>
                <w:rFonts w:hint="eastAsia"/>
              </w:rPr>
              <w:t>/</w:t>
            </w:r>
            <w:r>
              <w:rPr>
                <w:rFonts w:hint="eastAsia"/>
              </w:rPr>
              <w:t>订阅套餐所包含的境外法律信息检索额度（包括境外法条、国际判例、特定司法管辖区数据库）</w:t>
            </w:r>
          </w:p>
        </w:tc>
        <w:tc>
          <w:tcPr>
            <w:tcW w:w="752" w:type="pct"/>
            <w:vAlign w:val="center"/>
          </w:tcPr>
          <w:p w:rsidR="00B70185" w:rsidRDefault="00000000">
            <w:pPr>
              <w:jc w:val="center"/>
            </w:pPr>
            <w:r>
              <w:rPr>
                <w:rFonts w:hint="eastAsia"/>
              </w:rPr>
              <w:t>按次包：</w:t>
            </w:r>
            <w:r>
              <w:rPr>
                <w:rFonts w:hint="eastAsia"/>
              </w:rPr>
              <w:t>2.9</w:t>
            </w:r>
            <w:r>
              <w:rPr>
                <w:rFonts w:hint="eastAsia"/>
              </w:rPr>
              <w:t>元</w:t>
            </w:r>
            <w:r>
              <w:rPr>
                <w:rFonts w:hint="eastAsia"/>
              </w:rPr>
              <w:t>/</w:t>
            </w:r>
            <w:r>
              <w:rPr>
                <w:rFonts w:hint="eastAsia"/>
              </w:rPr>
              <w:t>次访问</w:t>
            </w:r>
          </w:p>
          <w:p w:rsidR="00B70185" w:rsidRDefault="00000000">
            <w:pPr>
              <w:jc w:val="center"/>
            </w:pPr>
            <w:r>
              <w:rPr>
                <w:rFonts w:hint="eastAsia"/>
              </w:rPr>
              <w:t>小时包：</w:t>
            </w:r>
            <w:r>
              <w:rPr>
                <w:rFonts w:hint="eastAsia"/>
              </w:rPr>
              <w:t>9.9</w:t>
            </w:r>
            <w:r>
              <w:rPr>
                <w:rFonts w:hint="eastAsia"/>
              </w:rPr>
              <w:t>元</w:t>
            </w:r>
            <w:r>
              <w:rPr>
                <w:rFonts w:hint="eastAsia"/>
              </w:rPr>
              <w:t>/</w:t>
            </w:r>
            <w:r>
              <w:rPr>
                <w:rFonts w:hint="eastAsia"/>
              </w:rPr>
              <w:t>小时（不限次数）</w:t>
            </w:r>
          </w:p>
          <w:p w:rsidR="00B70185" w:rsidRDefault="00000000">
            <w:pPr>
              <w:jc w:val="center"/>
            </w:pPr>
            <w:r>
              <w:rPr>
                <w:rFonts w:hint="eastAsia"/>
              </w:rPr>
              <w:t>日卡：</w:t>
            </w:r>
            <w:r>
              <w:rPr>
                <w:rFonts w:hint="eastAsia"/>
              </w:rPr>
              <w:t>19.9</w:t>
            </w:r>
            <w:r>
              <w:rPr>
                <w:rFonts w:hint="eastAsia"/>
              </w:rPr>
              <w:t>元</w:t>
            </w:r>
            <w:r>
              <w:rPr>
                <w:rFonts w:hint="eastAsia"/>
              </w:rPr>
              <w:t>/</w:t>
            </w:r>
            <w:r>
              <w:rPr>
                <w:rFonts w:hint="eastAsia"/>
              </w:rPr>
              <w:t>日（不限次数）</w:t>
            </w:r>
          </w:p>
        </w:tc>
        <w:tc>
          <w:tcPr>
            <w:tcW w:w="2100" w:type="pct"/>
            <w:vAlign w:val="center"/>
          </w:tcPr>
          <w:p w:rsidR="00B70185" w:rsidRDefault="00000000">
            <w:pPr>
              <w:jc w:val="center"/>
            </w:pPr>
            <w:proofErr w:type="spellStart"/>
            <w:r>
              <w:rPr>
                <w:rFonts w:hint="eastAsia"/>
              </w:rPr>
              <w:t>OpenCorporates</w:t>
            </w:r>
            <w:proofErr w:type="spellEnd"/>
            <w:r>
              <w:rPr>
                <w:rFonts w:hint="eastAsia"/>
              </w:rPr>
              <w:t>企业数据</w:t>
            </w:r>
            <w:r>
              <w:rPr>
                <w:rFonts w:hint="eastAsia"/>
              </w:rPr>
              <w:t>API</w:t>
            </w:r>
            <w:r>
              <w:rPr>
                <w:rFonts w:hint="eastAsia"/>
              </w:rPr>
              <w:t>单次调用成本约</w:t>
            </w:r>
            <w:r>
              <w:rPr>
                <w:rFonts w:hint="eastAsia"/>
              </w:rPr>
              <w:t>0.20-0.375</w:t>
            </w:r>
            <w:r>
              <w:rPr>
                <w:rFonts w:hint="eastAsia"/>
              </w:rPr>
              <w:t>英镑（约</w:t>
            </w:r>
            <w:r>
              <w:rPr>
                <w:rFonts w:hint="eastAsia"/>
              </w:rPr>
              <w:t>1.8-3.4</w:t>
            </w:r>
            <w:r>
              <w:rPr>
                <w:rFonts w:hint="eastAsia"/>
              </w:rPr>
              <w:t>元）。综合考虑境外数据授权成本，</w:t>
            </w:r>
            <w:r>
              <w:rPr>
                <w:rFonts w:hint="eastAsia"/>
              </w:rPr>
              <w:t>LAW-MASTER</w:t>
            </w:r>
            <w:r>
              <w:rPr>
                <w:rFonts w:hint="eastAsia"/>
              </w:rPr>
              <w:t>定价处于合理区间。</w:t>
            </w:r>
          </w:p>
        </w:tc>
      </w:tr>
    </w:tbl>
    <w:p w:rsidR="00B70185" w:rsidRDefault="00000000">
      <w:pPr>
        <w:pStyle w:val="a3"/>
        <w:jc w:val="center"/>
        <w:rPr>
          <w:rFonts w:asciiTheme="majorHAnsi" w:hAnsiTheme="majorHAnsi" w:cstheme="majorBidi"/>
          <w:szCs w:val="20"/>
        </w:rPr>
      </w:pPr>
      <w:r>
        <w:rPr>
          <w:rFonts w:asciiTheme="majorHAnsi" w:hAnsiTheme="majorHAnsi" w:cstheme="majorBidi" w:hint="eastAsia"/>
          <w:szCs w:val="20"/>
        </w:rPr>
        <w:t>表</w:t>
      </w:r>
      <w:r>
        <w:rPr>
          <w:rFonts w:asciiTheme="majorHAnsi" w:hAnsiTheme="majorHAnsi" w:cstheme="majorBidi" w:hint="eastAsia"/>
          <w:szCs w:val="20"/>
        </w:rPr>
        <w:t xml:space="preserve"> </w:t>
      </w:r>
      <w:r>
        <w:rPr>
          <w:rFonts w:asciiTheme="majorHAnsi" w:hAnsiTheme="majorHAnsi" w:cstheme="majorBidi" w:hint="eastAsia"/>
          <w:szCs w:val="20"/>
        </w:rPr>
        <w:fldChar w:fldCharType="begin"/>
      </w:r>
      <w:r>
        <w:rPr>
          <w:rFonts w:asciiTheme="majorHAnsi" w:hAnsiTheme="majorHAnsi" w:cstheme="majorBidi" w:hint="eastAsia"/>
          <w:szCs w:val="20"/>
        </w:rPr>
        <w:instrText xml:space="preserve"> SEQ </w:instrText>
      </w:r>
      <w:r>
        <w:rPr>
          <w:rFonts w:asciiTheme="majorHAnsi" w:hAnsiTheme="majorHAnsi" w:cstheme="majorBidi" w:hint="eastAsia"/>
          <w:szCs w:val="20"/>
        </w:rPr>
        <w:instrText>表</w:instrText>
      </w:r>
      <w:r>
        <w:rPr>
          <w:rFonts w:asciiTheme="majorHAnsi" w:hAnsiTheme="majorHAnsi" w:cstheme="majorBidi" w:hint="eastAsia"/>
          <w:szCs w:val="20"/>
        </w:rPr>
        <w:instrText xml:space="preserve"> \* ARABIC </w:instrText>
      </w:r>
      <w:r>
        <w:rPr>
          <w:rFonts w:asciiTheme="majorHAnsi" w:hAnsiTheme="majorHAnsi" w:cstheme="majorBidi" w:hint="eastAsia"/>
          <w:szCs w:val="20"/>
        </w:rPr>
        <w:fldChar w:fldCharType="separate"/>
      </w:r>
      <w:r>
        <w:rPr>
          <w:rFonts w:asciiTheme="majorHAnsi" w:hAnsiTheme="majorHAnsi" w:cstheme="majorBidi" w:hint="eastAsia"/>
          <w:szCs w:val="20"/>
        </w:rPr>
        <w:t>6</w:t>
      </w:r>
      <w:r>
        <w:rPr>
          <w:rFonts w:asciiTheme="majorHAnsi" w:hAnsiTheme="majorHAnsi" w:cstheme="majorBidi" w:hint="eastAsia"/>
          <w:szCs w:val="20"/>
        </w:rPr>
        <w:fldChar w:fldCharType="end"/>
      </w:r>
      <w:r>
        <w:rPr>
          <w:rFonts w:asciiTheme="majorHAnsi" w:hAnsiTheme="majorHAnsi" w:cstheme="majorBidi" w:hint="eastAsia"/>
          <w:szCs w:val="20"/>
        </w:rPr>
        <w:t xml:space="preserve">  LAW-MASTER</w:t>
      </w:r>
      <w:r>
        <w:rPr>
          <w:rFonts w:asciiTheme="majorHAnsi" w:hAnsiTheme="majorHAnsi" w:cstheme="majorBidi" w:hint="eastAsia"/>
          <w:szCs w:val="20"/>
        </w:rPr>
        <w:t>增值服务</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46" w:name="_Toc26972"/>
      <w:r>
        <w:rPr>
          <w:rFonts w:ascii="宋体" w:eastAsia="宋体" w:hAnsi="宋体" w:hint="eastAsia"/>
          <w:bCs/>
          <w:sz w:val="21"/>
          <w:szCs w:val="32"/>
        </w:rPr>
        <w:t>4.1.3 开放平台/API授权</w:t>
      </w:r>
      <w:bookmarkEnd w:id="46"/>
    </w:p>
    <w:p w:rsidR="00B70185" w:rsidRDefault="00000000">
      <w:pPr>
        <w:pStyle w:val="2"/>
        <w:tabs>
          <w:tab w:val="center" w:pos="4153"/>
        </w:tabs>
        <w:spacing w:line="300" w:lineRule="auto"/>
        <w:ind w:leftChars="0" w:left="0" w:rightChars="0" w:right="0" w:firstLineChars="200" w:firstLine="420"/>
        <w:rPr>
          <w:rFonts w:asciiTheme="minorHAnsi" w:eastAsiaTheme="minorEastAsia" w:hAnsiTheme="minorHAnsi" w:cstheme="minorBidi"/>
          <w:b w:val="0"/>
          <w:bCs w:val="0"/>
          <w:sz w:val="21"/>
          <w:szCs w:val="24"/>
        </w:rPr>
      </w:pPr>
      <w:r>
        <w:rPr>
          <w:rFonts w:asciiTheme="minorHAnsi" w:eastAsiaTheme="minorEastAsia" w:hAnsiTheme="minorHAnsi" w:cstheme="minorBidi" w:hint="eastAsia"/>
          <w:b w:val="0"/>
          <w:bCs w:val="0"/>
          <w:sz w:val="21"/>
          <w:szCs w:val="24"/>
        </w:rPr>
        <w:t>将</w:t>
      </w:r>
      <w:r>
        <w:rPr>
          <w:rFonts w:asciiTheme="minorHAnsi" w:eastAsiaTheme="minorEastAsia" w:hAnsiTheme="minorHAnsi" w:cstheme="minorBidi" w:hint="eastAsia"/>
          <w:b w:val="0"/>
          <w:bCs w:val="0"/>
          <w:sz w:val="21"/>
          <w:szCs w:val="24"/>
        </w:rPr>
        <w:t>LAW-MASTER</w:t>
      </w:r>
      <w:r>
        <w:rPr>
          <w:rFonts w:asciiTheme="minorHAnsi" w:eastAsiaTheme="minorEastAsia" w:hAnsiTheme="minorHAnsi" w:cstheme="minorBidi" w:hint="eastAsia"/>
          <w:b w:val="0"/>
          <w:bCs w:val="0"/>
          <w:sz w:val="21"/>
          <w:szCs w:val="24"/>
        </w:rPr>
        <w:t>的核心</w:t>
      </w:r>
      <w:r>
        <w:rPr>
          <w:rFonts w:asciiTheme="minorHAnsi" w:eastAsiaTheme="minorEastAsia" w:hAnsiTheme="minorHAnsi" w:cstheme="minorBidi" w:hint="eastAsia"/>
          <w:b w:val="0"/>
          <w:bCs w:val="0"/>
          <w:sz w:val="21"/>
          <w:szCs w:val="24"/>
        </w:rPr>
        <w:t>AI</w:t>
      </w:r>
      <w:r>
        <w:rPr>
          <w:rFonts w:asciiTheme="minorHAnsi" w:eastAsiaTheme="minorEastAsia" w:hAnsiTheme="minorHAnsi" w:cstheme="minorBidi" w:hint="eastAsia"/>
          <w:b w:val="0"/>
          <w:bCs w:val="0"/>
          <w:sz w:val="21"/>
          <w:szCs w:val="24"/>
        </w:rPr>
        <w:t>法律推理能力、法条案例检索</w:t>
      </w:r>
      <w:r>
        <w:rPr>
          <w:rFonts w:asciiTheme="minorHAnsi" w:eastAsiaTheme="minorEastAsia" w:hAnsiTheme="minorHAnsi" w:cstheme="minorBidi" w:hint="eastAsia"/>
          <w:b w:val="0"/>
          <w:bCs w:val="0"/>
          <w:sz w:val="21"/>
          <w:szCs w:val="24"/>
        </w:rPr>
        <w:t>API</w:t>
      </w:r>
      <w:r>
        <w:rPr>
          <w:rFonts w:asciiTheme="minorHAnsi" w:eastAsiaTheme="minorEastAsia" w:hAnsiTheme="minorHAnsi" w:cstheme="minorBidi" w:hint="eastAsia"/>
          <w:b w:val="0"/>
          <w:bCs w:val="0"/>
          <w:sz w:val="21"/>
          <w:szCs w:val="24"/>
        </w:rPr>
        <w:t>、文档生成</w:t>
      </w:r>
      <w:r>
        <w:rPr>
          <w:rFonts w:asciiTheme="minorHAnsi" w:eastAsiaTheme="minorEastAsia" w:hAnsiTheme="minorHAnsi" w:cstheme="minorBidi" w:hint="eastAsia"/>
          <w:b w:val="0"/>
          <w:bCs w:val="0"/>
          <w:sz w:val="21"/>
          <w:szCs w:val="24"/>
        </w:rPr>
        <w:t>API</w:t>
      </w:r>
      <w:r>
        <w:rPr>
          <w:rFonts w:asciiTheme="minorHAnsi" w:eastAsiaTheme="minorEastAsia" w:hAnsiTheme="minorHAnsi" w:cstheme="minorBidi" w:hint="eastAsia"/>
          <w:b w:val="0"/>
          <w:bCs w:val="0"/>
          <w:sz w:val="21"/>
          <w:szCs w:val="24"/>
        </w:rPr>
        <w:t>等开放给第三方法律科技公司、其他</w:t>
      </w:r>
      <w:r>
        <w:rPr>
          <w:rFonts w:asciiTheme="minorHAnsi" w:eastAsiaTheme="minorEastAsia" w:hAnsiTheme="minorHAnsi" w:cstheme="minorBidi" w:hint="eastAsia"/>
          <w:b w:val="0"/>
          <w:bCs w:val="0"/>
          <w:sz w:val="21"/>
          <w:szCs w:val="24"/>
        </w:rPr>
        <w:t>SaaS</w:t>
      </w:r>
      <w:r>
        <w:rPr>
          <w:rFonts w:asciiTheme="minorHAnsi" w:eastAsiaTheme="minorEastAsia" w:hAnsiTheme="minorHAnsi" w:cstheme="minorBidi" w:hint="eastAsia"/>
          <w:b w:val="0"/>
          <w:bCs w:val="0"/>
          <w:sz w:val="21"/>
          <w:szCs w:val="24"/>
        </w:rPr>
        <w:t>平台或大型企业，收取</w:t>
      </w:r>
      <w:r>
        <w:rPr>
          <w:rFonts w:asciiTheme="minorHAnsi" w:eastAsiaTheme="minorEastAsia" w:hAnsiTheme="minorHAnsi" w:cstheme="minorBidi" w:hint="eastAsia"/>
          <w:b w:val="0"/>
          <w:bCs w:val="0"/>
          <w:sz w:val="21"/>
          <w:szCs w:val="24"/>
        </w:rPr>
        <w:t>API</w:t>
      </w:r>
      <w:r>
        <w:rPr>
          <w:rFonts w:asciiTheme="minorHAnsi" w:eastAsiaTheme="minorEastAsia" w:hAnsiTheme="minorHAnsi" w:cstheme="minorBidi" w:hint="eastAsia"/>
          <w:b w:val="0"/>
          <w:bCs w:val="0"/>
          <w:sz w:val="21"/>
          <w:szCs w:val="24"/>
        </w:rPr>
        <w:t>调用费用或授权费用。</w:t>
      </w:r>
      <w:bookmarkStart w:id="47" w:name="_Toc10086"/>
    </w:p>
    <w:p w:rsidR="00B70185" w:rsidRDefault="00000000">
      <w:pPr>
        <w:pStyle w:val="2"/>
        <w:tabs>
          <w:tab w:val="center" w:pos="4153"/>
        </w:tabs>
        <w:spacing w:line="300" w:lineRule="auto"/>
        <w:ind w:right="210"/>
        <w:rPr>
          <w:rFonts w:ascii="宋体" w:eastAsia="宋体" w:hAnsi="宋体"/>
          <w:sz w:val="21"/>
          <w:szCs w:val="21"/>
        </w:rPr>
      </w:pPr>
      <w:r>
        <w:rPr>
          <w:rFonts w:ascii="宋体" w:eastAsia="宋体" w:hAnsi="宋体" w:hint="eastAsia"/>
          <w:sz w:val="21"/>
          <w:szCs w:val="21"/>
        </w:rPr>
        <w:t>4.2 营销策略</w:t>
      </w:r>
      <w:bookmarkEnd w:id="47"/>
    </w:p>
    <w:p w:rsidR="00B70185" w:rsidRDefault="00000000">
      <w:pPr>
        <w:ind w:firstLine="420"/>
      </w:pPr>
      <w:r>
        <w:rPr>
          <w:rFonts w:hint="eastAsia"/>
        </w:rPr>
        <w:t>围绕“信任建立、价值教育、精准触达、生态共建”四大核心支点，</w:t>
      </w:r>
      <w:r>
        <w:rPr>
          <w:rFonts w:hint="eastAsia"/>
        </w:rPr>
        <w:t>LAW-MASTER</w:t>
      </w:r>
      <w:r>
        <w:rPr>
          <w:rFonts w:hint="eastAsia"/>
        </w:rPr>
        <w:t>构建起一套覆盖品牌、流量、渠道、转化的全链路营销策略，充分利用自身在国产化算力、数据安全与专业深度上的差异化优势，实现从技术领先到市场占位的认知迁移。</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48" w:name="_Toc32121"/>
      <w:r>
        <w:rPr>
          <w:rFonts w:ascii="宋体" w:eastAsia="宋体" w:hAnsi="宋体" w:hint="eastAsia"/>
          <w:bCs/>
          <w:sz w:val="21"/>
          <w:szCs w:val="32"/>
        </w:rPr>
        <w:t>4.2.1 线上营销</w:t>
      </w:r>
      <w:bookmarkEnd w:id="48"/>
    </w:p>
    <w:p w:rsidR="00B70185" w:rsidRDefault="00000000">
      <w:pPr>
        <w:ind w:firstLine="420"/>
      </w:pPr>
      <w:r>
        <w:rPr>
          <w:rFonts w:hint="eastAsia"/>
        </w:rPr>
        <w:t>短视频方面，基于抖音、快手、</w:t>
      </w:r>
      <w:r>
        <w:rPr>
          <w:rFonts w:hint="eastAsia"/>
        </w:rPr>
        <w:t>B</w:t>
      </w:r>
      <w:r>
        <w:rPr>
          <w:rFonts w:hint="eastAsia"/>
        </w:rPr>
        <w:t>站、微信视频号、小红书等流量高地，的不同用户画像与推荐机制，发布差异化内容，包括痛点共鸣、功能演示、法律科普型和国产数据安全宣传，视频中设置清晰的</w:t>
      </w:r>
      <w:r>
        <w:rPr>
          <w:rFonts w:hint="eastAsia"/>
        </w:rPr>
        <w:t>CTA</w:t>
      </w:r>
      <w:r>
        <w:rPr>
          <w:rFonts w:hint="eastAsia"/>
        </w:rPr>
        <w:t>，引导用户登录网站、下载</w:t>
      </w:r>
      <w:r>
        <w:rPr>
          <w:rFonts w:hint="eastAsia"/>
        </w:rPr>
        <w:t>APP</w:t>
      </w:r>
      <w:r>
        <w:rPr>
          <w:rFonts w:hint="eastAsia"/>
        </w:rPr>
        <w:t>、关注公众号、参与免费试用。社区方面，官方精心运营微信公众号、微博、知乎等官方账号，发布法律干货、产品动态、用户成功案例，在知乎、豆瓣、贴吧等生活社区相关内容中适时引入</w:t>
      </w:r>
      <w:r>
        <w:rPr>
          <w:rFonts w:hint="eastAsia"/>
        </w:rPr>
        <w:t>LAW-MASTER</w:t>
      </w:r>
      <w:r>
        <w:rPr>
          <w:rFonts w:hint="eastAsia"/>
        </w:rPr>
        <w:t>解决方案，拓展普通用户群体。优化“</w:t>
      </w:r>
      <w:r>
        <w:rPr>
          <w:rFonts w:hint="eastAsia"/>
        </w:rPr>
        <w:t>AI</w:t>
      </w:r>
      <w:r>
        <w:rPr>
          <w:rFonts w:hint="eastAsia"/>
        </w:rPr>
        <w:t>法律咨询”、“智能合同审查”、“法律文书生成器”、“法律法规查询”、“证据</w:t>
      </w:r>
      <w:r>
        <w:rPr>
          <w:rFonts w:hint="eastAsia"/>
        </w:rPr>
        <w:t>OCR</w:t>
      </w:r>
      <w:r>
        <w:rPr>
          <w:rFonts w:hint="eastAsia"/>
        </w:rPr>
        <w:t>识别”、“法律数据安全”等核心关键词搜索引擎，提升自然搜索排名。</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49" w:name="_Toc30872"/>
      <w:r>
        <w:rPr>
          <w:rFonts w:ascii="宋体" w:eastAsia="宋体" w:hAnsi="宋体" w:hint="eastAsia"/>
          <w:bCs/>
          <w:sz w:val="21"/>
          <w:szCs w:val="32"/>
        </w:rPr>
        <w:t>4.2.2 线下营销</w:t>
      </w:r>
      <w:bookmarkEnd w:id="49"/>
    </w:p>
    <w:p w:rsidR="00B70185" w:rsidRDefault="00000000">
      <w:pPr>
        <w:spacing w:line="300" w:lineRule="auto"/>
        <w:ind w:firstLineChars="200" w:firstLine="420"/>
        <w:rPr>
          <w:szCs w:val="21"/>
        </w:rPr>
      </w:pPr>
      <w:r>
        <w:rPr>
          <w:rFonts w:hint="eastAsia"/>
          <w:szCs w:val="21"/>
        </w:rPr>
        <w:t>（</w:t>
      </w:r>
      <w:r>
        <w:rPr>
          <w:rFonts w:hint="eastAsia"/>
          <w:szCs w:val="21"/>
        </w:rPr>
        <w:t>1</w:t>
      </w:r>
      <w:r>
        <w:rPr>
          <w:rFonts w:hint="eastAsia"/>
          <w:szCs w:val="21"/>
        </w:rPr>
        <w:t>）平台合作</w:t>
      </w:r>
    </w:p>
    <w:p w:rsidR="00B70185" w:rsidRDefault="00000000">
      <w:pPr>
        <w:ind w:firstLine="420"/>
      </w:pPr>
      <w:r>
        <w:rPr>
          <w:highlight w:val="yellow"/>
        </w:rPr>
        <w:t>LAW-MASTER</w:t>
      </w:r>
      <w:r>
        <w:rPr>
          <w:rFonts w:hint="eastAsia"/>
          <w:highlight w:val="yellow"/>
        </w:rPr>
        <w:t>与“</w:t>
      </w:r>
      <w:r>
        <w:rPr>
          <w:highlight w:val="yellow"/>
        </w:rPr>
        <w:t>律咚咚</w:t>
      </w:r>
      <w:r>
        <w:rPr>
          <w:rFonts w:hint="eastAsia"/>
          <w:highlight w:val="yellow"/>
        </w:rPr>
        <w:t>”</w:t>
      </w:r>
      <w:r>
        <w:rPr>
          <w:highlight w:val="yellow"/>
        </w:rPr>
        <w:t>法律科技平台</w:t>
      </w:r>
      <w:r>
        <w:rPr>
          <w:rFonts w:hint="eastAsia"/>
          <w:highlight w:val="yellow"/>
        </w:rPr>
        <w:t>进行合作</w:t>
      </w:r>
      <w:r>
        <w:rPr>
          <w:rFonts w:hint="eastAsia"/>
        </w:rPr>
        <w:t>，在</w:t>
      </w:r>
      <w:r>
        <w:t>AI</w:t>
      </w:r>
      <w:r>
        <w:t>核心赋能模块</w:t>
      </w:r>
      <w:r>
        <w:rPr>
          <w:rFonts w:hint="eastAsia"/>
        </w:rPr>
        <w:t>进行嵌入式点。</w:t>
      </w:r>
      <w:r>
        <w:lastRenderedPageBreak/>
        <w:t>例如，</w:t>
      </w:r>
      <w:r>
        <w:t>“</w:t>
      </w:r>
      <w:r>
        <w:t>律咚咚</w:t>
      </w:r>
      <w:r>
        <w:t>”</w:t>
      </w:r>
      <w:r>
        <w:t>用户在处理合同审查时，可调用</w:t>
      </w:r>
      <w:r>
        <w:t>LAW-MASTER</w:t>
      </w:r>
      <w:r>
        <w:t>的</w:t>
      </w:r>
      <w:r>
        <w:t>AI</w:t>
      </w:r>
      <w:r>
        <w:t>引擎进行智能识别和风险提示；在整理案件证据时，直接通过</w:t>
      </w:r>
      <w:r>
        <w:t>“</w:t>
      </w:r>
      <w:r>
        <w:t>律咚咚</w:t>
      </w:r>
      <w:r>
        <w:t>”</w:t>
      </w:r>
      <w:r>
        <w:t>界面调用</w:t>
      </w:r>
      <w:r>
        <w:t>LAW-MASTER</w:t>
      </w:r>
      <w:r>
        <w:t>的</w:t>
      </w:r>
      <w:r>
        <w:t>OCR</w:t>
      </w:r>
      <w:r>
        <w:t>和语音转录功能。突出</w:t>
      </w:r>
      <w:r>
        <w:t>LAW-MASTER</w:t>
      </w:r>
      <w:r>
        <w:t>在数据安全和国产化算力（鲲鹏</w:t>
      </w:r>
      <w:r>
        <w:t>-</w:t>
      </w:r>
      <w:r>
        <w:t>昇腾）方面的优势，这对数据合规性要求高</w:t>
      </w:r>
      <w:r>
        <w:rPr>
          <w:rFonts w:hint="eastAsia"/>
        </w:rPr>
        <w:t>的</w:t>
      </w:r>
      <w:r>
        <w:t>B</w:t>
      </w:r>
      <w:r>
        <w:t>端客户具有极强的吸引力。</w:t>
      </w:r>
    </w:p>
    <w:p w:rsidR="00B70185" w:rsidRDefault="00000000">
      <w:pPr>
        <w:spacing w:line="300" w:lineRule="auto"/>
        <w:ind w:firstLineChars="200" w:firstLine="420"/>
        <w:rPr>
          <w:szCs w:val="21"/>
        </w:rPr>
      </w:pPr>
      <w:r>
        <w:rPr>
          <w:rFonts w:hint="eastAsia"/>
          <w:szCs w:val="21"/>
        </w:rPr>
        <w:t>（</w:t>
      </w:r>
      <w:r>
        <w:rPr>
          <w:rFonts w:hint="eastAsia"/>
          <w:szCs w:val="21"/>
        </w:rPr>
        <w:t>2</w:t>
      </w:r>
      <w:r>
        <w:rPr>
          <w:rFonts w:hint="eastAsia"/>
          <w:szCs w:val="21"/>
        </w:rPr>
        <w:t>）基层试点</w:t>
      </w:r>
    </w:p>
    <w:p w:rsidR="00B70185" w:rsidRDefault="00000000">
      <w:pPr>
        <w:ind w:firstLine="420"/>
      </w:pPr>
      <w:r>
        <w:t>将</w:t>
      </w:r>
      <w:r>
        <w:t>LAW-MASTER</w:t>
      </w:r>
      <w:r>
        <w:t>作为提升基层法律服务效率和覆盖面的工具，免费或以优惠价格提供给基层司法所、工会等公共服务机构进行试点。彰显</w:t>
      </w:r>
      <w:r>
        <w:t>LAW-MASTER</w:t>
      </w:r>
      <w:r>
        <w:t>的社会责任感和普惠价值，建立强大的社会公信力与政府背书。通过试点积累真实的成功案例，为后续向其他政府机构、社会组织推广提供有力支撑。试点成功后，可将此模式推广至其他基层政府机构、公益组织，并探索长期合作或采购模式。</w:t>
      </w:r>
    </w:p>
    <w:p w:rsidR="00B70185" w:rsidRDefault="00000000">
      <w:pPr>
        <w:pStyle w:val="2"/>
        <w:tabs>
          <w:tab w:val="center" w:pos="4153"/>
        </w:tabs>
        <w:spacing w:line="300" w:lineRule="auto"/>
        <w:ind w:right="210"/>
        <w:rPr>
          <w:rFonts w:ascii="宋体" w:eastAsia="宋体" w:hAnsi="宋体"/>
          <w:sz w:val="21"/>
          <w:szCs w:val="21"/>
        </w:rPr>
      </w:pPr>
      <w:bookmarkStart w:id="50" w:name="_Toc17764"/>
      <w:r>
        <w:rPr>
          <w:rFonts w:ascii="宋体" w:eastAsia="宋体" w:hAnsi="宋体" w:hint="eastAsia"/>
          <w:sz w:val="21"/>
          <w:szCs w:val="21"/>
        </w:rPr>
        <w:t>4.3 用户留存与增长策略。</w:t>
      </w:r>
      <w:bookmarkEnd w:id="50"/>
    </w:p>
    <w:p w:rsidR="00B70185" w:rsidRDefault="00000000">
      <w:pPr>
        <w:ind w:firstLine="420"/>
      </w:pPr>
      <w:r>
        <w:rPr>
          <w:rFonts w:hint="eastAsia"/>
        </w:rPr>
        <w:t>建立多渠道的用户反馈机制（</w:t>
      </w:r>
      <w:r>
        <w:rPr>
          <w:rFonts w:hint="eastAsia"/>
        </w:rPr>
        <w:t>APP</w:t>
      </w:r>
      <w:r>
        <w:rPr>
          <w:rFonts w:hint="eastAsia"/>
        </w:rPr>
        <w:t>内反馈、客服、社区），快速响应用户需求和痛点，持续迭代产品，充分利用</w:t>
      </w:r>
      <w:r>
        <w:rPr>
          <w:rFonts w:hint="eastAsia"/>
        </w:rPr>
        <w:t>API+</w:t>
      </w:r>
      <w:r>
        <w:rPr>
          <w:rFonts w:hint="eastAsia"/>
        </w:rPr>
        <w:t>自动写入知识库的优势，确保</w:t>
      </w:r>
      <w:r>
        <w:rPr>
          <w:rFonts w:hint="eastAsia"/>
        </w:rPr>
        <w:t>LAW-MASTER</w:t>
      </w:r>
      <w:r>
        <w:rPr>
          <w:rFonts w:hint="eastAsia"/>
        </w:rPr>
        <w:t>的法律知识始终是最新、最权威的，增强用户对其专业性的信任。通过大数据分析用户的使用习惯、偏好和痛点，例如：哪些功能使用频率高，哪些法律问题关注度高，哪些环节容易流失，基于用户兴趣和历史行为，推送相关的法律资讯、功能提示或定制化服务。建立高质量的用户交流社群，鼓励用户分享使用经验、提问，形成互助氛围，根据用户活跃度、付费金额等设置积分和等级，提供积分兑换功能，推出“邀请好友得奖励”机制，老用户成功邀请新用户付费订阅，双方均可获得免费时长、功能升级或现金奖励，利用用户口碑进行裂变传播。</w:t>
      </w:r>
    </w:p>
    <w:p w:rsidR="00B70185" w:rsidRDefault="00000000">
      <w:pPr>
        <w:pStyle w:val="1"/>
        <w:spacing w:line="300" w:lineRule="auto"/>
        <w:rPr>
          <w:rFonts w:ascii="黑体" w:eastAsia="黑体" w:hAnsi="黑体"/>
          <w:sz w:val="24"/>
          <w:szCs w:val="24"/>
        </w:rPr>
      </w:pPr>
      <w:bookmarkStart w:id="51" w:name="_Toc16886"/>
      <w:r>
        <w:rPr>
          <w:rFonts w:ascii="黑体" w:eastAsia="黑体" w:hAnsi="黑体" w:hint="eastAsia"/>
          <w:sz w:val="24"/>
          <w:szCs w:val="24"/>
        </w:rPr>
        <w:t>5.公司与团队</w:t>
      </w:r>
      <w:bookmarkEnd w:id="41"/>
      <w:bookmarkEnd w:id="51"/>
    </w:p>
    <w:p w:rsidR="00B70185" w:rsidRDefault="00000000">
      <w:pPr>
        <w:pStyle w:val="2"/>
        <w:tabs>
          <w:tab w:val="center" w:pos="4153"/>
        </w:tabs>
        <w:spacing w:line="300" w:lineRule="auto"/>
        <w:ind w:right="210"/>
        <w:rPr>
          <w:rFonts w:ascii="宋体" w:eastAsia="宋体" w:hAnsi="宋体"/>
          <w:sz w:val="21"/>
          <w:szCs w:val="21"/>
        </w:rPr>
      </w:pPr>
      <w:bookmarkStart w:id="52" w:name="heading_1"/>
      <w:bookmarkStart w:id="53" w:name="_Toc2830"/>
      <w:r>
        <w:rPr>
          <w:rFonts w:ascii="宋体" w:eastAsia="宋体" w:hAnsi="宋体" w:hint="eastAsia"/>
          <w:sz w:val="21"/>
          <w:szCs w:val="21"/>
        </w:rPr>
        <w:t>5.1公司目简介</w:t>
      </w:r>
      <w:bookmarkEnd w:id="52"/>
      <w:bookmarkEnd w:id="53"/>
    </w:p>
    <w:p w:rsidR="00B70185" w:rsidRDefault="00000000">
      <w:pPr>
        <w:spacing w:line="300" w:lineRule="auto"/>
        <w:ind w:firstLine="420"/>
        <w:rPr>
          <w:rFonts w:ascii="宋体" w:eastAsia="宋体" w:hAnsi="宋体"/>
          <w:szCs w:val="21"/>
        </w:rPr>
      </w:pPr>
      <w:r>
        <w:rPr>
          <w:rFonts w:ascii="宋体" w:eastAsia="宋体" w:hAnsi="宋体" w:hint="eastAsia"/>
          <w:szCs w:val="21"/>
        </w:rPr>
        <w:t>LAW-MASTER是国内专注于“AI+法律”普惠化领域的特色服务项目，核心聚焦基层务工者、社会青年等传统法律服务覆盖不足的“法律小白”群体，依托华为昇腾全栈国产化算力底座与独创的“三模型协同”技术架构，</w:t>
      </w:r>
      <w:r>
        <w:rPr>
          <w:rFonts w:ascii="宋体" w:eastAsia="宋体" w:hAnsi="宋体" w:hint="eastAsia"/>
          <w:b/>
          <w:bCs/>
          <w:szCs w:val="21"/>
        </w:rPr>
        <w:t>打造专属“法律小白”的全流程智能化法律支持平台</w:t>
      </w:r>
      <w:r>
        <w:rPr>
          <w:rFonts w:ascii="宋体" w:eastAsia="宋体" w:hAnsi="宋体" w:hint="eastAsia"/>
          <w:szCs w:val="21"/>
        </w:rPr>
        <w:t>，核心定位为“普通人的随身法律助手”，助力打破法律服务壁垒，实现专业法律服务的普惠可达。</w:t>
      </w:r>
    </w:p>
    <w:p w:rsidR="00B70185" w:rsidRDefault="00000000">
      <w:pPr>
        <w:spacing w:line="300" w:lineRule="auto"/>
        <w:ind w:firstLine="420"/>
        <w:rPr>
          <w:rFonts w:ascii="宋体" w:eastAsia="宋体" w:hAnsi="宋体"/>
          <w:szCs w:val="21"/>
        </w:rPr>
      </w:pPr>
      <w:r>
        <w:rPr>
          <w:rFonts w:ascii="宋体" w:eastAsia="宋体" w:hAnsi="宋体" w:hint="eastAsia"/>
          <w:szCs w:val="21"/>
        </w:rPr>
        <w:t>本项目始终以</w:t>
      </w:r>
      <w:r>
        <w:rPr>
          <w:rFonts w:ascii="宋体" w:eastAsia="宋体" w:hAnsi="宋体" w:hint="eastAsia"/>
          <w:b/>
          <w:bCs/>
          <w:szCs w:val="21"/>
        </w:rPr>
        <w:t>普惠、可信、高效</w:t>
      </w:r>
      <w:r>
        <w:rPr>
          <w:rFonts w:ascii="宋体" w:eastAsia="宋体" w:hAnsi="宋体" w:hint="eastAsia"/>
          <w:szCs w:val="21"/>
        </w:rPr>
        <w:t>为核心价值，以“让专业法律服务像查询天气一样简单易得”为核心使命，深耕“法律小白”核心需求，摒弃传统法律服务的专业门槛与高成本弊端，组建由技术研发、专业法务、市场运营组成的复合型核心团队，专注于将前沿AI技术与通俗化法律服务深度融合，核心发力</w:t>
      </w:r>
      <w:r>
        <w:rPr>
          <w:rFonts w:ascii="宋体" w:eastAsia="宋体" w:hAnsi="宋体" w:hint="eastAsia"/>
          <w:b/>
          <w:bCs/>
          <w:szCs w:val="21"/>
        </w:rPr>
        <w:t>低门槛、高便捷、强实用</w:t>
      </w:r>
      <w:r>
        <w:rPr>
          <w:rFonts w:ascii="宋体" w:eastAsia="宋体" w:hAnsi="宋体" w:hint="eastAsia"/>
          <w:szCs w:val="21"/>
        </w:rPr>
        <w:t>的法律支持服务。区别于传统律所、通用法律平台，项目不追求高端商事法律服务，而是聚焦普通人的高频、小额、基础法律需求，打造差异化核心竞争力。</w:t>
      </w:r>
    </w:p>
    <w:p w:rsidR="00B70185" w:rsidRDefault="00000000">
      <w:pPr>
        <w:spacing w:line="300" w:lineRule="auto"/>
        <w:ind w:firstLine="420"/>
        <w:rPr>
          <w:rFonts w:ascii="宋体" w:eastAsia="宋体" w:hAnsi="宋体"/>
          <w:szCs w:val="21"/>
        </w:rPr>
      </w:pPr>
      <w:r>
        <w:rPr>
          <w:rFonts w:ascii="宋体" w:eastAsia="宋体" w:hAnsi="宋体" w:hint="eastAsia"/>
          <w:szCs w:val="21"/>
        </w:rPr>
        <w:t>作为专注“法律小白”服务的科技型法律服务项目，核心优势集中在三大方面：一是</w:t>
      </w:r>
      <w:r>
        <w:rPr>
          <w:rFonts w:ascii="宋体" w:eastAsia="宋体" w:hAnsi="宋体" w:hint="eastAsia"/>
          <w:b/>
          <w:bCs/>
          <w:szCs w:val="21"/>
        </w:rPr>
        <w:t>技术优势</w:t>
      </w:r>
      <w:r>
        <w:rPr>
          <w:rFonts w:ascii="宋体" w:eastAsia="宋体" w:hAnsi="宋体" w:hint="eastAsia"/>
          <w:szCs w:val="21"/>
        </w:rPr>
        <w:t>，依托华为昇腾国产化算力保障系统安全与响应效率，独创“三模型协同”架构，实现法律需求的精准识别、快速响应与精准输出，无需用户掌握专业法律术语，即可获得易懂、可行的解决方案；二是</w:t>
      </w:r>
      <w:r>
        <w:rPr>
          <w:rFonts w:ascii="宋体" w:eastAsia="宋体" w:hAnsi="宋体" w:hint="eastAsia"/>
          <w:b/>
          <w:bCs/>
          <w:szCs w:val="21"/>
        </w:rPr>
        <w:t>定位优势</w:t>
      </w:r>
      <w:r>
        <w:rPr>
          <w:rFonts w:ascii="宋体" w:eastAsia="宋体" w:hAnsi="宋体" w:hint="eastAsia"/>
          <w:szCs w:val="21"/>
        </w:rPr>
        <w:t>，精准聚焦“法律小白”群体，摒弃复杂专业表述，所有服务均以“大白话引导、步骤化输出、低成本获取”为核心，贴合普通人的认知习惯与</w:t>
      </w:r>
      <w:r>
        <w:rPr>
          <w:rFonts w:ascii="宋体" w:eastAsia="宋体" w:hAnsi="宋体" w:hint="eastAsia"/>
          <w:szCs w:val="21"/>
        </w:rPr>
        <w:lastRenderedPageBreak/>
        <w:t>消费能力；三是</w:t>
      </w:r>
      <w:r>
        <w:rPr>
          <w:rFonts w:ascii="宋体" w:eastAsia="宋体" w:hAnsi="宋体" w:hint="eastAsia"/>
          <w:b/>
          <w:bCs/>
          <w:szCs w:val="21"/>
        </w:rPr>
        <w:t>服务优势</w:t>
      </w:r>
      <w:r>
        <w:rPr>
          <w:rFonts w:ascii="宋体" w:eastAsia="宋体" w:hAnsi="宋体" w:hint="eastAsia"/>
          <w:szCs w:val="21"/>
        </w:rPr>
        <w:t>，构建“24小时响应+全程指引+合规保障”的服务体系，全程规避复杂流程，让普通人在面临法律困惑时，无需奔波、无需支付高昂费用，即可快速获得专业支持。</w:t>
      </w:r>
    </w:p>
    <w:p w:rsidR="00B70185" w:rsidRDefault="00000000">
      <w:pPr>
        <w:spacing w:line="300" w:lineRule="auto"/>
        <w:ind w:firstLine="420"/>
        <w:rPr>
          <w:rFonts w:ascii="宋体" w:eastAsia="宋体" w:hAnsi="宋体"/>
          <w:szCs w:val="21"/>
        </w:rPr>
      </w:pPr>
      <w:r>
        <w:rPr>
          <w:rFonts w:ascii="宋体" w:eastAsia="宋体" w:hAnsi="宋体" w:hint="eastAsia"/>
          <w:szCs w:val="21"/>
        </w:rPr>
        <w:t>本项目核心业务围绕“法律小白”高频基础法律需求展开，覆盖劳动纠纷、消费维权、房屋租赁、小额商业纠纷等长尾场景，采用“免费+双级VIP”的分级服务模式，精准匹配不同用户需求：一是基础免费服务，普通用户每月可享受3次免费智能咨询，涵盖常见法律困惑解答、基础法条通俗解读、简易维权指引；二是低级VIP服务，开放核心功能使用权（含基础法律文书生成、简单纠纷维权步骤指引），同时设置有限次数咨询权限，定价亲民，适配普通用户高频基础需求；三是高级VIP服务，解锁全功能无限制咨询权限，包含复杂法律文书定制与修改、个性化维权方案设计、证据收集全流程指导等增值服务，定价仅为传统律师服务的</w:t>
      </w:r>
      <w:r>
        <w:rPr>
          <w:rFonts w:ascii="宋体" w:eastAsia="宋体" w:hAnsi="宋体" w:hint="eastAsia"/>
          <w:szCs w:val="21"/>
          <w:highlight w:val="yellow"/>
        </w:rPr>
        <w:t>1/20-1/10</w:t>
      </w:r>
      <w:r>
        <w:rPr>
          <w:rFonts w:ascii="宋体" w:eastAsia="宋体" w:hAnsi="宋体" w:hint="eastAsia"/>
          <w:szCs w:val="21"/>
        </w:rPr>
        <w:t>，真正实现“</w:t>
      </w:r>
      <w:r>
        <w:rPr>
          <w:rFonts w:ascii="宋体" w:eastAsia="宋体" w:hAnsi="宋体" w:hint="eastAsia"/>
          <w:b/>
          <w:bCs/>
          <w:szCs w:val="21"/>
        </w:rPr>
        <w:t>普通人请得起、用得上、用得会</w:t>
      </w:r>
      <w:r>
        <w:rPr>
          <w:rFonts w:ascii="宋体" w:eastAsia="宋体" w:hAnsi="宋体" w:hint="eastAsia"/>
          <w:szCs w:val="21"/>
        </w:rPr>
        <w:t>”。</w:t>
      </w:r>
    </w:p>
    <w:p w:rsidR="00B70185" w:rsidRDefault="00000000">
      <w:pPr>
        <w:spacing w:line="300" w:lineRule="auto"/>
        <w:ind w:firstLine="420"/>
        <w:rPr>
          <w:rFonts w:ascii="宋体" w:eastAsia="宋体" w:hAnsi="宋体"/>
          <w:szCs w:val="21"/>
        </w:rPr>
      </w:pPr>
      <w:r>
        <w:rPr>
          <w:rFonts w:ascii="宋体" w:eastAsia="宋体" w:hAnsi="宋体" w:hint="eastAsia"/>
          <w:szCs w:val="21"/>
        </w:rPr>
        <w:t>未来，项目将持续深耕“法律小白”普惠法律服务领域，持续迭代技术架构、优化服务流程、拓展服务场景，进一步深化与华为昇腾、专业法学机构的合作，强化技术研发与法务支撑，致力于构建覆盖城乡、均等普惠的数字化法律服务生态，打造“法律小白”最信赖的随身法律助手，</w:t>
      </w:r>
      <w:r>
        <w:rPr>
          <w:rFonts w:ascii="宋体" w:eastAsia="宋体" w:hAnsi="宋体" w:hint="eastAsia"/>
          <w:b/>
          <w:bCs/>
          <w:szCs w:val="21"/>
        </w:rPr>
        <w:t>推动法律服务向均等化、智能化、便捷化方向发展</w:t>
      </w:r>
      <w:r>
        <w:rPr>
          <w:rFonts w:ascii="宋体" w:eastAsia="宋体" w:hAnsi="宋体" w:hint="eastAsia"/>
          <w:szCs w:val="21"/>
        </w:rPr>
        <w:t>，彰显科技型法律服务项目的社会价值与责任担当，同时实现项目规模化、可持续发展。</w:t>
      </w:r>
    </w:p>
    <w:p w:rsidR="00B70185" w:rsidRDefault="00000000">
      <w:pPr>
        <w:pStyle w:val="2"/>
        <w:tabs>
          <w:tab w:val="center" w:pos="4153"/>
        </w:tabs>
        <w:spacing w:line="300" w:lineRule="auto"/>
        <w:ind w:right="210"/>
        <w:rPr>
          <w:rFonts w:ascii="宋体" w:eastAsia="宋体" w:hAnsi="宋体"/>
          <w:sz w:val="21"/>
          <w:szCs w:val="21"/>
        </w:rPr>
      </w:pPr>
      <w:bookmarkStart w:id="54" w:name="heading_2"/>
      <w:bookmarkStart w:id="55" w:name="_Toc31823"/>
      <w:r>
        <w:rPr>
          <w:rFonts w:ascii="宋体" w:eastAsia="宋体" w:hAnsi="宋体" w:hint="eastAsia"/>
          <w:sz w:val="21"/>
          <w:szCs w:val="21"/>
        </w:rPr>
        <w:t>5.2组织架构</w:t>
      </w:r>
      <w:bookmarkEnd w:id="54"/>
      <w:bookmarkEnd w:id="55"/>
    </w:p>
    <w:p w:rsidR="00B70185" w:rsidRDefault="00000000">
      <w:pPr>
        <w:spacing w:line="300" w:lineRule="auto"/>
        <w:ind w:firstLine="420"/>
        <w:rPr>
          <w:rFonts w:ascii="宋体" w:eastAsia="宋体" w:hAnsi="宋体"/>
          <w:szCs w:val="21"/>
        </w:rPr>
      </w:pPr>
      <w:r>
        <w:rPr>
          <w:rFonts w:ascii="宋体" w:eastAsia="宋体" w:hAnsi="宋体" w:hint="eastAsia"/>
          <w:szCs w:val="21"/>
        </w:rPr>
        <w:t>LAW-MASTER项目的组织架构分为初创期与成熟期两个阶段，以适配不同发展阶段的资源需求与运营效率。</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56" w:name="heading_3"/>
      <w:bookmarkStart w:id="57" w:name="_Toc26661"/>
      <w:r>
        <w:rPr>
          <w:rFonts w:ascii="宋体" w:eastAsia="宋体" w:hAnsi="宋体" w:hint="eastAsia"/>
          <w:bCs/>
          <w:sz w:val="21"/>
          <w:szCs w:val="32"/>
        </w:rPr>
        <w:t>5.2.1</w:t>
      </w:r>
      <w:bookmarkEnd w:id="56"/>
      <w:r>
        <w:rPr>
          <w:rFonts w:ascii="宋体" w:eastAsia="宋体" w:hAnsi="宋体" w:hint="eastAsia"/>
          <w:bCs/>
          <w:sz w:val="21"/>
          <w:szCs w:val="32"/>
        </w:rPr>
        <w:t>初创期</w:t>
      </w:r>
      <w:bookmarkEnd w:id="57"/>
    </w:p>
    <w:p w:rsidR="00B70185" w:rsidRDefault="00000000">
      <w:pPr>
        <w:spacing w:line="300" w:lineRule="auto"/>
        <w:ind w:firstLine="420"/>
        <w:rPr>
          <w:rFonts w:ascii="宋体" w:eastAsia="宋体" w:hAnsi="宋体"/>
          <w:szCs w:val="21"/>
        </w:rPr>
      </w:pPr>
      <w:r>
        <w:rPr>
          <w:rFonts w:ascii="宋体" w:eastAsia="宋体" w:hAnsi="宋体" w:hint="eastAsia"/>
          <w:szCs w:val="21"/>
        </w:rPr>
        <w:t>在初创期，项目采用</w:t>
      </w:r>
      <w:r>
        <w:rPr>
          <w:rFonts w:ascii="宋体" w:eastAsia="宋体" w:hAnsi="宋体" w:hint="eastAsia"/>
          <w:b/>
          <w:bCs/>
          <w:szCs w:val="21"/>
        </w:rPr>
        <w:t>扁平化管理模式</w:t>
      </w:r>
      <w:r>
        <w:rPr>
          <w:rFonts w:ascii="宋体" w:eastAsia="宋体" w:hAnsi="宋体" w:hint="eastAsia"/>
          <w:szCs w:val="21"/>
        </w:rPr>
        <w:t>，由项目负责人直接统筹四大核心部门，减少层级沟通成本，确保决策高效落地。</w:t>
      </w:r>
    </w:p>
    <w:p w:rsidR="00B70185" w:rsidRDefault="00000000">
      <w:pPr>
        <w:spacing w:line="300" w:lineRule="auto"/>
        <w:ind w:firstLine="420"/>
        <w:rPr>
          <w:rFonts w:ascii="宋体" w:eastAsia="宋体" w:hAnsi="宋体"/>
          <w:szCs w:val="21"/>
        </w:rPr>
      </w:pPr>
      <w:r>
        <w:rPr>
          <w:rFonts w:ascii="宋体" w:eastAsia="宋体" w:hAnsi="宋体" w:hint="eastAsia"/>
          <w:b/>
          <w:bCs/>
          <w:szCs w:val="21"/>
        </w:rPr>
        <w:t>技术研发部</w:t>
      </w:r>
      <w:r>
        <w:rPr>
          <w:rFonts w:ascii="宋体" w:eastAsia="宋体" w:hAnsi="宋体" w:hint="eastAsia"/>
          <w:szCs w:val="21"/>
        </w:rPr>
        <w:t>作为项目技术核心，全面负责“三模型协同”架构的迭代优化、大模型轻量化微调、多模态交互系统开发及国产化算力适配等关键技术工作，下设算法组、开发组与运维组，形成从模型训练到系统运维的完整技术闭环。</w:t>
      </w:r>
    </w:p>
    <w:p w:rsidR="00B70185" w:rsidRDefault="00000000">
      <w:pPr>
        <w:spacing w:line="300" w:lineRule="auto"/>
        <w:ind w:firstLine="420"/>
        <w:rPr>
          <w:rFonts w:ascii="宋体" w:eastAsia="宋体" w:hAnsi="宋体"/>
          <w:szCs w:val="21"/>
        </w:rPr>
      </w:pPr>
      <w:r>
        <w:rPr>
          <w:rFonts w:ascii="宋体" w:eastAsia="宋体" w:hAnsi="宋体" w:hint="eastAsia"/>
          <w:b/>
          <w:bCs/>
          <w:szCs w:val="21"/>
        </w:rPr>
        <w:t>法务合规部</w:t>
      </w:r>
      <w:r>
        <w:rPr>
          <w:rFonts w:ascii="宋体" w:eastAsia="宋体" w:hAnsi="宋体" w:hint="eastAsia"/>
          <w:szCs w:val="21"/>
        </w:rPr>
        <w:t>承担法律专业性与合规性保障的核心职能，负责构建并动态更新权威法律语料库，制定产品合规规范，开展用户隐私数据保护体系建设，下设语料库组与合规审核组，确保AI输出内容的准确性与运营全流程的合规性。</w:t>
      </w:r>
    </w:p>
    <w:p w:rsidR="00B70185" w:rsidRDefault="00000000">
      <w:pPr>
        <w:spacing w:line="300" w:lineRule="auto"/>
        <w:ind w:firstLine="420"/>
        <w:rPr>
          <w:rFonts w:ascii="宋体" w:eastAsia="宋体" w:hAnsi="宋体"/>
          <w:szCs w:val="21"/>
        </w:rPr>
      </w:pPr>
      <w:r>
        <w:rPr>
          <w:rFonts w:ascii="宋体" w:eastAsia="宋体" w:hAnsi="宋体" w:hint="eastAsia"/>
          <w:b/>
          <w:bCs/>
          <w:szCs w:val="21"/>
        </w:rPr>
        <w:t>市场运营部</w:t>
      </w:r>
      <w:r>
        <w:rPr>
          <w:rFonts w:ascii="宋体" w:eastAsia="宋体" w:hAnsi="宋体" w:hint="eastAsia"/>
          <w:szCs w:val="21"/>
        </w:rPr>
        <w:t>全面负责市场推广、用户运营与品牌建设，通过线上线下多渠道拓展C端用户，对接B端合作伙伴，下设C端运营组、B端拓展组与品牌推广组，形成覆盖用户全生命周期的运营体系。</w:t>
      </w:r>
    </w:p>
    <w:p w:rsidR="00B70185" w:rsidRDefault="00000000">
      <w:pPr>
        <w:spacing w:line="300" w:lineRule="auto"/>
        <w:ind w:firstLine="420"/>
        <w:rPr>
          <w:rFonts w:ascii="宋体" w:eastAsia="宋体" w:hAnsi="宋体"/>
          <w:szCs w:val="21"/>
        </w:rPr>
      </w:pPr>
      <w:r>
        <w:rPr>
          <w:rFonts w:ascii="宋体" w:eastAsia="宋体" w:hAnsi="宋体" w:hint="eastAsia"/>
          <w:b/>
          <w:bCs/>
          <w:szCs w:val="21"/>
        </w:rPr>
        <w:t>客服部</w:t>
      </w:r>
      <w:r>
        <w:rPr>
          <w:rFonts w:ascii="宋体" w:eastAsia="宋体" w:hAnsi="宋体" w:hint="eastAsia"/>
          <w:szCs w:val="21"/>
        </w:rPr>
        <w:t>作为直面用户的服务端口，负责7×24小时咨询响应、问题反馈处理、售后支持与用户需求收集，下设咨询客服组与售后客服组，保障用户体验并为产品迭代提供依据。</w:t>
      </w:r>
    </w:p>
    <w:p w:rsidR="00B70185" w:rsidRDefault="00000000">
      <w:pPr>
        <w:spacing w:line="300" w:lineRule="auto"/>
        <w:ind w:firstLine="420"/>
        <w:rPr>
          <w:rFonts w:ascii="宋体" w:eastAsia="宋体" w:hAnsi="宋体"/>
          <w:szCs w:val="21"/>
        </w:rPr>
      </w:pPr>
      <w:r>
        <w:rPr>
          <w:rFonts w:ascii="宋体" w:eastAsia="宋体" w:hAnsi="宋体" w:hint="eastAsia"/>
          <w:b/>
          <w:bCs/>
          <w:szCs w:val="21"/>
        </w:rPr>
        <w:t>行政财务部</w:t>
      </w:r>
      <w:r>
        <w:rPr>
          <w:rFonts w:ascii="宋体" w:eastAsia="宋体" w:hAnsi="宋体" w:hint="eastAsia"/>
          <w:szCs w:val="21"/>
        </w:rPr>
        <w:t>则统筹日常行政管理与财务规划，下设行政组与财务组，负责人事、后勤、预算、税务等工作，为项目运营提供基础保障。</w:t>
      </w:r>
    </w:p>
    <w:p w:rsidR="00B70185" w:rsidRDefault="00000000">
      <w:pPr>
        <w:spacing w:line="300" w:lineRule="auto"/>
        <w:ind w:firstLine="420"/>
        <w:rPr>
          <w:rFonts w:ascii="宋体" w:eastAsia="宋体" w:hAnsi="宋体"/>
          <w:szCs w:val="21"/>
        </w:rPr>
      </w:pPr>
      <w:r>
        <w:rPr>
          <w:rFonts w:ascii="宋体" w:eastAsia="宋体" w:hAnsi="宋体" w:hint="eastAsia"/>
          <w:szCs w:val="21"/>
        </w:rPr>
        <w:lastRenderedPageBreak/>
        <w:t>各部门分工明确且协同紧密，核心决策由项目负责人统筹，结合专家顾问意见，充分平衡技术创新、合规风险与市场需求，预留弹性岗位与跨部门协作机制，能够快速响应市场变化与技术迭代需求，强调“技术+法律+市场+服务”的跨领域协同，各部门定期开展沟通会议，共享数据与信息，形成闭环协作体系，保障项目整体推进效率。</w:t>
      </w:r>
    </w:p>
    <w:p w:rsidR="00B70185" w:rsidRDefault="00000000">
      <w:pPr>
        <w:spacing w:line="300" w:lineRule="auto"/>
        <w:jc w:val="center"/>
      </w:pPr>
      <w:r>
        <w:rPr>
          <w:noProof/>
        </w:rPr>
        <w:drawing>
          <wp:inline distT="0" distB="0" distL="114300" distR="114300">
            <wp:extent cx="5252720" cy="2536825"/>
            <wp:effectExtent l="0" t="0" r="5080" b="635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5"/>
                    <a:stretch>
                      <a:fillRect/>
                    </a:stretch>
                  </pic:blipFill>
                  <pic:spPr>
                    <a:xfrm>
                      <a:off x="0" y="0"/>
                      <a:ext cx="5252720" cy="2536825"/>
                    </a:xfrm>
                    <a:prstGeom prst="rect">
                      <a:avLst/>
                    </a:prstGeom>
                    <a:noFill/>
                    <a:ln>
                      <a:noFill/>
                    </a:ln>
                  </pic:spPr>
                </pic:pic>
              </a:graphicData>
            </a:graphic>
          </wp:inline>
        </w:drawing>
      </w:r>
    </w:p>
    <w:p w:rsidR="00B70185" w:rsidRDefault="00000000">
      <w:pPr>
        <w:pStyle w:val="a3"/>
        <w:jc w:val="center"/>
        <w:rPr>
          <w:rFonts w:asciiTheme="majorHAnsi" w:hAnsiTheme="majorHAnsi" w:cstheme="majorBidi"/>
          <w:szCs w:val="20"/>
        </w:rPr>
      </w:pPr>
      <w:r>
        <w:rPr>
          <w:rFonts w:asciiTheme="majorHAnsi" w:hAnsiTheme="majorHAnsi" w:cstheme="majorBidi" w:hint="eastAsia"/>
          <w:szCs w:val="20"/>
        </w:rPr>
        <w:t>图</w:t>
      </w:r>
      <w:r>
        <w:rPr>
          <w:rFonts w:asciiTheme="majorHAnsi" w:hAnsiTheme="majorHAnsi" w:cstheme="majorBidi" w:hint="eastAsia"/>
          <w:szCs w:val="20"/>
        </w:rPr>
        <w:t xml:space="preserve"> </w:t>
      </w:r>
      <w:r>
        <w:rPr>
          <w:rFonts w:asciiTheme="majorHAnsi" w:hAnsiTheme="majorHAnsi" w:cstheme="majorBidi" w:hint="eastAsia"/>
          <w:szCs w:val="20"/>
        </w:rPr>
        <w:fldChar w:fldCharType="begin"/>
      </w:r>
      <w:r>
        <w:rPr>
          <w:rFonts w:asciiTheme="majorHAnsi" w:hAnsiTheme="majorHAnsi" w:cstheme="majorBidi" w:hint="eastAsia"/>
          <w:szCs w:val="20"/>
        </w:rPr>
        <w:instrText xml:space="preserve"> SEQ </w:instrText>
      </w:r>
      <w:r>
        <w:rPr>
          <w:rFonts w:asciiTheme="majorHAnsi" w:hAnsiTheme="majorHAnsi" w:cstheme="majorBidi" w:hint="eastAsia"/>
          <w:szCs w:val="20"/>
        </w:rPr>
        <w:instrText>图</w:instrText>
      </w:r>
      <w:r>
        <w:rPr>
          <w:rFonts w:asciiTheme="majorHAnsi" w:hAnsiTheme="majorHAnsi" w:cstheme="majorBidi" w:hint="eastAsia"/>
          <w:szCs w:val="20"/>
        </w:rPr>
        <w:instrText xml:space="preserve"> \* ARABIC </w:instrText>
      </w:r>
      <w:r>
        <w:rPr>
          <w:rFonts w:asciiTheme="majorHAnsi" w:hAnsiTheme="majorHAnsi" w:cstheme="majorBidi" w:hint="eastAsia"/>
          <w:szCs w:val="20"/>
        </w:rPr>
        <w:fldChar w:fldCharType="separate"/>
      </w:r>
      <w:r>
        <w:rPr>
          <w:rFonts w:asciiTheme="majorHAnsi" w:hAnsiTheme="majorHAnsi" w:cstheme="majorBidi" w:hint="eastAsia"/>
          <w:szCs w:val="20"/>
        </w:rPr>
        <w:t>6</w:t>
      </w:r>
      <w:r>
        <w:rPr>
          <w:rFonts w:asciiTheme="majorHAnsi" w:hAnsiTheme="majorHAnsi" w:cstheme="majorBidi" w:hint="eastAsia"/>
          <w:szCs w:val="20"/>
        </w:rPr>
        <w:fldChar w:fldCharType="end"/>
      </w:r>
      <w:r>
        <w:rPr>
          <w:rFonts w:asciiTheme="majorHAnsi" w:hAnsiTheme="majorHAnsi" w:cstheme="majorBidi" w:hint="eastAsia"/>
          <w:szCs w:val="20"/>
        </w:rPr>
        <w:t xml:space="preserve">  </w:t>
      </w:r>
      <w:r>
        <w:rPr>
          <w:rFonts w:asciiTheme="majorHAnsi" w:hAnsiTheme="majorHAnsi" w:cstheme="majorBidi" w:hint="eastAsia"/>
          <w:szCs w:val="20"/>
        </w:rPr>
        <w:t>公司“初创期”组织架构</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58" w:name="heading_4"/>
      <w:bookmarkStart w:id="59" w:name="_Toc13894"/>
      <w:r>
        <w:rPr>
          <w:rFonts w:ascii="宋体" w:eastAsia="宋体" w:hAnsi="宋体" w:hint="eastAsia"/>
          <w:bCs/>
          <w:sz w:val="21"/>
          <w:szCs w:val="32"/>
        </w:rPr>
        <w:t>5.2.2</w:t>
      </w:r>
      <w:bookmarkEnd w:id="58"/>
      <w:r>
        <w:rPr>
          <w:rFonts w:ascii="宋体" w:eastAsia="宋体" w:hAnsi="宋体" w:hint="eastAsia"/>
          <w:bCs/>
          <w:sz w:val="21"/>
          <w:szCs w:val="32"/>
        </w:rPr>
        <w:t>成熟期</w:t>
      </w:r>
      <w:bookmarkEnd w:id="59"/>
    </w:p>
    <w:p w:rsidR="00B70185" w:rsidRDefault="00000000">
      <w:pPr>
        <w:spacing w:line="300" w:lineRule="auto"/>
        <w:ind w:firstLine="420"/>
        <w:rPr>
          <w:rFonts w:ascii="宋体" w:eastAsia="宋体" w:hAnsi="宋体"/>
          <w:szCs w:val="21"/>
        </w:rPr>
      </w:pPr>
      <w:r>
        <w:rPr>
          <w:rFonts w:ascii="宋体" w:eastAsia="宋体" w:hAnsi="宋体" w:hint="eastAsia"/>
          <w:szCs w:val="21"/>
        </w:rPr>
        <w:t>进入成熟期后，项目在扁平化基础上增设运营与支持两大板块，细化职能分工，适配规模化发展需求。</w:t>
      </w:r>
    </w:p>
    <w:p w:rsidR="00B70185" w:rsidRDefault="00000000">
      <w:pPr>
        <w:spacing w:line="300" w:lineRule="auto"/>
        <w:ind w:firstLine="420"/>
        <w:rPr>
          <w:rFonts w:ascii="宋体" w:eastAsia="宋体" w:hAnsi="宋体"/>
          <w:szCs w:val="21"/>
        </w:rPr>
      </w:pPr>
      <w:r>
        <w:rPr>
          <w:rFonts w:ascii="宋体" w:eastAsia="宋体" w:hAnsi="宋体" w:hint="eastAsia"/>
          <w:b/>
          <w:bCs/>
          <w:szCs w:val="21"/>
        </w:rPr>
        <w:t>技术研发部</w:t>
      </w:r>
      <w:r>
        <w:rPr>
          <w:rFonts w:ascii="宋体" w:eastAsia="宋体" w:hAnsi="宋体" w:hint="eastAsia"/>
          <w:szCs w:val="21"/>
        </w:rPr>
        <w:t>下设维护部与程序部，维护部聚焦平台内容更新、系统稳定与视觉优化，下设网站编辑、系统运维、美工；程序部负责大模型开发、算法优化与新功能落地，下设大模型开发工程师。</w:t>
      </w:r>
    </w:p>
    <w:p w:rsidR="00B70185" w:rsidRDefault="00000000">
      <w:pPr>
        <w:spacing w:line="300" w:lineRule="auto"/>
        <w:ind w:firstLine="420"/>
        <w:rPr>
          <w:rFonts w:ascii="宋体" w:eastAsia="宋体" w:hAnsi="宋体"/>
          <w:szCs w:val="21"/>
        </w:rPr>
      </w:pPr>
      <w:r>
        <w:rPr>
          <w:rFonts w:ascii="宋体" w:eastAsia="宋体" w:hAnsi="宋体" w:hint="eastAsia"/>
          <w:b/>
          <w:bCs/>
          <w:szCs w:val="21"/>
        </w:rPr>
        <w:t>运营部</w:t>
      </w:r>
      <w:r>
        <w:rPr>
          <w:rFonts w:ascii="宋体" w:eastAsia="宋体" w:hAnsi="宋体" w:hint="eastAsia"/>
          <w:szCs w:val="21"/>
        </w:rPr>
        <w:t>统筹市场、数据与产品规划，下设营销部、数据部与企划部：营销部负责全渠道推广、品牌建设与客户关系，下设市场推广专员、品牌宣传专员、客户拓展专员、客户维系专员、活动运营专员；数据部负责用户行为分析与决策支持，下设数据分析师、决策支持专员；企划部负责产品迭代规划与内容创作，下设产品企划专员、文案撰写专员。</w:t>
      </w:r>
    </w:p>
    <w:p w:rsidR="00B70185" w:rsidRDefault="00000000">
      <w:pPr>
        <w:spacing w:line="300" w:lineRule="auto"/>
        <w:ind w:firstLine="420"/>
        <w:rPr>
          <w:rFonts w:ascii="宋体" w:eastAsia="宋体" w:hAnsi="宋体"/>
          <w:szCs w:val="21"/>
        </w:rPr>
      </w:pPr>
      <w:r>
        <w:rPr>
          <w:rFonts w:ascii="宋体" w:eastAsia="宋体" w:hAnsi="宋体" w:hint="eastAsia"/>
          <w:b/>
          <w:bCs/>
          <w:szCs w:val="21"/>
        </w:rPr>
        <w:t>用户服务中心</w:t>
      </w:r>
      <w:r>
        <w:rPr>
          <w:rFonts w:ascii="宋体" w:eastAsia="宋体" w:hAnsi="宋体" w:hint="eastAsia"/>
          <w:szCs w:val="21"/>
        </w:rPr>
        <w:t>（原客服部升级）下设咨询服务组、售后支持组与需求对接组：咨询服务组负责在线咨询与需求引导，下设在线客服、需求引导专员；售后支持组负责问题跟进与服务反馈，下设问题跟进专员、服务反馈专员；需求对接组负责用户调研与需求整理，下设用户调研专员、需求整理专员。</w:t>
      </w:r>
    </w:p>
    <w:p w:rsidR="00B70185" w:rsidRDefault="00000000">
      <w:pPr>
        <w:spacing w:line="300" w:lineRule="auto"/>
        <w:ind w:firstLine="420"/>
        <w:rPr>
          <w:rFonts w:ascii="宋体" w:eastAsia="宋体" w:hAnsi="宋体"/>
          <w:szCs w:val="21"/>
        </w:rPr>
      </w:pPr>
      <w:r>
        <w:rPr>
          <w:rFonts w:ascii="宋体" w:eastAsia="宋体" w:hAnsi="宋体" w:hint="eastAsia"/>
          <w:b/>
          <w:bCs/>
          <w:szCs w:val="21"/>
        </w:rPr>
        <w:t>支持部</w:t>
      </w:r>
      <w:r>
        <w:rPr>
          <w:rFonts w:ascii="宋体" w:eastAsia="宋体" w:hAnsi="宋体" w:hint="eastAsia"/>
          <w:szCs w:val="21"/>
        </w:rPr>
        <w:t>下设人力部、财务部与行政部：人力部负责人才招聘、培训与绩效管理，下设招聘专员、培训专员、绩效专员；财务部负责账务处理、资金管理与预算控制，下设会计、出纳、预算专员；行政部负责办公管理、制度建设与后勤保障，下设行政专员、制度专员、采购专员。通过数据部、人力部等新增模块，强化数据驱动决策与人才支撑，提升组织精细化管理能力，各板块协同联动，形成“技术驱动、运营赋能、服务保障、支持托底”的闭环体系，保障项目可持续发展。</w:t>
      </w:r>
    </w:p>
    <w:p w:rsidR="00B70185" w:rsidRDefault="00000000">
      <w:pPr>
        <w:spacing w:line="300" w:lineRule="auto"/>
        <w:jc w:val="center"/>
      </w:pPr>
      <w:r>
        <w:rPr>
          <w:noProof/>
        </w:rPr>
        <w:lastRenderedPageBreak/>
        <w:drawing>
          <wp:inline distT="0" distB="0" distL="114300" distR="114300">
            <wp:extent cx="5267960" cy="2752725"/>
            <wp:effectExtent l="0" t="0" r="15240" b="1587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6"/>
                    <a:stretch>
                      <a:fillRect/>
                    </a:stretch>
                  </pic:blipFill>
                  <pic:spPr>
                    <a:xfrm>
                      <a:off x="0" y="0"/>
                      <a:ext cx="5267960" cy="2752725"/>
                    </a:xfrm>
                    <a:prstGeom prst="rect">
                      <a:avLst/>
                    </a:prstGeom>
                    <a:noFill/>
                    <a:ln>
                      <a:noFill/>
                    </a:ln>
                  </pic:spPr>
                </pic:pic>
              </a:graphicData>
            </a:graphic>
          </wp:inline>
        </w:drawing>
      </w:r>
    </w:p>
    <w:p w:rsidR="00B70185" w:rsidRDefault="00000000">
      <w:pPr>
        <w:pStyle w:val="a3"/>
        <w:jc w:val="center"/>
        <w:rPr>
          <w:rFonts w:asciiTheme="majorHAnsi" w:hAnsiTheme="majorHAnsi" w:cstheme="majorBidi"/>
          <w:szCs w:val="20"/>
        </w:rPr>
      </w:pPr>
      <w:r>
        <w:rPr>
          <w:rFonts w:asciiTheme="majorHAnsi" w:hAnsiTheme="majorHAnsi" w:cstheme="majorBidi" w:hint="eastAsia"/>
          <w:szCs w:val="20"/>
        </w:rPr>
        <w:t>图</w:t>
      </w:r>
      <w:r>
        <w:rPr>
          <w:rFonts w:asciiTheme="majorHAnsi" w:hAnsiTheme="majorHAnsi" w:cstheme="majorBidi" w:hint="eastAsia"/>
          <w:szCs w:val="20"/>
        </w:rPr>
        <w:t xml:space="preserve"> </w:t>
      </w:r>
      <w:r>
        <w:rPr>
          <w:rFonts w:asciiTheme="majorHAnsi" w:hAnsiTheme="majorHAnsi" w:cstheme="majorBidi" w:hint="eastAsia"/>
          <w:szCs w:val="20"/>
        </w:rPr>
        <w:fldChar w:fldCharType="begin"/>
      </w:r>
      <w:r>
        <w:rPr>
          <w:rFonts w:asciiTheme="majorHAnsi" w:hAnsiTheme="majorHAnsi" w:cstheme="majorBidi" w:hint="eastAsia"/>
          <w:szCs w:val="20"/>
        </w:rPr>
        <w:instrText xml:space="preserve"> SEQ </w:instrText>
      </w:r>
      <w:r>
        <w:rPr>
          <w:rFonts w:asciiTheme="majorHAnsi" w:hAnsiTheme="majorHAnsi" w:cstheme="majorBidi" w:hint="eastAsia"/>
          <w:szCs w:val="20"/>
        </w:rPr>
        <w:instrText>图</w:instrText>
      </w:r>
      <w:r>
        <w:rPr>
          <w:rFonts w:asciiTheme="majorHAnsi" w:hAnsiTheme="majorHAnsi" w:cstheme="majorBidi" w:hint="eastAsia"/>
          <w:szCs w:val="20"/>
        </w:rPr>
        <w:instrText xml:space="preserve"> \* ARABIC </w:instrText>
      </w:r>
      <w:r>
        <w:rPr>
          <w:rFonts w:asciiTheme="majorHAnsi" w:hAnsiTheme="majorHAnsi" w:cstheme="majorBidi" w:hint="eastAsia"/>
          <w:szCs w:val="20"/>
        </w:rPr>
        <w:fldChar w:fldCharType="separate"/>
      </w:r>
      <w:r>
        <w:rPr>
          <w:rFonts w:asciiTheme="majorHAnsi" w:hAnsiTheme="majorHAnsi" w:cstheme="majorBidi" w:hint="eastAsia"/>
          <w:szCs w:val="20"/>
        </w:rPr>
        <w:t>7</w:t>
      </w:r>
      <w:r>
        <w:rPr>
          <w:rFonts w:asciiTheme="majorHAnsi" w:hAnsiTheme="majorHAnsi" w:cstheme="majorBidi" w:hint="eastAsia"/>
          <w:szCs w:val="20"/>
        </w:rPr>
        <w:fldChar w:fldCharType="end"/>
      </w:r>
      <w:r>
        <w:rPr>
          <w:rFonts w:asciiTheme="majorHAnsi" w:hAnsiTheme="majorHAnsi" w:cstheme="majorBidi" w:hint="eastAsia"/>
          <w:szCs w:val="20"/>
        </w:rPr>
        <w:t xml:space="preserve"> </w:t>
      </w:r>
      <w:r>
        <w:rPr>
          <w:rFonts w:asciiTheme="majorHAnsi" w:hAnsiTheme="majorHAnsi" w:cstheme="majorBidi" w:hint="eastAsia"/>
          <w:szCs w:val="20"/>
        </w:rPr>
        <w:t>公司“成熟期”组织架构</w:t>
      </w:r>
    </w:p>
    <w:p w:rsidR="00B70185" w:rsidRDefault="00000000">
      <w:pPr>
        <w:pStyle w:val="2"/>
        <w:tabs>
          <w:tab w:val="center" w:pos="4153"/>
        </w:tabs>
        <w:spacing w:line="300" w:lineRule="auto"/>
        <w:ind w:right="210"/>
        <w:rPr>
          <w:rFonts w:ascii="宋体" w:eastAsia="宋体" w:hAnsi="宋体"/>
          <w:sz w:val="21"/>
          <w:szCs w:val="21"/>
        </w:rPr>
      </w:pPr>
      <w:bookmarkStart w:id="60" w:name="_Toc26024"/>
      <w:bookmarkStart w:id="61" w:name="heading_5"/>
      <w:r>
        <w:rPr>
          <w:rFonts w:ascii="宋体" w:eastAsia="宋体" w:hAnsi="宋体" w:hint="eastAsia"/>
          <w:sz w:val="21"/>
          <w:szCs w:val="21"/>
        </w:rPr>
        <w:t>5.3核心团队</w:t>
      </w:r>
      <w:bookmarkEnd w:id="60"/>
      <w:bookmarkEnd w:id="61"/>
    </w:p>
    <w:p w:rsidR="00B70185" w:rsidRDefault="00000000">
      <w:pPr>
        <w:spacing w:line="300" w:lineRule="auto"/>
        <w:ind w:firstLine="420"/>
        <w:rPr>
          <w:rFonts w:ascii="宋体" w:eastAsia="宋体" w:hAnsi="宋体"/>
          <w:szCs w:val="21"/>
        </w:rPr>
      </w:pPr>
      <w:r>
        <w:rPr>
          <w:rFonts w:ascii="宋体" w:eastAsia="宋体" w:hAnsi="宋体" w:hint="eastAsia"/>
          <w:szCs w:val="21"/>
        </w:rPr>
        <w:t>团队成员兼具数学、经济学、计算机等交叉学科背景，具备扎实的专业功底与项目实战经验，为项目的技术研发、市场推广与商业落地提供了坚实的人才保障。</w:t>
      </w:r>
    </w:p>
    <w:tbl>
      <w:tblPr>
        <w:tblW w:w="8354" w:type="dxa"/>
        <w:jc w:val="center"/>
        <w:tblLayout w:type="fixed"/>
        <w:tblLook w:val="04A0" w:firstRow="1" w:lastRow="0" w:firstColumn="1" w:lastColumn="0" w:noHBand="0" w:noVBand="1"/>
      </w:tblPr>
      <w:tblGrid>
        <w:gridCol w:w="611"/>
        <w:gridCol w:w="1211"/>
        <w:gridCol w:w="6532"/>
      </w:tblGrid>
      <w:tr w:rsidR="00B70185">
        <w:trPr>
          <w:trHeight w:val="680"/>
          <w:jc w:val="center"/>
        </w:trPr>
        <w:tc>
          <w:tcPr>
            <w:tcW w:w="611" w:type="dxa"/>
            <w:tcBorders>
              <w:top w:val="single" w:sz="6" w:space="0" w:color="4874CB" w:themeColor="accent1"/>
              <w:left w:val="single" w:sz="6" w:space="0" w:color="4874CB" w:themeColor="accent1"/>
              <w:bottom w:val="single" w:sz="6" w:space="0" w:color="B5C7EA" w:themeColor="accent1" w:themeTint="66"/>
              <w:right w:val="single" w:sz="6" w:space="0" w:color="4874CB" w:themeColor="accent1"/>
            </w:tcBorders>
            <w:shd w:val="clear" w:color="000000" w:fill="4874CB" w:themeFill="accent1"/>
            <w:noWrap/>
            <w:vAlign w:val="center"/>
          </w:tcPr>
          <w:p w:rsidR="00B70185" w:rsidRDefault="00000000">
            <w:pPr>
              <w:jc w:val="center"/>
              <w:rPr>
                <w:rFonts w:ascii="宋体" w:hAnsi="宋体"/>
                <w:b/>
                <w:color w:val="FFFFFF"/>
                <w:sz w:val="24"/>
                <w:szCs w:val="22"/>
              </w:rPr>
            </w:pPr>
            <w:r>
              <w:rPr>
                <w:rFonts w:ascii="宋体" w:hAnsi="宋体" w:hint="eastAsia"/>
                <w:b/>
                <w:color w:val="FFFFFF"/>
                <w:sz w:val="24"/>
                <w:szCs w:val="22"/>
              </w:rPr>
              <w:t>姓名</w:t>
            </w:r>
          </w:p>
        </w:tc>
        <w:tc>
          <w:tcPr>
            <w:tcW w:w="1211" w:type="dxa"/>
            <w:tcBorders>
              <w:top w:val="single" w:sz="6" w:space="0" w:color="4874CB" w:themeColor="accent1"/>
              <w:left w:val="single" w:sz="6" w:space="0" w:color="4874CB" w:themeColor="accent1"/>
              <w:bottom w:val="single" w:sz="6" w:space="0" w:color="4874CB" w:themeColor="accent1"/>
              <w:right w:val="single" w:sz="6" w:space="0" w:color="4874CB" w:themeColor="accent1"/>
            </w:tcBorders>
            <w:shd w:val="clear" w:color="000000" w:fill="DAE3F4" w:themeFill="accent1" w:themeFillTint="32"/>
            <w:noWrap/>
            <w:vAlign w:val="center"/>
          </w:tcPr>
          <w:p w:rsidR="00B70185" w:rsidRDefault="00000000">
            <w:pPr>
              <w:jc w:val="center"/>
              <w:rPr>
                <w:rFonts w:ascii="宋体" w:hAnsi="宋体"/>
                <w:color w:val="000000"/>
                <w:sz w:val="24"/>
                <w:szCs w:val="22"/>
              </w:rPr>
            </w:pPr>
            <w:r>
              <w:rPr>
                <w:rFonts w:ascii="宋体" w:hAnsi="宋体" w:hint="eastAsia"/>
                <w:color w:val="000000"/>
                <w:sz w:val="24"/>
                <w:szCs w:val="22"/>
              </w:rPr>
              <w:t>专业</w:t>
            </w:r>
          </w:p>
        </w:tc>
        <w:tc>
          <w:tcPr>
            <w:tcW w:w="6532" w:type="dxa"/>
            <w:tcBorders>
              <w:top w:val="single" w:sz="6" w:space="0" w:color="4874CB" w:themeColor="accent1"/>
              <w:left w:val="single" w:sz="6" w:space="0" w:color="4874CB" w:themeColor="accent1"/>
              <w:bottom w:val="single" w:sz="6" w:space="0" w:color="4874CB" w:themeColor="accent1"/>
              <w:right w:val="single" w:sz="6" w:space="0" w:color="4874CB" w:themeColor="accent1"/>
            </w:tcBorders>
            <w:shd w:val="clear" w:color="000000" w:fill="FFFFFF"/>
            <w:noWrap/>
            <w:vAlign w:val="center"/>
          </w:tcPr>
          <w:p w:rsidR="00B70185" w:rsidRDefault="00000000">
            <w:pPr>
              <w:jc w:val="center"/>
              <w:rPr>
                <w:rFonts w:ascii="宋体" w:hAnsi="宋体"/>
                <w:color w:val="000000"/>
                <w:sz w:val="24"/>
                <w:szCs w:val="22"/>
              </w:rPr>
            </w:pPr>
            <w:r>
              <w:rPr>
                <w:rFonts w:ascii="宋体" w:hAnsi="宋体" w:hint="eastAsia"/>
                <w:color w:val="000000"/>
                <w:sz w:val="24"/>
                <w:szCs w:val="22"/>
              </w:rPr>
              <w:t>简介</w:t>
            </w:r>
          </w:p>
        </w:tc>
      </w:tr>
      <w:tr w:rsidR="00B70185">
        <w:trPr>
          <w:jc w:val="center"/>
        </w:trPr>
        <w:tc>
          <w:tcPr>
            <w:tcW w:w="611" w:type="dxa"/>
            <w:tcBorders>
              <w:top w:val="single" w:sz="6" w:space="0" w:color="B5C7EA" w:themeColor="accent1" w:themeTint="66"/>
              <w:left w:val="single" w:sz="6" w:space="0" w:color="4874CB" w:themeColor="accent1"/>
              <w:bottom w:val="single" w:sz="6" w:space="0" w:color="B5C7EA" w:themeColor="accent1" w:themeTint="66"/>
              <w:right w:val="single" w:sz="6" w:space="0" w:color="4874CB" w:themeColor="accent1"/>
            </w:tcBorders>
            <w:shd w:val="clear" w:color="000000" w:fill="4874CB" w:themeFill="accent1"/>
            <w:noWrap/>
            <w:vAlign w:val="center"/>
          </w:tcPr>
          <w:p w:rsidR="00B70185" w:rsidRDefault="00000000">
            <w:pPr>
              <w:widowControl/>
              <w:jc w:val="center"/>
              <w:rPr>
                <w:rFonts w:ascii="宋体" w:hAnsi="宋体" w:cs="宋体"/>
                <w:b/>
                <w:color w:val="FFFFFF"/>
                <w:kern w:val="0"/>
                <w:sz w:val="22"/>
                <w:szCs w:val="22"/>
              </w:rPr>
            </w:pPr>
            <w:r>
              <w:rPr>
                <w:rFonts w:ascii="宋体" w:hAnsi="宋体" w:cs="宋体" w:hint="eastAsia"/>
                <w:b/>
                <w:color w:val="FFFFFF"/>
                <w:kern w:val="0"/>
                <w:sz w:val="22"/>
                <w:szCs w:val="22"/>
              </w:rPr>
              <w:t>谢蕊煊</w:t>
            </w:r>
          </w:p>
        </w:tc>
        <w:tc>
          <w:tcPr>
            <w:tcW w:w="1211" w:type="dxa"/>
            <w:tcBorders>
              <w:top w:val="single" w:sz="6" w:space="0" w:color="4874CB" w:themeColor="accent1"/>
              <w:left w:val="single" w:sz="6" w:space="0" w:color="4874CB" w:themeColor="accent1"/>
              <w:bottom w:val="single" w:sz="6" w:space="0" w:color="4874CB" w:themeColor="accent1"/>
              <w:right w:val="single" w:sz="6" w:space="0" w:color="4874CB" w:themeColor="accent1"/>
            </w:tcBorders>
            <w:shd w:val="clear" w:color="000000" w:fill="DAE3F4" w:themeFill="accent1" w:themeFillTint="32"/>
            <w:noWrap/>
            <w:vAlign w:val="center"/>
          </w:tcPr>
          <w:p w:rsidR="00B70185" w:rsidRDefault="00000000">
            <w:pPr>
              <w:widowControl/>
              <w:jc w:val="center"/>
              <w:rPr>
                <w:rFonts w:ascii="宋体" w:hAnsi="宋体" w:cs="宋体"/>
                <w:color w:val="000000"/>
                <w:kern w:val="0"/>
                <w:sz w:val="22"/>
                <w:szCs w:val="22"/>
              </w:rPr>
            </w:pPr>
            <w:r>
              <w:rPr>
                <w:rFonts w:ascii="宋体" w:eastAsia="宋体" w:hAnsi="宋体" w:hint="eastAsia"/>
                <w:szCs w:val="21"/>
              </w:rPr>
              <w:t>数学与应用数学（数学与经济学双学位）</w:t>
            </w:r>
          </w:p>
        </w:tc>
        <w:tc>
          <w:tcPr>
            <w:tcW w:w="6532" w:type="dxa"/>
            <w:tcBorders>
              <w:top w:val="single" w:sz="6" w:space="0" w:color="4874CB" w:themeColor="accent1"/>
              <w:left w:val="single" w:sz="6" w:space="0" w:color="4874CB" w:themeColor="accent1"/>
              <w:bottom w:val="single" w:sz="6" w:space="0" w:color="4874CB" w:themeColor="accent1"/>
              <w:right w:val="single" w:sz="6" w:space="0" w:color="4874CB" w:themeColor="accent1"/>
            </w:tcBorders>
            <w:shd w:val="clear" w:color="000000" w:fill="FFFFFF"/>
            <w:vAlign w:val="center"/>
          </w:tcPr>
          <w:p w:rsidR="00B70185" w:rsidRDefault="00000000">
            <w:pPr>
              <w:spacing w:line="300" w:lineRule="auto"/>
              <w:ind w:firstLine="420"/>
              <w:rPr>
                <w:rFonts w:ascii="宋体" w:hAnsi="宋体" w:cs="Times New Roman"/>
                <w:color w:val="000000"/>
                <w:kern w:val="0"/>
                <w:sz w:val="24"/>
              </w:rPr>
            </w:pPr>
            <w:r>
              <w:rPr>
                <w:rFonts w:ascii="宋体" w:eastAsia="宋体" w:hAnsi="宋体" w:hint="eastAsia"/>
                <w:color w:val="C55E10" w:themeColor="accent2" w:themeShade="BF"/>
                <w:szCs w:val="21"/>
              </w:rPr>
              <w:t>项目负责人</w:t>
            </w:r>
            <w:r>
              <w:rPr>
                <w:rFonts w:ascii="宋体" w:eastAsia="宋体" w:hAnsi="宋体" w:hint="eastAsia"/>
                <w:szCs w:val="21"/>
              </w:rPr>
              <w:t>，具备极强的责任心和领导能力，拥有全面的</w:t>
            </w:r>
            <w:r>
              <w:rPr>
                <w:rFonts w:ascii="宋体" w:eastAsia="宋体" w:hAnsi="宋体" w:hint="eastAsia"/>
                <w:b/>
                <w:bCs/>
                <w:szCs w:val="21"/>
              </w:rPr>
              <w:t>项目统筹与跨领域整合能力</w:t>
            </w:r>
            <w:r>
              <w:rPr>
                <w:rFonts w:ascii="宋体" w:eastAsia="宋体" w:hAnsi="宋体" w:hint="eastAsia"/>
                <w:szCs w:val="21"/>
              </w:rPr>
              <w:t>。曾担任全国大学生暑期文化科技卫生“三下乡”实践活动和全国大学生数学建模竞赛的队长，带领团队分别拿到“校级重点项目”和“四川省一等奖”，展现了卓越的团队领导与问题解决能力。</w:t>
            </w:r>
            <w:r>
              <w:rPr>
                <w:rFonts w:ascii="宋体" w:eastAsia="宋体" w:hAnsi="宋体" w:hint="eastAsia"/>
                <w:b/>
                <w:bCs/>
                <w:szCs w:val="21"/>
              </w:rPr>
              <w:t>专业能力突出</w:t>
            </w:r>
            <w:r>
              <w:rPr>
                <w:rFonts w:ascii="宋体" w:eastAsia="宋体" w:hAnsi="宋体" w:hint="eastAsia"/>
                <w:szCs w:val="21"/>
              </w:rPr>
              <w:t>，数据挖掘、随机过程、数理统计等核心课程均取得90+的优异成绩，为项目的算法优化、数据处理提供了坚实的技术支撑。2025年前往加州伯克利学习了商业分析、机器学习等前沿课程，系统掌握了AI技术在商业场景的应用逻辑，进一步强化了技术与商业结合的思维能力。</w:t>
            </w:r>
            <w:r>
              <w:rPr>
                <w:rFonts w:ascii="宋体" w:eastAsia="宋体" w:hAnsi="宋体" w:hint="eastAsia"/>
                <w:b/>
                <w:bCs/>
                <w:szCs w:val="21"/>
              </w:rPr>
              <w:t>行业洞察能力敏锐</w:t>
            </w:r>
            <w:r>
              <w:rPr>
                <w:rFonts w:ascii="宋体" w:eastAsia="宋体" w:hAnsi="宋体" w:hint="eastAsia"/>
                <w:szCs w:val="21"/>
              </w:rPr>
              <w:t>，曾与投行总裁深入交流了解投资市场，精准把握行业发展趋势与资本偏好；曾在咨询公司实习期间，深度调研法律、物流等行业领域的发展现状与痛点，为项目定位、商业模式设计提供了重要的行业参考。</w:t>
            </w:r>
          </w:p>
        </w:tc>
      </w:tr>
      <w:tr w:rsidR="00B70185">
        <w:trPr>
          <w:jc w:val="center"/>
        </w:trPr>
        <w:tc>
          <w:tcPr>
            <w:tcW w:w="611" w:type="dxa"/>
            <w:tcBorders>
              <w:top w:val="single" w:sz="6" w:space="0" w:color="B5C7EA" w:themeColor="accent1" w:themeTint="66"/>
              <w:left w:val="single" w:sz="6" w:space="0" w:color="4874CB" w:themeColor="accent1"/>
              <w:bottom w:val="single" w:sz="6" w:space="0" w:color="B5C7EA" w:themeColor="accent1" w:themeTint="66"/>
              <w:right w:val="single" w:sz="6" w:space="0" w:color="4874CB" w:themeColor="accent1"/>
            </w:tcBorders>
            <w:shd w:val="clear" w:color="000000" w:fill="4874CB" w:themeFill="accent1"/>
            <w:vAlign w:val="center"/>
          </w:tcPr>
          <w:p w:rsidR="00B70185" w:rsidRDefault="00000000">
            <w:pPr>
              <w:widowControl/>
              <w:jc w:val="center"/>
              <w:rPr>
                <w:rFonts w:ascii="宋体" w:hAnsi="宋体" w:cs="宋体"/>
                <w:b/>
                <w:color w:val="FFFFFF"/>
                <w:kern w:val="0"/>
                <w:sz w:val="22"/>
                <w:szCs w:val="22"/>
              </w:rPr>
            </w:pPr>
            <w:r>
              <w:rPr>
                <w:rFonts w:ascii="宋体" w:hAnsi="宋体" w:cs="宋体" w:hint="eastAsia"/>
                <w:b/>
                <w:color w:val="FFFFFF"/>
                <w:kern w:val="0"/>
                <w:sz w:val="22"/>
                <w:szCs w:val="22"/>
              </w:rPr>
              <w:t>刘雨欣</w:t>
            </w:r>
          </w:p>
        </w:tc>
        <w:tc>
          <w:tcPr>
            <w:tcW w:w="1211" w:type="dxa"/>
            <w:tcBorders>
              <w:top w:val="single" w:sz="6" w:space="0" w:color="4874CB" w:themeColor="accent1"/>
              <w:left w:val="single" w:sz="6" w:space="0" w:color="4874CB" w:themeColor="accent1"/>
              <w:bottom w:val="single" w:sz="6" w:space="0" w:color="4874CB" w:themeColor="accent1"/>
              <w:right w:val="single" w:sz="6" w:space="0" w:color="4874CB" w:themeColor="accent1"/>
            </w:tcBorders>
            <w:shd w:val="clear" w:color="000000" w:fill="DAE3F4" w:themeFill="accent1" w:themeFillTint="32"/>
            <w:noWrap/>
            <w:vAlign w:val="center"/>
          </w:tcPr>
          <w:p w:rsidR="00B70185" w:rsidRDefault="00000000">
            <w:pPr>
              <w:widowControl/>
              <w:jc w:val="center"/>
              <w:rPr>
                <w:rFonts w:ascii="宋体" w:hAnsi="宋体" w:cs="宋体"/>
                <w:color w:val="000000"/>
                <w:kern w:val="0"/>
                <w:sz w:val="22"/>
                <w:szCs w:val="22"/>
              </w:rPr>
            </w:pPr>
            <w:r>
              <w:rPr>
                <w:rFonts w:ascii="宋体" w:eastAsia="宋体" w:hAnsi="宋体" w:hint="eastAsia"/>
                <w:szCs w:val="21"/>
              </w:rPr>
              <w:t>数学与应用数学（数学与经济学双学位）</w:t>
            </w:r>
          </w:p>
        </w:tc>
        <w:tc>
          <w:tcPr>
            <w:tcW w:w="6532" w:type="dxa"/>
            <w:tcBorders>
              <w:top w:val="single" w:sz="6" w:space="0" w:color="4874CB" w:themeColor="accent1"/>
              <w:left w:val="single" w:sz="6" w:space="0" w:color="4874CB" w:themeColor="accent1"/>
              <w:bottom w:val="single" w:sz="6" w:space="0" w:color="4874CB" w:themeColor="accent1"/>
              <w:right w:val="single" w:sz="6" w:space="0" w:color="4874CB" w:themeColor="accent1"/>
            </w:tcBorders>
            <w:shd w:val="clear" w:color="000000" w:fill="FFFFFF"/>
            <w:vAlign w:val="center"/>
          </w:tcPr>
          <w:p w:rsidR="00B70185" w:rsidRDefault="00000000">
            <w:pPr>
              <w:spacing w:line="300" w:lineRule="auto"/>
              <w:ind w:firstLine="420"/>
              <w:rPr>
                <w:rFonts w:ascii="宋体" w:hAnsi="宋体" w:cs="Times New Roman"/>
                <w:color w:val="000000"/>
                <w:kern w:val="0"/>
                <w:sz w:val="24"/>
              </w:rPr>
            </w:pPr>
            <w:r>
              <w:rPr>
                <w:rFonts w:ascii="宋体" w:eastAsia="宋体" w:hAnsi="宋体" w:hint="eastAsia"/>
                <w:szCs w:val="21"/>
              </w:rPr>
              <w:t>具备扎实的数理分析与经济建模能力，逻辑思维严谨，</w:t>
            </w:r>
            <w:r>
              <w:rPr>
                <w:rFonts w:ascii="宋体" w:eastAsia="宋体" w:hAnsi="宋体" w:hint="eastAsia"/>
                <w:b/>
                <w:bCs/>
                <w:szCs w:val="21"/>
              </w:rPr>
              <w:t>创新意识与商业实践能力突出</w:t>
            </w:r>
            <w:r>
              <w:rPr>
                <w:rFonts w:ascii="宋体" w:eastAsia="宋体" w:hAnsi="宋体" w:hint="eastAsia"/>
                <w:szCs w:val="21"/>
              </w:rPr>
              <w:t>，擅长将数学模型与商业场景深度结合。项目经验丰富，作为核心成员参与2024年大学生创新创业训练计划，国家级、省级两项均以A级顺利结项；作为项目负责人主持2025年省级大创项目，已顺利通过中期检查，具备完整的项目策划、执行、风险管控与推进经验，能够有效协调资源、解决项目推进中的各类问题。</w:t>
            </w:r>
            <w:r>
              <w:rPr>
                <w:rFonts w:ascii="宋体" w:eastAsia="宋体" w:hAnsi="宋体" w:hint="eastAsia"/>
                <w:b/>
                <w:bCs/>
                <w:szCs w:val="21"/>
              </w:rPr>
              <w:t>综合实</w:t>
            </w:r>
            <w:r>
              <w:rPr>
                <w:rFonts w:ascii="宋体" w:eastAsia="宋体" w:hAnsi="宋体" w:hint="eastAsia"/>
                <w:b/>
                <w:bCs/>
                <w:szCs w:val="21"/>
              </w:rPr>
              <w:lastRenderedPageBreak/>
              <w:t>践能力强</w:t>
            </w:r>
            <w:r>
              <w:rPr>
                <w:rFonts w:ascii="宋体" w:eastAsia="宋体" w:hAnsi="宋体" w:hint="eastAsia"/>
                <w:szCs w:val="21"/>
              </w:rPr>
              <w:t>，曾获三下乡社会实践校级一等奖、数学竞赛省级三等奖、数学建模竞赛省级一等奖、国家奖学金，</w:t>
            </w:r>
            <w:r>
              <w:rPr>
                <w:rFonts w:ascii="宋体" w:eastAsia="宋体" w:hAnsi="宋体" w:hint="eastAsia"/>
                <w:color w:val="C55E10" w:themeColor="accent2" w:themeShade="BF"/>
                <w:szCs w:val="21"/>
              </w:rPr>
              <w:t>负责项目的市场分析、商业模式优化与运营策略制定</w:t>
            </w:r>
            <w:r>
              <w:rPr>
                <w:rFonts w:ascii="宋体" w:eastAsia="宋体" w:hAnsi="宋体" w:hint="eastAsia"/>
                <w:szCs w:val="21"/>
              </w:rPr>
              <w:t>。</w:t>
            </w:r>
          </w:p>
        </w:tc>
      </w:tr>
      <w:tr w:rsidR="00B70185">
        <w:trPr>
          <w:jc w:val="center"/>
        </w:trPr>
        <w:tc>
          <w:tcPr>
            <w:tcW w:w="611" w:type="dxa"/>
            <w:tcBorders>
              <w:top w:val="single" w:sz="6" w:space="0" w:color="B5C7EA" w:themeColor="accent1" w:themeTint="66"/>
              <w:left w:val="single" w:sz="6" w:space="0" w:color="4874CB" w:themeColor="accent1"/>
              <w:bottom w:val="single" w:sz="6" w:space="0" w:color="B5C7EA" w:themeColor="accent1" w:themeTint="66"/>
              <w:right w:val="single" w:sz="6" w:space="0" w:color="4874CB" w:themeColor="accent1"/>
            </w:tcBorders>
            <w:shd w:val="clear" w:color="000000" w:fill="4874CB" w:themeFill="accent1"/>
            <w:noWrap/>
            <w:vAlign w:val="center"/>
          </w:tcPr>
          <w:p w:rsidR="00B70185" w:rsidRDefault="00000000">
            <w:pPr>
              <w:widowControl/>
              <w:jc w:val="center"/>
              <w:rPr>
                <w:rFonts w:ascii="宋体" w:hAnsi="宋体" w:cs="宋体"/>
                <w:b/>
                <w:color w:val="FFFFFF"/>
                <w:kern w:val="0"/>
                <w:sz w:val="22"/>
                <w:szCs w:val="22"/>
              </w:rPr>
            </w:pPr>
            <w:r>
              <w:rPr>
                <w:rFonts w:ascii="宋体" w:hAnsi="宋体" w:cs="宋体" w:hint="eastAsia"/>
                <w:b/>
                <w:color w:val="FFFFFF"/>
                <w:kern w:val="0"/>
                <w:sz w:val="22"/>
                <w:szCs w:val="22"/>
              </w:rPr>
              <w:t>袁小雅</w:t>
            </w:r>
          </w:p>
        </w:tc>
        <w:tc>
          <w:tcPr>
            <w:tcW w:w="1211" w:type="dxa"/>
            <w:tcBorders>
              <w:top w:val="single" w:sz="6" w:space="0" w:color="4874CB" w:themeColor="accent1"/>
              <w:left w:val="single" w:sz="6" w:space="0" w:color="4874CB" w:themeColor="accent1"/>
              <w:bottom w:val="single" w:sz="6" w:space="0" w:color="4874CB" w:themeColor="accent1"/>
              <w:right w:val="single" w:sz="6" w:space="0" w:color="4874CB" w:themeColor="accent1"/>
            </w:tcBorders>
            <w:shd w:val="clear" w:color="000000" w:fill="DAE3F4" w:themeFill="accent1" w:themeFillTint="32"/>
            <w:noWrap/>
            <w:vAlign w:val="center"/>
          </w:tcPr>
          <w:p w:rsidR="00B70185" w:rsidRDefault="00000000">
            <w:pPr>
              <w:widowControl/>
              <w:jc w:val="center"/>
              <w:rPr>
                <w:rFonts w:ascii="宋体" w:hAnsi="宋体" w:cs="宋体"/>
                <w:color w:val="000000"/>
                <w:kern w:val="0"/>
                <w:sz w:val="22"/>
                <w:szCs w:val="22"/>
              </w:rPr>
            </w:pPr>
            <w:r>
              <w:rPr>
                <w:rFonts w:ascii="宋体" w:eastAsia="宋体" w:hAnsi="宋体" w:hint="eastAsia"/>
                <w:szCs w:val="21"/>
              </w:rPr>
              <w:t>经济学</w:t>
            </w:r>
          </w:p>
        </w:tc>
        <w:tc>
          <w:tcPr>
            <w:tcW w:w="6532" w:type="dxa"/>
            <w:tcBorders>
              <w:top w:val="single" w:sz="6" w:space="0" w:color="4874CB" w:themeColor="accent1"/>
              <w:left w:val="single" w:sz="6" w:space="0" w:color="4874CB" w:themeColor="accent1"/>
              <w:bottom w:val="single" w:sz="6" w:space="0" w:color="4874CB" w:themeColor="accent1"/>
              <w:right w:val="single" w:sz="6" w:space="0" w:color="4874CB" w:themeColor="accent1"/>
            </w:tcBorders>
            <w:shd w:val="clear" w:color="000000" w:fill="FFFFFF"/>
            <w:vAlign w:val="center"/>
          </w:tcPr>
          <w:p w:rsidR="00B70185" w:rsidRDefault="00000000">
            <w:pPr>
              <w:spacing w:line="300" w:lineRule="auto"/>
              <w:ind w:firstLine="420"/>
              <w:rPr>
                <w:rFonts w:ascii="宋体" w:hAnsi="宋体" w:cs="Times New Roman"/>
                <w:color w:val="000000"/>
                <w:kern w:val="0"/>
                <w:sz w:val="24"/>
              </w:rPr>
            </w:pPr>
            <w:r>
              <w:rPr>
                <w:rFonts w:ascii="宋体" w:eastAsia="宋体" w:hAnsi="宋体" w:hint="eastAsia"/>
                <w:szCs w:val="21"/>
              </w:rPr>
              <w:t>主修微观经济学、宏观经济学、统计学、产业经济学等核心课程，具备</w:t>
            </w:r>
            <w:r>
              <w:rPr>
                <w:rFonts w:ascii="宋体" w:eastAsia="宋体" w:hAnsi="宋体" w:hint="eastAsia"/>
                <w:b/>
                <w:bCs/>
                <w:szCs w:val="21"/>
              </w:rPr>
              <w:t>系统的经济学理论素养与实证分析能力</w:t>
            </w:r>
            <w:r>
              <w:rPr>
                <w:rFonts w:ascii="宋体" w:eastAsia="宋体" w:hAnsi="宋体" w:hint="eastAsia"/>
                <w:szCs w:val="21"/>
              </w:rPr>
              <w:t>，擅长从宏观经济环境、行业竞争格局、用户需求变化等维度进行深度分析。密切关注人工智能与法律</w:t>
            </w:r>
            <w:r>
              <w:rPr>
                <w:rFonts w:ascii="宋体" w:eastAsia="宋体" w:hAnsi="宋体" w:hint="eastAsia"/>
                <w:b/>
                <w:bCs/>
                <w:szCs w:val="21"/>
              </w:rPr>
              <w:t>交叉领域</w:t>
            </w:r>
            <w:r>
              <w:rPr>
                <w:rFonts w:ascii="宋体" w:eastAsia="宋体" w:hAnsi="宋体" w:hint="eastAsia"/>
                <w:szCs w:val="21"/>
              </w:rPr>
              <w:t>，尤其聚焦算法决策的经济影响和AI治理中的政策与市场平衡等议题，能够精准把握项目的市场定位与商业机会。曾获工行杯市二等奖，多次获校三等奖学金及校级荣誉称号，</w:t>
            </w:r>
            <w:r>
              <w:rPr>
                <w:rFonts w:ascii="宋体" w:eastAsia="宋体" w:hAnsi="宋体" w:hint="eastAsia"/>
                <w:color w:val="C55E10" w:themeColor="accent2" w:themeShade="BF"/>
                <w:szCs w:val="21"/>
              </w:rPr>
              <w:t>负责项目的市场调研、竞争分析、盈利模式设计与财务预测工作，为项目的商业可持续性提供核心支撑</w:t>
            </w:r>
            <w:r>
              <w:rPr>
                <w:rFonts w:ascii="宋体" w:eastAsia="宋体" w:hAnsi="宋体" w:hint="eastAsia"/>
                <w:szCs w:val="21"/>
              </w:rPr>
              <w:t>。</w:t>
            </w:r>
          </w:p>
        </w:tc>
      </w:tr>
      <w:tr w:rsidR="00B70185">
        <w:trPr>
          <w:jc w:val="center"/>
        </w:trPr>
        <w:tc>
          <w:tcPr>
            <w:tcW w:w="611" w:type="dxa"/>
            <w:tcBorders>
              <w:top w:val="single" w:sz="6" w:space="0" w:color="B5C7EA" w:themeColor="accent1" w:themeTint="66"/>
              <w:left w:val="single" w:sz="6" w:space="0" w:color="4874CB" w:themeColor="accent1"/>
              <w:bottom w:val="single" w:sz="6" w:space="0" w:color="B5C7EA" w:themeColor="accent1" w:themeTint="66"/>
              <w:right w:val="single" w:sz="6" w:space="0" w:color="4874CB" w:themeColor="accent1"/>
            </w:tcBorders>
            <w:shd w:val="clear" w:color="000000" w:fill="4874CB" w:themeFill="accent1"/>
            <w:noWrap/>
            <w:vAlign w:val="center"/>
          </w:tcPr>
          <w:p w:rsidR="00B70185" w:rsidRDefault="00000000">
            <w:pPr>
              <w:widowControl/>
              <w:jc w:val="center"/>
              <w:rPr>
                <w:rFonts w:ascii="宋体" w:hAnsi="宋体" w:cs="宋体"/>
                <w:b/>
                <w:color w:val="FFFFFF"/>
                <w:kern w:val="0"/>
                <w:sz w:val="22"/>
                <w:szCs w:val="22"/>
              </w:rPr>
            </w:pPr>
            <w:r>
              <w:rPr>
                <w:rFonts w:ascii="宋体" w:hAnsi="宋体" w:cs="宋体" w:hint="eastAsia"/>
                <w:b/>
                <w:color w:val="FFFFFF"/>
                <w:kern w:val="0"/>
                <w:sz w:val="22"/>
                <w:szCs w:val="22"/>
              </w:rPr>
              <w:t>刘家齐</w:t>
            </w:r>
          </w:p>
        </w:tc>
        <w:tc>
          <w:tcPr>
            <w:tcW w:w="1211" w:type="dxa"/>
            <w:tcBorders>
              <w:top w:val="single" w:sz="6" w:space="0" w:color="4874CB" w:themeColor="accent1"/>
              <w:left w:val="single" w:sz="6" w:space="0" w:color="4874CB" w:themeColor="accent1"/>
              <w:bottom w:val="single" w:sz="6" w:space="0" w:color="4874CB" w:themeColor="accent1"/>
              <w:right w:val="single" w:sz="6" w:space="0" w:color="4874CB" w:themeColor="accent1"/>
            </w:tcBorders>
            <w:shd w:val="clear" w:color="000000" w:fill="DAE3F4" w:themeFill="accent1" w:themeFillTint="32"/>
            <w:noWrap/>
            <w:vAlign w:val="center"/>
          </w:tcPr>
          <w:p w:rsidR="00B70185" w:rsidRDefault="00000000">
            <w:pPr>
              <w:widowControl/>
              <w:jc w:val="center"/>
              <w:rPr>
                <w:rFonts w:ascii="宋体" w:hAnsi="宋体" w:cs="宋体"/>
                <w:color w:val="000000"/>
                <w:kern w:val="0"/>
                <w:sz w:val="22"/>
                <w:szCs w:val="22"/>
              </w:rPr>
            </w:pPr>
            <w:r>
              <w:rPr>
                <w:rFonts w:ascii="宋体" w:hAnsi="宋体" w:cs="宋体" w:hint="eastAsia"/>
                <w:color w:val="000000"/>
                <w:kern w:val="0"/>
                <w:sz w:val="22"/>
                <w:szCs w:val="22"/>
              </w:rPr>
              <w:t>电气工程</w:t>
            </w:r>
          </w:p>
        </w:tc>
        <w:tc>
          <w:tcPr>
            <w:tcW w:w="6532" w:type="dxa"/>
            <w:tcBorders>
              <w:top w:val="single" w:sz="6" w:space="0" w:color="4874CB" w:themeColor="accent1"/>
              <w:left w:val="single" w:sz="6" w:space="0" w:color="4874CB" w:themeColor="accent1"/>
              <w:bottom w:val="single" w:sz="6" w:space="0" w:color="4874CB" w:themeColor="accent1"/>
              <w:right w:val="single" w:sz="6" w:space="0" w:color="4874CB" w:themeColor="accent1"/>
            </w:tcBorders>
            <w:shd w:val="clear" w:color="000000" w:fill="FFFFFF"/>
            <w:vAlign w:val="center"/>
          </w:tcPr>
          <w:p w:rsidR="00B70185" w:rsidRDefault="00000000">
            <w:pPr>
              <w:spacing w:line="300" w:lineRule="auto"/>
              <w:ind w:firstLine="420"/>
              <w:rPr>
                <w:rFonts w:ascii="宋体" w:hAnsi="宋体" w:cs="Times New Roman"/>
                <w:color w:val="000000"/>
                <w:kern w:val="0"/>
                <w:sz w:val="24"/>
              </w:rPr>
            </w:pPr>
            <w:r>
              <w:rPr>
                <w:rFonts w:ascii="宋体" w:eastAsia="宋体" w:hAnsi="宋体" w:hint="eastAsia"/>
                <w:szCs w:val="21"/>
              </w:rPr>
              <w:t>主攻技术方向，具备</w:t>
            </w:r>
            <w:r>
              <w:rPr>
                <w:rFonts w:ascii="宋体" w:eastAsia="宋体" w:hAnsi="宋体" w:hint="eastAsia"/>
                <w:b/>
                <w:bCs/>
                <w:szCs w:val="21"/>
              </w:rPr>
              <w:t>扎实的工科基础</w:t>
            </w:r>
            <w:r>
              <w:rPr>
                <w:rFonts w:ascii="宋体" w:eastAsia="宋体" w:hAnsi="宋体" w:hint="eastAsia"/>
                <w:szCs w:val="21"/>
              </w:rPr>
              <w:t>、较强的逻辑思维与动手实践能力，</w:t>
            </w:r>
            <w:r>
              <w:rPr>
                <w:rFonts w:ascii="宋体" w:eastAsia="宋体" w:hAnsi="宋体" w:hint="eastAsia"/>
                <w:b/>
                <w:bCs/>
                <w:szCs w:val="21"/>
              </w:rPr>
              <w:t>擅长AI技术落地</w:t>
            </w:r>
            <w:r>
              <w:rPr>
                <w:rFonts w:ascii="宋体" w:eastAsia="宋体" w:hAnsi="宋体" w:hint="eastAsia"/>
                <w:szCs w:val="21"/>
              </w:rPr>
              <w:t>、软硬件结合与智能系统开发。拥有丰富的项目技术实践经验，曾参与大学生创新创业训练计划项目，在项目中全程负责技术相关工作，包括方案设计、代码开发、系统测试与问题调试，积累了扎实的项目协作、技术攻坚与落地执行经验。对AI技术、软硬件结合、智能系统应用抱有浓厚兴趣，善于快速学习新知识并转化为实践成果，能够紧跟技术前沿趋势，以严谨务实的态度</w:t>
            </w:r>
            <w:r>
              <w:rPr>
                <w:rFonts w:ascii="宋体" w:eastAsia="宋体" w:hAnsi="宋体" w:hint="eastAsia"/>
                <w:color w:val="C55E10" w:themeColor="accent2" w:themeShade="BF"/>
                <w:szCs w:val="21"/>
              </w:rPr>
              <w:t>负责项目大模型优化、算力适配与系统开发工作，保障技术方案的可行性与领先性</w:t>
            </w:r>
            <w:r>
              <w:rPr>
                <w:rFonts w:ascii="宋体" w:eastAsia="宋体" w:hAnsi="宋体" w:hint="eastAsia"/>
                <w:szCs w:val="21"/>
              </w:rPr>
              <w:t>。</w:t>
            </w:r>
          </w:p>
        </w:tc>
      </w:tr>
      <w:tr w:rsidR="00B70185">
        <w:trPr>
          <w:jc w:val="center"/>
        </w:trPr>
        <w:tc>
          <w:tcPr>
            <w:tcW w:w="611" w:type="dxa"/>
            <w:tcBorders>
              <w:top w:val="single" w:sz="6" w:space="0" w:color="B5C7EA" w:themeColor="accent1" w:themeTint="66"/>
              <w:left w:val="single" w:sz="6" w:space="0" w:color="4874CB" w:themeColor="accent1"/>
              <w:bottom w:val="single" w:sz="6" w:space="0" w:color="4874CB" w:themeColor="accent1"/>
              <w:right w:val="single" w:sz="6" w:space="0" w:color="4874CB" w:themeColor="accent1"/>
            </w:tcBorders>
            <w:shd w:val="clear" w:color="000000" w:fill="4874CB" w:themeFill="accent1"/>
            <w:noWrap/>
            <w:vAlign w:val="center"/>
          </w:tcPr>
          <w:p w:rsidR="00B70185" w:rsidRDefault="00000000">
            <w:pPr>
              <w:widowControl/>
              <w:jc w:val="center"/>
              <w:rPr>
                <w:rFonts w:ascii="宋体" w:hAnsi="宋体" w:cs="宋体"/>
                <w:b/>
                <w:color w:val="FFFFFF"/>
                <w:kern w:val="0"/>
                <w:sz w:val="22"/>
                <w:szCs w:val="22"/>
                <w:highlight w:val="yellow"/>
              </w:rPr>
            </w:pPr>
            <w:r>
              <w:rPr>
                <w:rFonts w:ascii="宋体" w:hAnsi="宋体" w:cs="宋体" w:hint="eastAsia"/>
                <w:b/>
                <w:color w:val="FFFFFF"/>
                <w:kern w:val="0"/>
                <w:sz w:val="22"/>
                <w:szCs w:val="22"/>
              </w:rPr>
              <w:t>成秦川</w:t>
            </w:r>
          </w:p>
        </w:tc>
        <w:tc>
          <w:tcPr>
            <w:tcW w:w="1211" w:type="dxa"/>
            <w:tcBorders>
              <w:top w:val="single" w:sz="6" w:space="0" w:color="4874CB" w:themeColor="accent1"/>
              <w:left w:val="single" w:sz="6" w:space="0" w:color="4874CB" w:themeColor="accent1"/>
              <w:bottom w:val="single" w:sz="6" w:space="0" w:color="4874CB" w:themeColor="accent1"/>
              <w:right w:val="single" w:sz="6" w:space="0" w:color="4874CB" w:themeColor="accent1"/>
            </w:tcBorders>
            <w:shd w:val="clear" w:color="000000" w:fill="DAE3F4" w:themeFill="accent1" w:themeFillTint="32"/>
            <w:noWrap/>
            <w:vAlign w:val="center"/>
          </w:tcPr>
          <w:p w:rsidR="00B70185" w:rsidRDefault="00000000">
            <w:pPr>
              <w:widowControl/>
              <w:jc w:val="center"/>
              <w:rPr>
                <w:rFonts w:ascii="宋体" w:hAnsi="宋体" w:cs="宋体"/>
                <w:color w:val="000000"/>
                <w:kern w:val="0"/>
                <w:sz w:val="22"/>
                <w:szCs w:val="22"/>
                <w:highlight w:val="yellow"/>
              </w:rPr>
            </w:pPr>
            <w:r>
              <w:rPr>
                <w:rFonts w:ascii="宋体" w:eastAsia="宋体" w:hAnsi="宋体" w:hint="eastAsia"/>
                <w:szCs w:val="21"/>
              </w:rPr>
              <w:t>自动化</w:t>
            </w:r>
          </w:p>
        </w:tc>
        <w:tc>
          <w:tcPr>
            <w:tcW w:w="6532" w:type="dxa"/>
            <w:tcBorders>
              <w:top w:val="single" w:sz="6" w:space="0" w:color="4874CB" w:themeColor="accent1"/>
              <w:left w:val="single" w:sz="6" w:space="0" w:color="4874CB" w:themeColor="accent1"/>
              <w:bottom w:val="single" w:sz="6" w:space="0" w:color="4874CB" w:themeColor="accent1"/>
              <w:right w:val="single" w:sz="6" w:space="0" w:color="4874CB" w:themeColor="accent1"/>
            </w:tcBorders>
            <w:shd w:val="clear" w:color="000000" w:fill="FFFFFF"/>
            <w:vAlign w:val="center"/>
          </w:tcPr>
          <w:p w:rsidR="00B70185" w:rsidRDefault="00000000">
            <w:pPr>
              <w:widowControl/>
              <w:spacing w:line="300" w:lineRule="auto"/>
              <w:ind w:firstLineChars="200" w:firstLine="420"/>
              <w:rPr>
                <w:rFonts w:ascii="宋体" w:hAnsi="宋体" w:cs="Times New Roman"/>
                <w:color w:val="000000"/>
                <w:kern w:val="0"/>
                <w:sz w:val="24"/>
                <w:highlight w:val="yellow"/>
              </w:rPr>
            </w:pPr>
            <w:r>
              <w:rPr>
                <w:rFonts w:ascii="宋体" w:eastAsia="宋体" w:hAnsi="宋体" w:hint="eastAsia"/>
                <w:szCs w:val="21"/>
              </w:rPr>
              <w:t>主攻大模型与计算机视觉方向，具备</w:t>
            </w:r>
            <w:r>
              <w:rPr>
                <w:rFonts w:ascii="宋体" w:eastAsia="宋体" w:hAnsi="宋体" w:hint="eastAsia"/>
                <w:b/>
                <w:bCs/>
                <w:szCs w:val="21"/>
              </w:rPr>
              <w:t>扎实的数理基础</w:t>
            </w:r>
            <w:r>
              <w:rPr>
                <w:rFonts w:ascii="宋体" w:eastAsia="宋体" w:hAnsi="宋体" w:hint="eastAsia"/>
                <w:szCs w:val="21"/>
              </w:rPr>
              <w:t>与</w:t>
            </w:r>
            <w:r>
              <w:rPr>
                <w:rFonts w:ascii="宋体" w:eastAsia="宋体" w:hAnsi="宋体" w:hint="eastAsia"/>
                <w:b/>
                <w:bCs/>
                <w:szCs w:val="21"/>
              </w:rPr>
              <w:t>严谨的算法思维</w:t>
            </w:r>
            <w:r>
              <w:rPr>
                <w:rFonts w:ascii="宋体" w:eastAsia="宋体" w:hAnsi="宋体" w:hint="eastAsia"/>
                <w:szCs w:val="21"/>
              </w:rPr>
              <w:t>，工程落地能力突出。担任班长及团委书记，获评越杰奖学金获得者与社会先进个人，具备优秀的组织协调与团队推动能力，曾获数维杯数学建模竞赛M奖、华为人工智能大赛银奖、火山引擎人工智能大赛特等奖等多项重量级奖项，在模型调优、算法部署与系统集成方面积累了丰富实践经验，善于将前沿技术转化为可执行方案。该成员对AI技术、多模态系统与智能感知应用具有浓厚兴趣，学习能力强、执行效率高，以结果导向与务实严谨的风格，</w:t>
            </w:r>
            <w:r>
              <w:rPr>
                <w:rFonts w:ascii="宋体" w:eastAsia="宋体" w:hAnsi="宋体" w:hint="eastAsia"/>
                <w:color w:val="C55E10" w:themeColor="accent2" w:themeShade="BF"/>
                <w:szCs w:val="21"/>
              </w:rPr>
              <w:t>负责项目大模型研发、算法优化与技术落地相关工作</w:t>
            </w:r>
            <w:r>
              <w:rPr>
                <w:rFonts w:ascii="宋体" w:eastAsia="宋体" w:hAnsi="宋体" w:hint="eastAsia"/>
                <w:szCs w:val="21"/>
              </w:rPr>
              <w:t>。</w:t>
            </w:r>
          </w:p>
        </w:tc>
      </w:tr>
    </w:tbl>
    <w:p w:rsidR="00B70185" w:rsidRDefault="00000000">
      <w:pPr>
        <w:pStyle w:val="a3"/>
        <w:jc w:val="center"/>
        <w:rPr>
          <w:rFonts w:asciiTheme="majorHAnsi" w:hAnsiTheme="majorHAnsi" w:cstheme="majorBidi"/>
          <w:szCs w:val="20"/>
        </w:rPr>
      </w:pPr>
      <w:r>
        <w:rPr>
          <w:rFonts w:asciiTheme="majorHAnsi" w:hAnsiTheme="majorHAnsi" w:cstheme="majorBidi" w:hint="eastAsia"/>
          <w:szCs w:val="20"/>
        </w:rPr>
        <w:t>表</w:t>
      </w:r>
      <w:r>
        <w:rPr>
          <w:rFonts w:asciiTheme="majorHAnsi" w:hAnsiTheme="majorHAnsi" w:cstheme="majorBidi" w:hint="eastAsia"/>
          <w:szCs w:val="20"/>
        </w:rPr>
        <w:t xml:space="preserve"> </w:t>
      </w:r>
      <w:r>
        <w:rPr>
          <w:rFonts w:asciiTheme="majorHAnsi" w:hAnsiTheme="majorHAnsi" w:cstheme="majorBidi" w:hint="eastAsia"/>
          <w:szCs w:val="20"/>
        </w:rPr>
        <w:fldChar w:fldCharType="begin"/>
      </w:r>
      <w:r>
        <w:rPr>
          <w:rFonts w:asciiTheme="majorHAnsi" w:hAnsiTheme="majorHAnsi" w:cstheme="majorBidi" w:hint="eastAsia"/>
          <w:szCs w:val="20"/>
        </w:rPr>
        <w:instrText xml:space="preserve"> SEQ </w:instrText>
      </w:r>
      <w:r>
        <w:rPr>
          <w:rFonts w:asciiTheme="majorHAnsi" w:hAnsiTheme="majorHAnsi" w:cstheme="majorBidi" w:hint="eastAsia"/>
          <w:szCs w:val="20"/>
        </w:rPr>
        <w:instrText>表</w:instrText>
      </w:r>
      <w:r>
        <w:rPr>
          <w:rFonts w:asciiTheme="majorHAnsi" w:hAnsiTheme="majorHAnsi" w:cstheme="majorBidi" w:hint="eastAsia"/>
          <w:szCs w:val="20"/>
        </w:rPr>
        <w:instrText xml:space="preserve"> \* ARABIC </w:instrText>
      </w:r>
      <w:r>
        <w:rPr>
          <w:rFonts w:asciiTheme="majorHAnsi" w:hAnsiTheme="majorHAnsi" w:cstheme="majorBidi" w:hint="eastAsia"/>
          <w:szCs w:val="20"/>
        </w:rPr>
        <w:fldChar w:fldCharType="separate"/>
      </w:r>
      <w:r>
        <w:rPr>
          <w:rFonts w:asciiTheme="majorHAnsi" w:hAnsiTheme="majorHAnsi" w:cstheme="majorBidi" w:hint="eastAsia"/>
          <w:szCs w:val="20"/>
        </w:rPr>
        <w:t>7</w:t>
      </w:r>
      <w:r>
        <w:rPr>
          <w:rFonts w:asciiTheme="majorHAnsi" w:hAnsiTheme="majorHAnsi" w:cstheme="majorBidi" w:hint="eastAsia"/>
          <w:szCs w:val="20"/>
        </w:rPr>
        <w:fldChar w:fldCharType="end"/>
      </w:r>
      <w:r>
        <w:rPr>
          <w:rFonts w:asciiTheme="majorHAnsi" w:hAnsiTheme="majorHAnsi" w:cstheme="majorBidi" w:hint="eastAsia"/>
          <w:szCs w:val="20"/>
        </w:rPr>
        <w:t xml:space="preserve"> </w:t>
      </w:r>
      <w:r>
        <w:rPr>
          <w:rFonts w:asciiTheme="majorHAnsi" w:hAnsiTheme="majorHAnsi" w:cstheme="majorBidi" w:hint="eastAsia"/>
          <w:szCs w:val="20"/>
        </w:rPr>
        <w:t>成员介绍表</w:t>
      </w:r>
    </w:p>
    <w:p w:rsidR="00B70185" w:rsidRDefault="00000000">
      <w:pPr>
        <w:pStyle w:val="2"/>
        <w:tabs>
          <w:tab w:val="center" w:pos="4153"/>
        </w:tabs>
        <w:spacing w:line="300" w:lineRule="auto"/>
        <w:ind w:right="210"/>
        <w:rPr>
          <w:rFonts w:ascii="宋体" w:eastAsia="宋体" w:hAnsi="宋体"/>
          <w:sz w:val="21"/>
          <w:szCs w:val="21"/>
        </w:rPr>
      </w:pPr>
      <w:bookmarkStart w:id="62" w:name="heading_6"/>
      <w:bookmarkStart w:id="63" w:name="_Toc24101"/>
      <w:r>
        <w:rPr>
          <w:rFonts w:ascii="宋体" w:eastAsia="宋体" w:hAnsi="宋体" w:hint="eastAsia"/>
          <w:sz w:val="21"/>
          <w:szCs w:val="21"/>
        </w:rPr>
        <w:t>5.4专家顾问与合作伙伴</w:t>
      </w:r>
      <w:bookmarkEnd w:id="62"/>
      <w:bookmarkEnd w:id="63"/>
    </w:p>
    <w:p w:rsidR="00B70185" w:rsidRDefault="00000000">
      <w:pPr>
        <w:pStyle w:val="3"/>
        <w:spacing w:before="0" w:after="0" w:line="300" w:lineRule="auto"/>
        <w:ind w:leftChars="200" w:left="420" w:rightChars="100" w:right="210"/>
        <w:rPr>
          <w:rFonts w:ascii="宋体" w:eastAsia="宋体" w:hAnsi="宋体"/>
          <w:bCs/>
          <w:sz w:val="21"/>
          <w:szCs w:val="32"/>
        </w:rPr>
      </w:pPr>
      <w:bookmarkStart w:id="64" w:name="_Toc9458"/>
      <w:bookmarkStart w:id="65" w:name="heading_7"/>
      <w:r>
        <w:rPr>
          <w:rFonts w:ascii="宋体" w:eastAsia="宋体" w:hAnsi="宋体" w:hint="eastAsia"/>
          <w:bCs/>
          <w:sz w:val="21"/>
          <w:szCs w:val="32"/>
        </w:rPr>
        <w:t>5.4.1专家顾问</w:t>
      </w:r>
      <w:bookmarkEnd w:id="64"/>
      <w:bookmarkEnd w:id="65"/>
    </w:p>
    <w:p w:rsidR="00B70185" w:rsidRDefault="00000000">
      <w:pPr>
        <w:spacing w:line="300" w:lineRule="auto"/>
        <w:ind w:firstLine="420"/>
        <w:rPr>
          <w:rFonts w:ascii="宋体" w:eastAsia="宋体" w:hAnsi="宋体"/>
          <w:szCs w:val="21"/>
        </w:rPr>
      </w:pPr>
      <w:r>
        <w:rPr>
          <w:rFonts w:ascii="宋体" w:eastAsia="宋体" w:hAnsi="宋体" w:hint="eastAsia"/>
          <w:szCs w:val="21"/>
        </w:rPr>
        <w:t>黄礼登副教授现任西南财经大学法学院硕士研究生导师、中国致公党西南财经大学支部副主委、遂宁市法律顾问团成员，拥有德国柏林洪堡大学法学博士、德国柏林自由大学法学硕士及中国政法大学法学学士等国际化教育背景，长期从事刑法学、国际刑事司法协助制度</w:t>
      </w:r>
      <w:r>
        <w:rPr>
          <w:rFonts w:ascii="宋体" w:eastAsia="宋体" w:hAnsi="宋体" w:hint="eastAsia"/>
          <w:szCs w:val="21"/>
        </w:rPr>
        <w:lastRenderedPageBreak/>
        <w:t>研究，主持多项国家级、省级科研项目，具有深厚学术造诣与丰富实务经验；曾挂职遂宁市人民检察院副检察长，教学与实践成果突出，多项决策咨询建议被全国政协、中央统战部等部门采纳。作为项目专家顾问，</w:t>
      </w:r>
      <w:r>
        <w:rPr>
          <w:rFonts w:ascii="宋体" w:eastAsia="宋体" w:hAnsi="宋体" w:hint="eastAsia"/>
          <w:color w:val="C55E10" w:themeColor="accent2" w:themeShade="BF"/>
          <w:szCs w:val="21"/>
        </w:rPr>
        <w:t>主要负责项目法律合规审核、语料库专业把关、AI 法律内容准确性校验、政策解读与风险防控工作</w:t>
      </w:r>
      <w:r>
        <w:rPr>
          <w:rFonts w:ascii="宋体" w:eastAsia="宋体" w:hAnsi="宋体" w:hint="eastAsia"/>
          <w:szCs w:val="21"/>
        </w:rPr>
        <w:t>。</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66" w:name="_Toc13097"/>
      <w:bookmarkStart w:id="67" w:name="heading_8"/>
      <w:r>
        <w:rPr>
          <w:rFonts w:ascii="宋体" w:eastAsia="宋体" w:hAnsi="宋体" w:hint="eastAsia"/>
          <w:bCs/>
          <w:sz w:val="21"/>
          <w:szCs w:val="32"/>
        </w:rPr>
        <w:t>5.4.2核心合作伙伴</w:t>
      </w:r>
      <w:bookmarkEnd w:id="66"/>
      <w:bookmarkEnd w:id="67"/>
    </w:p>
    <w:p w:rsidR="00B70185" w:rsidRDefault="00000000">
      <w:pPr>
        <w:spacing w:line="300" w:lineRule="auto"/>
        <w:ind w:firstLine="420"/>
        <w:rPr>
          <w:rFonts w:ascii="宋体" w:eastAsia="宋体" w:hAnsi="宋体"/>
          <w:szCs w:val="21"/>
        </w:rPr>
      </w:pPr>
      <w:r>
        <w:rPr>
          <w:rFonts w:ascii="宋体" w:eastAsia="宋体" w:hAnsi="宋体" w:hint="eastAsia"/>
          <w:szCs w:val="21"/>
        </w:rPr>
        <w:t>项目已与</w:t>
      </w:r>
      <w:r>
        <w:rPr>
          <w:rFonts w:ascii="宋体" w:eastAsia="宋体" w:hAnsi="宋体" w:hint="eastAsia"/>
          <w:b/>
          <w:bCs/>
          <w:szCs w:val="21"/>
        </w:rPr>
        <w:t>华为昇腾</w:t>
      </w:r>
      <w:r>
        <w:rPr>
          <w:rFonts w:ascii="宋体" w:eastAsia="宋体" w:hAnsi="宋体" w:hint="eastAsia"/>
          <w:szCs w:val="21"/>
        </w:rPr>
        <w:t>建立战略合作伙伴关系，依托其国产化算力底座——昇腾910B芯片，构建安全可控的高性能计算环境。通过深度集成CANN异构计算软件栈与</w:t>
      </w:r>
      <w:proofErr w:type="spellStart"/>
      <w:r>
        <w:rPr>
          <w:rFonts w:ascii="宋体" w:eastAsia="宋体" w:hAnsi="宋体" w:hint="eastAsia"/>
          <w:szCs w:val="21"/>
        </w:rPr>
        <w:t>MindSpore</w:t>
      </w:r>
      <w:proofErr w:type="spellEnd"/>
      <w:r>
        <w:rPr>
          <w:rFonts w:ascii="宋体" w:eastAsia="宋体" w:hAnsi="宋体" w:hint="eastAsia"/>
          <w:szCs w:val="21"/>
        </w:rPr>
        <w:t>深度学习框架，项目实现了模型训练与推理效率的全面优化，不仅有效保障系统运行的稳定性与数据安全性，也高度契合国家信息技术应用创新的战略方向。在此基础上，项目还将充分融入昇腾生态体系，在技术协同、联合推广及产业资源对接等方面获得持续支持，加速实现规模化部署与行业落地。与此同时，项目与</w:t>
      </w:r>
      <w:r>
        <w:rPr>
          <w:rFonts w:ascii="宋体" w:eastAsia="宋体" w:hAnsi="宋体" w:hint="eastAsia"/>
          <w:b/>
          <w:bCs/>
          <w:szCs w:val="21"/>
        </w:rPr>
        <w:t>西南财经大学法学院</w:t>
      </w:r>
      <w:r>
        <w:rPr>
          <w:rFonts w:ascii="宋体" w:eastAsia="宋体" w:hAnsi="宋体" w:hint="eastAsia"/>
          <w:szCs w:val="21"/>
        </w:rPr>
        <w:t>等国内知名高校法学院展开深度合作，整合优质学术资源与专业法律语料库，共同参与模型合规性审核、知识结构优化及法律逻辑增强。双方通过联合开展产学研项目，系统培养兼具法学素养与人工智能技术能力的复合型人才，为项目长期发展提供持续的智力支撑和创新动力。高校的科研优势也为攻克法律推理、可解释性AI等关键技术难题提供了重要助力，进一步提升项目的学术深度与技术先进性。</w:t>
      </w:r>
    </w:p>
    <w:p w:rsidR="00B70185" w:rsidRDefault="00000000">
      <w:pPr>
        <w:spacing w:line="300" w:lineRule="auto"/>
        <w:ind w:firstLine="420"/>
        <w:rPr>
          <w:rFonts w:ascii="宋体" w:eastAsia="宋体" w:hAnsi="宋体"/>
          <w:szCs w:val="21"/>
        </w:rPr>
      </w:pPr>
      <w:r>
        <w:rPr>
          <w:rFonts w:ascii="宋体" w:eastAsia="宋体" w:hAnsi="宋体" w:hint="eastAsia"/>
          <w:szCs w:val="21"/>
        </w:rPr>
        <w:t>在应用场景拓展方面，</w:t>
      </w:r>
      <w:r>
        <w:rPr>
          <w:rFonts w:ascii="宋体" w:eastAsia="宋体" w:hAnsi="宋体" w:hint="eastAsia"/>
          <w:szCs w:val="21"/>
          <w:highlight w:val="yellow"/>
        </w:rPr>
        <w:t>项目已与社区服务中心、工会、人力资源平台、消费者协会等公共服务机构达成初步合作意向，借助其贴近基层的服务网络，推动普惠法律服务切实触达中小企业、劳动者及普通市民等重点群体。</w:t>
      </w:r>
      <w:r>
        <w:rPr>
          <w:rFonts w:ascii="宋体" w:eastAsia="宋体" w:hAnsi="宋体" w:hint="eastAsia"/>
          <w:szCs w:val="21"/>
        </w:rPr>
        <w:t>同时，项目积极对接司法行政、人社等主管部门，争取政策指导、创业扶持资金及专项补贴，有效缓解研发与推广阶段的资金压力，并为后续可持续运营奠定基础。此外，项目还与</w:t>
      </w:r>
      <w:r>
        <w:rPr>
          <w:rFonts w:ascii="宋体" w:eastAsia="宋体" w:hAnsi="宋体" w:hint="eastAsia"/>
          <w:b/>
          <w:bCs/>
          <w:szCs w:val="21"/>
        </w:rPr>
        <w:t>北大法宝、威科先行</w:t>
      </w:r>
      <w:r>
        <w:rPr>
          <w:rFonts w:ascii="宋体" w:eastAsia="宋体" w:hAnsi="宋体" w:hint="eastAsia"/>
          <w:szCs w:val="21"/>
        </w:rPr>
        <w:t>等权威法律数据服务商建立稳定合作关系，合法获取覆盖法律法规、司法解释、裁判文书等全类型、高时效的法律数据资源，确保知识库的专业性、完整性与时效性。结合数据服务商在法律信息处理、知识组织与行业标准理解方面的深厚积累，项目持续优化语料清洗、知识抽取、动态更新及内容校验机制，全面提升AI输出结果的准确性、合规性与实用价值，真正实现“让法律智能既懂法、又可靠”。</w:t>
      </w:r>
    </w:p>
    <w:p w:rsidR="00B70185" w:rsidRDefault="00000000">
      <w:pPr>
        <w:pStyle w:val="1"/>
        <w:spacing w:line="300" w:lineRule="auto"/>
        <w:rPr>
          <w:rFonts w:ascii="黑体" w:eastAsia="黑体" w:hAnsi="黑体"/>
          <w:sz w:val="24"/>
          <w:szCs w:val="24"/>
        </w:rPr>
      </w:pPr>
      <w:bookmarkStart w:id="68" w:name="_Toc18011"/>
      <w:bookmarkStart w:id="69" w:name="heading_9"/>
      <w:r>
        <w:rPr>
          <w:rFonts w:ascii="黑体" w:eastAsia="黑体" w:hAnsi="黑体" w:hint="eastAsia"/>
          <w:sz w:val="24"/>
          <w:szCs w:val="24"/>
        </w:rPr>
        <w:t>6.社会效益与项目成果</w:t>
      </w:r>
      <w:bookmarkEnd w:id="68"/>
      <w:bookmarkEnd w:id="69"/>
    </w:p>
    <w:p w:rsidR="00B70185" w:rsidRDefault="00000000">
      <w:pPr>
        <w:pStyle w:val="2"/>
        <w:tabs>
          <w:tab w:val="center" w:pos="4153"/>
        </w:tabs>
        <w:spacing w:line="300" w:lineRule="auto"/>
        <w:ind w:right="210"/>
        <w:rPr>
          <w:rFonts w:ascii="宋体" w:eastAsia="宋体" w:hAnsi="宋体"/>
          <w:sz w:val="21"/>
          <w:szCs w:val="21"/>
        </w:rPr>
      </w:pPr>
      <w:bookmarkStart w:id="70" w:name="heading_10"/>
      <w:bookmarkStart w:id="71" w:name="_Toc25138"/>
      <w:r>
        <w:rPr>
          <w:rFonts w:ascii="宋体" w:eastAsia="宋体" w:hAnsi="宋体" w:hint="eastAsia"/>
          <w:sz w:val="21"/>
          <w:szCs w:val="21"/>
        </w:rPr>
        <w:t>6.1普惠法律意义</w:t>
      </w:r>
      <w:bookmarkEnd w:id="70"/>
      <w:bookmarkEnd w:id="71"/>
    </w:p>
    <w:p w:rsidR="00B70185" w:rsidRDefault="00000000">
      <w:pPr>
        <w:pStyle w:val="3"/>
        <w:spacing w:before="0" w:after="0" w:line="300" w:lineRule="auto"/>
        <w:ind w:leftChars="200" w:left="420" w:rightChars="100" w:right="210"/>
        <w:rPr>
          <w:rFonts w:ascii="宋体" w:eastAsia="宋体" w:hAnsi="宋体"/>
          <w:bCs/>
          <w:sz w:val="21"/>
          <w:szCs w:val="32"/>
        </w:rPr>
      </w:pPr>
      <w:bookmarkStart w:id="72" w:name="_Toc8604"/>
      <w:bookmarkStart w:id="73" w:name="heading_11"/>
      <w:r>
        <w:rPr>
          <w:rFonts w:ascii="宋体" w:eastAsia="宋体" w:hAnsi="宋体" w:hint="eastAsia"/>
          <w:bCs/>
          <w:sz w:val="21"/>
          <w:szCs w:val="32"/>
        </w:rPr>
        <w:t>6.1.1打破法律服务壁垒，促进社会公平正义</w:t>
      </w:r>
      <w:bookmarkEnd w:id="72"/>
      <w:bookmarkEnd w:id="73"/>
    </w:p>
    <w:p w:rsidR="00B70185" w:rsidRDefault="00000000">
      <w:pPr>
        <w:spacing w:line="300" w:lineRule="auto"/>
        <w:ind w:firstLine="420"/>
        <w:rPr>
          <w:rFonts w:ascii="宋体" w:eastAsia="宋体" w:hAnsi="宋体"/>
          <w:szCs w:val="21"/>
        </w:rPr>
      </w:pPr>
      <w:r>
        <w:rPr>
          <w:rFonts w:ascii="宋体" w:eastAsia="宋体" w:hAnsi="宋体" w:hint="eastAsia"/>
          <w:szCs w:val="21"/>
        </w:rPr>
        <w:t>传统法律服务存在“高门槛、高价格、地域限制”等突出问题，大量基层群体的法律需求被忽视。我国基层务工者、社会青年、小微企业主等“法律小白”群体规模超3亿人，他们面临的多为劳动争议、消费维权、小额借贷等</w:t>
      </w:r>
      <w:r>
        <w:rPr>
          <w:rFonts w:ascii="宋体" w:eastAsia="宋体" w:hAnsi="宋体" w:hint="eastAsia"/>
          <w:b/>
          <w:bCs/>
          <w:szCs w:val="21"/>
        </w:rPr>
        <w:t>高频长尾纠纷</w:t>
      </w:r>
      <w:r>
        <w:rPr>
          <w:rFonts w:ascii="宋体" w:eastAsia="宋体" w:hAnsi="宋体" w:hint="eastAsia"/>
          <w:szCs w:val="21"/>
        </w:rPr>
        <w:t>，涉案金额通常在数千元至数万元之间，传统律师服务的高收费超出其承受范围，导致许多人“有理没钱打不起官司”，合法权益难以得到保障。</w:t>
      </w:r>
    </w:p>
    <w:p w:rsidR="00B70185" w:rsidRDefault="00000000">
      <w:pPr>
        <w:spacing w:line="300" w:lineRule="auto"/>
        <w:ind w:firstLine="420"/>
        <w:rPr>
          <w:rFonts w:ascii="宋体" w:eastAsia="宋体" w:hAnsi="宋体"/>
          <w:szCs w:val="21"/>
        </w:rPr>
      </w:pPr>
      <w:r>
        <w:rPr>
          <w:rFonts w:ascii="宋体" w:eastAsia="宋体" w:hAnsi="宋体" w:hint="eastAsia"/>
          <w:szCs w:val="21"/>
        </w:rPr>
        <w:lastRenderedPageBreak/>
        <w:t>LAW-MASTER项目通过轻量化AI技术与国产化算力控制成本，构建“免费基础服务+低价增值服务”的普惠模式，基础咨询、简单文书模板等核心服务免费开放，复杂解决方案、深度文书定制等增值服务定价仅为传统律师服务的1/10-1/5，让基层群体以极低成本即可获得专业法律支持。项目彻底打破了传统法律服务的价格壁垒、专业壁垒与地域壁垒，无论用户身处城市还是乡村、收入高低、教育背景如何，都能平等获取优质法律服务，有效填补了传统法律服务的“服务真空”，保障了弱势群体的合法权益，推动法律服务均等化发展，促进社会公平正义。</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74" w:name="_Toc12544"/>
      <w:bookmarkStart w:id="75" w:name="heading_12"/>
      <w:r>
        <w:rPr>
          <w:rFonts w:ascii="宋体" w:eastAsia="宋体" w:hAnsi="宋体" w:hint="eastAsia"/>
          <w:bCs/>
          <w:sz w:val="21"/>
          <w:szCs w:val="32"/>
        </w:rPr>
        <w:t>6.1.2提升全民法律素养，助力法治社会建设</w:t>
      </w:r>
      <w:bookmarkEnd w:id="74"/>
      <w:bookmarkEnd w:id="75"/>
    </w:p>
    <w:p w:rsidR="00B70185" w:rsidRDefault="00000000">
      <w:pPr>
        <w:spacing w:line="300" w:lineRule="auto"/>
        <w:ind w:firstLine="420"/>
        <w:rPr>
          <w:rFonts w:ascii="宋体" w:eastAsia="宋体" w:hAnsi="宋体"/>
          <w:szCs w:val="21"/>
        </w:rPr>
      </w:pPr>
      <w:r>
        <w:rPr>
          <w:rFonts w:ascii="宋体" w:eastAsia="宋体" w:hAnsi="宋体" w:hint="eastAsia"/>
          <w:szCs w:val="21"/>
        </w:rPr>
        <w:t>全面依法治国是国家治理的一场深刻革命，全民法律素养的提升是法治社会建设的核心基础。当前我国公民法律意识虽逐步觉醒，但专业法律知识储备普遍不足，许多人因不懂法而错失维权时机，或因用法不当而引发新的纠纷。</w:t>
      </w:r>
    </w:p>
    <w:p w:rsidR="00B70185" w:rsidRDefault="00000000">
      <w:pPr>
        <w:spacing w:line="300" w:lineRule="auto"/>
        <w:ind w:firstLine="420"/>
        <w:rPr>
          <w:rFonts w:ascii="宋体" w:eastAsia="宋体" w:hAnsi="宋体"/>
          <w:szCs w:val="21"/>
        </w:rPr>
      </w:pPr>
      <w:r>
        <w:rPr>
          <w:rFonts w:ascii="宋体" w:eastAsia="宋体" w:hAnsi="宋体" w:hint="eastAsia"/>
          <w:szCs w:val="21"/>
        </w:rPr>
        <w:t>项目以“</w:t>
      </w:r>
      <w:r>
        <w:rPr>
          <w:rFonts w:ascii="宋体" w:eastAsia="宋体" w:hAnsi="宋体" w:hint="eastAsia"/>
          <w:b/>
          <w:bCs/>
          <w:szCs w:val="21"/>
        </w:rPr>
        <w:t>普法教育与知识传播</w:t>
      </w:r>
      <w:r>
        <w:rPr>
          <w:rFonts w:ascii="宋体" w:eastAsia="宋体" w:hAnsi="宋体" w:hint="eastAsia"/>
          <w:szCs w:val="21"/>
        </w:rPr>
        <w:t>”为重要使命，将专业法律知识融入日常服务场景，通过场景化普法、热点法律解读、案例分析等通俗易懂的形式，让用户在解决自身纠纷的同时，潜移默化地学习法律知识。例如，用户在查询“租房押金不退”问题时，不仅能获得维权方案，还能同步了解《民法典》中关于租赁合同的核心条款、押金返还的法定条件等知识；项目定期推送的“</w:t>
      </w:r>
      <w:r>
        <w:rPr>
          <w:rFonts w:ascii="宋体" w:eastAsia="宋体" w:hAnsi="宋体" w:hint="eastAsia"/>
          <w:b/>
          <w:bCs/>
          <w:szCs w:val="21"/>
        </w:rPr>
        <w:t>每日一条普法</w:t>
      </w:r>
      <w:r>
        <w:rPr>
          <w:rFonts w:ascii="宋体" w:eastAsia="宋体" w:hAnsi="宋体" w:hint="eastAsia"/>
          <w:szCs w:val="21"/>
        </w:rPr>
        <w:t>”“</w:t>
      </w:r>
      <w:r>
        <w:rPr>
          <w:rFonts w:ascii="宋体" w:eastAsia="宋体" w:hAnsi="宋体" w:hint="eastAsia"/>
          <w:b/>
          <w:bCs/>
          <w:szCs w:val="21"/>
        </w:rPr>
        <w:t>职场法律护航</w:t>
      </w:r>
      <w:r>
        <w:rPr>
          <w:rFonts w:ascii="宋体" w:eastAsia="宋体" w:hAnsi="宋体" w:hint="eastAsia"/>
          <w:szCs w:val="21"/>
        </w:rPr>
        <w:t>”等内容，</w:t>
      </w:r>
      <w:r>
        <w:rPr>
          <w:rFonts w:ascii="宋体" w:eastAsia="宋体" w:hAnsi="宋体" w:hint="eastAsia"/>
          <w:color w:val="C55E10" w:themeColor="accent2" w:themeShade="BF"/>
          <w:szCs w:val="21"/>
        </w:rPr>
        <w:t>以图文、短视频等生动形式普及法律常识，覆盖劳动权益、消费维权、婚姻家庭等与民众生活密切相关的领域</w:t>
      </w:r>
      <w:r>
        <w:rPr>
          <w:rFonts w:ascii="宋体" w:eastAsia="宋体" w:hAnsi="宋体" w:hint="eastAsia"/>
          <w:szCs w:val="21"/>
        </w:rPr>
        <w:t>。通过“解决问题+知识普及”的双轮驱动，项目帮助用户树立遇事找法、解决问题用法、化解矛盾靠法的法治观念，</w:t>
      </w:r>
      <w:r>
        <w:rPr>
          <w:rFonts w:ascii="宋体" w:eastAsia="宋体" w:hAnsi="宋体" w:hint="eastAsia"/>
          <w:color w:val="C55E10" w:themeColor="accent2" w:themeShade="BF"/>
          <w:szCs w:val="21"/>
        </w:rPr>
        <w:t>从源头减少法律纠纷，为法治社会建设注入科技动力，助力形成全社会尊法学法守法用法的良好氛围</w:t>
      </w:r>
      <w:r>
        <w:rPr>
          <w:rFonts w:ascii="宋体" w:eastAsia="宋体" w:hAnsi="宋体" w:hint="eastAsia"/>
          <w:szCs w:val="21"/>
        </w:rPr>
        <w:t>。</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76" w:name="heading_13"/>
      <w:bookmarkStart w:id="77" w:name="_Toc18073"/>
      <w:r>
        <w:rPr>
          <w:rFonts w:ascii="宋体" w:eastAsia="宋体" w:hAnsi="宋体" w:hint="eastAsia"/>
          <w:bCs/>
          <w:sz w:val="21"/>
          <w:szCs w:val="32"/>
        </w:rPr>
        <w:t>6.1.3降低维权成本，提高纠纷解决效率</w:t>
      </w:r>
      <w:bookmarkEnd w:id="76"/>
      <w:bookmarkEnd w:id="77"/>
    </w:p>
    <w:p w:rsidR="00B70185" w:rsidRDefault="00000000">
      <w:pPr>
        <w:spacing w:line="300" w:lineRule="auto"/>
        <w:ind w:firstLine="420"/>
        <w:rPr>
          <w:rFonts w:ascii="宋体" w:eastAsia="宋体" w:hAnsi="宋体"/>
          <w:szCs w:val="21"/>
        </w:rPr>
      </w:pPr>
      <w:r>
        <w:rPr>
          <w:rFonts w:ascii="宋体" w:eastAsia="宋体" w:hAnsi="宋体" w:hint="eastAsia"/>
          <w:szCs w:val="21"/>
        </w:rPr>
        <w:t>传统维权流程复杂、周期长、成本高，是制约民众维权的重要障碍。普通民众面临法律纠纷时，往往因不懂流程、不会撰写文书、不知如何收集证据而陷入困境，即使最终通过法律途径维权，也需投入大量时间、精力与金钱。例如，劳动仲裁案件从准备材料、申请仲裁到最终裁决，全程通常需要3-6个月，且需自行撰写仲裁申请书、整理证据清单，对“法律小白”而言难度极大。</w:t>
      </w:r>
    </w:p>
    <w:p w:rsidR="00B70185" w:rsidRDefault="00000000">
      <w:pPr>
        <w:spacing w:line="300" w:lineRule="auto"/>
        <w:ind w:firstLine="420"/>
        <w:rPr>
          <w:rFonts w:ascii="宋体" w:eastAsia="宋体" w:hAnsi="宋体"/>
          <w:szCs w:val="21"/>
        </w:rPr>
      </w:pPr>
      <w:r>
        <w:rPr>
          <w:rFonts w:ascii="宋体" w:eastAsia="宋体" w:hAnsi="宋体" w:hint="eastAsia"/>
          <w:szCs w:val="21"/>
        </w:rPr>
        <w:t>LAW-MASTER针对劳动仲裁、消费维权等高频场景，生成可直接落地的维权行动清单与法律文书，明确证据收集要求、办事流程、相关部门联系方式、维权时效等关键信息，用户无需专业指导即可一步步推进维权进程。项目提供7×24小时不间断服务，用户提交需求后2秒内即可获得响应，复杂解决方案生成时间不超过5分钟，法律文书生成后可直接下载打印使用，大幅降低了维权的时间成本与经济成本。同时，项目通过</w:t>
      </w:r>
      <w:r>
        <w:rPr>
          <w:rFonts w:ascii="宋体" w:eastAsia="宋体" w:hAnsi="宋体" w:hint="eastAsia"/>
          <w:b/>
          <w:bCs/>
          <w:szCs w:val="21"/>
        </w:rPr>
        <w:t>非诉讼途径指引</w:t>
      </w:r>
      <w:r>
        <w:rPr>
          <w:rFonts w:ascii="宋体" w:eastAsia="宋体" w:hAnsi="宋体" w:hint="eastAsia"/>
          <w:szCs w:val="21"/>
        </w:rPr>
        <w:t>（如协商话术、调解流程）帮助用户快速化解纠纷，减少诉讼案件数量，减轻司法系统压力，提升社会纠纷解决效率，促进社会和谐稳定。</w:t>
      </w:r>
    </w:p>
    <w:p w:rsidR="00B70185" w:rsidRDefault="00000000">
      <w:pPr>
        <w:pStyle w:val="2"/>
        <w:tabs>
          <w:tab w:val="center" w:pos="4153"/>
        </w:tabs>
        <w:spacing w:line="300" w:lineRule="auto"/>
        <w:ind w:right="210"/>
        <w:rPr>
          <w:rFonts w:ascii="宋体" w:eastAsia="宋体" w:hAnsi="宋体"/>
          <w:sz w:val="21"/>
          <w:szCs w:val="21"/>
        </w:rPr>
      </w:pPr>
      <w:bookmarkStart w:id="78" w:name="heading_15"/>
      <w:bookmarkStart w:id="79" w:name="_Toc29806"/>
      <w:r>
        <w:rPr>
          <w:rFonts w:ascii="宋体" w:eastAsia="宋体" w:hAnsi="宋体" w:hint="eastAsia"/>
          <w:sz w:val="21"/>
          <w:szCs w:val="21"/>
        </w:rPr>
        <w:t>6.2预期社会产出</w:t>
      </w:r>
      <w:bookmarkEnd w:id="78"/>
      <w:bookmarkEnd w:id="79"/>
    </w:p>
    <w:p w:rsidR="00B70185" w:rsidRDefault="00000000">
      <w:pPr>
        <w:spacing w:line="300" w:lineRule="auto"/>
        <w:ind w:firstLine="420"/>
        <w:rPr>
          <w:rFonts w:ascii="宋体" w:eastAsia="宋体" w:hAnsi="宋体"/>
          <w:szCs w:val="21"/>
        </w:rPr>
      </w:pPr>
      <w:r>
        <w:rPr>
          <w:rFonts w:ascii="宋体" w:eastAsia="宋体" w:hAnsi="宋体" w:hint="eastAsia"/>
          <w:szCs w:val="21"/>
        </w:rPr>
        <w:t>项目通过轻量化 AI 技术与国产化算力构建普惠法律服务模式，打破传统法律服务的价</w:t>
      </w:r>
      <w:r>
        <w:rPr>
          <w:rFonts w:ascii="宋体" w:eastAsia="宋体" w:hAnsi="宋体" w:hint="eastAsia"/>
          <w:szCs w:val="21"/>
        </w:rPr>
        <w:lastRenderedPageBreak/>
        <w:t>格、专业与地域壁垒，在服务覆盖、权益保障、法律普及等方面形成显著社会价值，预期效益如下：</w:t>
      </w:r>
    </w:p>
    <w:tbl>
      <w:tblPr>
        <w:tblW w:w="5000" w:type="pct"/>
        <w:jc w:val="center"/>
        <w:tblCellMar>
          <w:top w:w="15" w:type="dxa"/>
          <w:left w:w="15" w:type="dxa"/>
          <w:bottom w:w="15" w:type="dxa"/>
          <w:right w:w="15" w:type="dxa"/>
        </w:tblCellMar>
        <w:tblLook w:val="04A0" w:firstRow="1" w:lastRow="0" w:firstColumn="1" w:lastColumn="0" w:noHBand="0" w:noVBand="1"/>
      </w:tblPr>
      <w:tblGrid>
        <w:gridCol w:w="1520"/>
        <w:gridCol w:w="2676"/>
        <w:gridCol w:w="2186"/>
        <w:gridCol w:w="2044"/>
      </w:tblGrid>
      <w:tr w:rsidR="00B70185">
        <w:trPr>
          <w:tblHeader/>
          <w:jc w:val="center"/>
        </w:trPr>
        <w:tc>
          <w:tcPr>
            <w:tcW w:w="902" w:type="pct"/>
            <w:tcBorders>
              <w:top w:val="single" w:sz="8" w:space="0" w:color="4874CB" w:themeColor="accent1"/>
              <w:left w:val="single" w:sz="8" w:space="0" w:color="4874CB" w:themeColor="accent1"/>
              <w:bottom w:val="single" w:sz="8" w:space="0" w:color="4874CB" w:themeColor="accent1"/>
              <w:right w:val="nil"/>
              <w:tl2br w:val="nil"/>
            </w:tcBorders>
            <w:shd w:val="clear" w:color="auto" w:fill="4874CB" w:themeFill="accent1"/>
            <w:tcMar>
              <w:top w:w="60" w:type="dxa"/>
              <w:left w:w="60" w:type="dxa"/>
              <w:bottom w:w="60" w:type="dxa"/>
              <w:right w:w="60" w:type="dxa"/>
            </w:tcMar>
            <w:vAlign w:val="center"/>
          </w:tcPr>
          <w:p w:rsidR="00B70185" w:rsidRDefault="00000000">
            <w:pPr>
              <w:spacing w:line="300" w:lineRule="auto"/>
              <w:jc w:val="center"/>
              <w:rPr>
                <w:rFonts w:ascii="宋体" w:eastAsia="宋体" w:hAnsi="宋体"/>
                <w:color w:val="FFFFFF" w:themeColor="background1"/>
                <w:szCs w:val="21"/>
              </w:rPr>
            </w:pPr>
            <w:r>
              <w:rPr>
                <w:rFonts w:ascii="宋体" w:eastAsia="宋体" w:hAnsi="宋体" w:hint="eastAsia"/>
                <w:color w:val="FFFFFF" w:themeColor="background1"/>
                <w:szCs w:val="21"/>
              </w:rPr>
              <w:t>指标</w:t>
            </w:r>
          </w:p>
        </w:tc>
        <w:tc>
          <w:tcPr>
            <w:tcW w:w="1587" w:type="pct"/>
            <w:tcBorders>
              <w:top w:val="single" w:sz="8" w:space="0" w:color="4874CB" w:themeColor="accent1"/>
              <w:left w:val="nil"/>
              <w:bottom w:val="single" w:sz="8" w:space="0" w:color="4874CB" w:themeColor="accent1"/>
              <w:right w:val="nil"/>
            </w:tcBorders>
            <w:shd w:val="clear" w:color="auto" w:fill="4874CB" w:themeFill="accent1"/>
            <w:tcMar>
              <w:top w:w="60" w:type="dxa"/>
              <w:left w:w="60" w:type="dxa"/>
              <w:bottom w:w="60" w:type="dxa"/>
              <w:right w:w="60" w:type="dxa"/>
            </w:tcMar>
            <w:vAlign w:val="center"/>
          </w:tcPr>
          <w:p w:rsidR="00B70185" w:rsidRDefault="00000000">
            <w:pPr>
              <w:spacing w:line="300" w:lineRule="auto"/>
              <w:jc w:val="center"/>
              <w:rPr>
                <w:rFonts w:ascii="宋体" w:eastAsia="宋体" w:hAnsi="宋体"/>
                <w:color w:val="FFFFFF" w:themeColor="background1"/>
                <w:szCs w:val="21"/>
              </w:rPr>
            </w:pPr>
            <w:r>
              <w:rPr>
                <w:rFonts w:ascii="宋体" w:eastAsia="宋体" w:hAnsi="宋体" w:hint="eastAsia"/>
                <w:color w:val="FFFFFF" w:themeColor="background1"/>
                <w:szCs w:val="21"/>
              </w:rPr>
              <w:t>短期（1-2年）</w:t>
            </w:r>
          </w:p>
        </w:tc>
        <w:tc>
          <w:tcPr>
            <w:tcW w:w="1296" w:type="pct"/>
            <w:tcBorders>
              <w:top w:val="single" w:sz="8" w:space="0" w:color="4874CB" w:themeColor="accent1"/>
              <w:left w:val="nil"/>
              <w:bottom w:val="single" w:sz="8" w:space="0" w:color="4874CB" w:themeColor="accent1"/>
              <w:right w:val="nil"/>
            </w:tcBorders>
            <w:shd w:val="clear" w:color="auto" w:fill="4874CB" w:themeFill="accent1"/>
            <w:tcMar>
              <w:top w:w="60" w:type="dxa"/>
              <w:left w:w="60" w:type="dxa"/>
              <w:bottom w:w="60" w:type="dxa"/>
              <w:right w:w="60" w:type="dxa"/>
            </w:tcMar>
            <w:vAlign w:val="center"/>
          </w:tcPr>
          <w:p w:rsidR="00B70185" w:rsidRDefault="00000000">
            <w:pPr>
              <w:spacing w:line="300" w:lineRule="auto"/>
              <w:jc w:val="center"/>
              <w:rPr>
                <w:rFonts w:ascii="宋体" w:eastAsia="宋体" w:hAnsi="宋体"/>
                <w:color w:val="FFFFFF" w:themeColor="background1"/>
                <w:szCs w:val="21"/>
              </w:rPr>
            </w:pPr>
            <w:r>
              <w:rPr>
                <w:rFonts w:ascii="宋体" w:eastAsia="宋体" w:hAnsi="宋体" w:hint="eastAsia"/>
                <w:color w:val="FFFFFF" w:themeColor="background1"/>
                <w:szCs w:val="21"/>
              </w:rPr>
              <w:t>中期（3-4年）</w:t>
            </w:r>
          </w:p>
        </w:tc>
        <w:tc>
          <w:tcPr>
            <w:tcW w:w="1213" w:type="pct"/>
            <w:tcBorders>
              <w:top w:val="single" w:sz="8" w:space="0" w:color="4874CB" w:themeColor="accent1"/>
              <w:left w:val="nil"/>
              <w:bottom w:val="single" w:sz="8" w:space="0" w:color="4874CB" w:themeColor="accent1"/>
              <w:right w:val="single" w:sz="8" w:space="0" w:color="4874CB" w:themeColor="accent1"/>
            </w:tcBorders>
            <w:shd w:val="clear" w:color="auto" w:fill="4874CB" w:themeFill="accent1"/>
            <w:tcMar>
              <w:top w:w="60" w:type="dxa"/>
              <w:left w:w="60" w:type="dxa"/>
              <w:bottom w:w="60" w:type="dxa"/>
              <w:right w:w="60" w:type="dxa"/>
            </w:tcMar>
            <w:vAlign w:val="center"/>
          </w:tcPr>
          <w:p w:rsidR="00B70185" w:rsidRDefault="00000000">
            <w:pPr>
              <w:spacing w:line="300" w:lineRule="auto"/>
              <w:jc w:val="center"/>
              <w:rPr>
                <w:rFonts w:ascii="宋体" w:eastAsia="宋体" w:hAnsi="宋体"/>
                <w:color w:val="FFFFFF" w:themeColor="background1"/>
                <w:szCs w:val="21"/>
              </w:rPr>
            </w:pPr>
            <w:r>
              <w:rPr>
                <w:rFonts w:ascii="宋体" w:eastAsia="宋体" w:hAnsi="宋体" w:hint="eastAsia"/>
                <w:color w:val="FFFFFF" w:themeColor="background1"/>
                <w:szCs w:val="21"/>
              </w:rPr>
              <w:t>长期（5年及以上）</w:t>
            </w:r>
          </w:p>
        </w:tc>
      </w:tr>
      <w:tr w:rsidR="00B70185">
        <w:trPr>
          <w:jc w:val="center"/>
        </w:trPr>
        <w:tc>
          <w:tcPr>
            <w:tcW w:w="902" w:type="pct"/>
            <w:tcBorders>
              <w:top w:val="single" w:sz="8" w:space="0" w:color="4874CB" w:themeColor="accent1"/>
              <w:left w:val="single" w:sz="8" w:space="0" w:color="4874CB" w:themeColor="accent1"/>
              <w:bottom w:val="nil"/>
              <w:right w:val="nil"/>
            </w:tcBorders>
            <w:shd w:val="clear" w:color="auto" w:fill="DAE3F4" w:themeFill="accent1" w:themeFillTint="32"/>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累计服务用户</w:t>
            </w:r>
          </w:p>
        </w:tc>
        <w:tc>
          <w:tcPr>
            <w:tcW w:w="1587" w:type="pct"/>
            <w:tcBorders>
              <w:top w:val="single" w:sz="8" w:space="0" w:color="4874CB" w:themeColor="accent1"/>
              <w:left w:val="nil"/>
              <w:bottom w:val="nil"/>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超50万人次</w:t>
            </w:r>
          </w:p>
        </w:tc>
        <w:tc>
          <w:tcPr>
            <w:tcW w:w="1296" w:type="pct"/>
            <w:tcBorders>
              <w:top w:val="single" w:sz="8" w:space="0" w:color="4874CB" w:themeColor="accent1"/>
              <w:left w:val="nil"/>
              <w:bottom w:val="nil"/>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超150万人次</w:t>
            </w:r>
          </w:p>
        </w:tc>
        <w:tc>
          <w:tcPr>
            <w:tcW w:w="1213" w:type="pct"/>
            <w:tcBorders>
              <w:top w:val="single" w:sz="8" w:space="0" w:color="4874CB" w:themeColor="accent1"/>
              <w:left w:val="nil"/>
              <w:bottom w:val="nil"/>
              <w:right w:val="single" w:sz="8" w:space="0" w:color="4874CB" w:themeColor="accent1"/>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超300万人次</w:t>
            </w:r>
          </w:p>
        </w:tc>
      </w:tr>
      <w:tr w:rsidR="00B70185">
        <w:trPr>
          <w:jc w:val="center"/>
        </w:trPr>
        <w:tc>
          <w:tcPr>
            <w:tcW w:w="902" w:type="pct"/>
            <w:tcBorders>
              <w:top w:val="nil"/>
              <w:left w:val="single" w:sz="8" w:space="0" w:color="4874CB" w:themeColor="accent1"/>
              <w:bottom w:val="nil"/>
              <w:right w:val="nil"/>
            </w:tcBorders>
            <w:shd w:val="clear" w:color="auto" w:fill="DAE3F4" w:themeFill="accent1" w:themeFillTint="32"/>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完成法律咨询</w:t>
            </w:r>
          </w:p>
        </w:tc>
        <w:tc>
          <w:tcPr>
            <w:tcW w:w="1587" w:type="pct"/>
            <w:tcBorders>
              <w:top w:val="nil"/>
              <w:left w:val="nil"/>
              <w:bottom w:val="nil"/>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超100万次</w:t>
            </w:r>
          </w:p>
        </w:tc>
        <w:tc>
          <w:tcPr>
            <w:tcW w:w="1296" w:type="pct"/>
            <w:tcBorders>
              <w:top w:val="nil"/>
              <w:left w:val="nil"/>
              <w:bottom w:val="nil"/>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超300万次</w:t>
            </w:r>
          </w:p>
        </w:tc>
        <w:tc>
          <w:tcPr>
            <w:tcW w:w="1213" w:type="pct"/>
            <w:tcBorders>
              <w:top w:val="nil"/>
              <w:left w:val="nil"/>
              <w:bottom w:val="nil"/>
              <w:right w:val="single" w:sz="8" w:space="0" w:color="4874CB" w:themeColor="accent1"/>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超500万次</w:t>
            </w:r>
          </w:p>
        </w:tc>
      </w:tr>
      <w:tr w:rsidR="00B70185">
        <w:trPr>
          <w:jc w:val="center"/>
        </w:trPr>
        <w:tc>
          <w:tcPr>
            <w:tcW w:w="902" w:type="pct"/>
            <w:tcBorders>
              <w:top w:val="nil"/>
              <w:left w:val="single" w:sz="8" w:space="0" w:color="4874CB" w:themeColor="accent1"/>
              <w:bottom w:val="nil"/>
              <w:right w:val="nil"/>
            </w:tcBorders>
            <w:shd w:val="clear" w:color="auto" w:fill="DAE3F4" w:themeFill="accent1" w:themeFillTint="32"/>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覆盖城市</w:t>
            </w:r>
          </w:p>
        </w:tc>
        <w:tc>
          <w:tcPr>
            <w:tcW w:w="1587" w:type="pct"/>
            <w:tcBorders>
              <w:top w:val="nil"/>
              <w:left w:val="nil"/>
              <w:bottom w:val="nil"/>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100+</w:t>
            </w:r>
          </w:p>
        </w:tc>
        <w:tc>
          <w:tcPr>
            <w:tcW w:w="1296" w:type="pct"/>
            <w:tcBorders>
              <w:top w:val="nil"/>
              <w:left w:val="nil"/>
              <w:bottom w:val="nil"/>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200+</w:t>
            </w:r>
          </w:p>
        </w:tc>
        <w:tc>
          <w:tcPr>
            <w:tcW w:w="1213" w:type="pct"/>
            <w:tcBorders>
              <w:top w:val="nil"/>
              <w:left w:val="nil"/>
              <w:bottom w:val="nil"/>
              <w:right w:val="single" w:sz="8" w:space="0" w:color="4874CB" w:themeColor="accent1"/>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覆盖城乡</w:t>
            </w:r>
          </w:p>
        </w:tc>
      </w:tr>
      <w:tr w:rsidR="00B70185">
        <w:trPr>
          <w:jc w:val="center"/>
        </w:trPr>
        <w:tc>
          <w:tcPr>
            <w:tcW w:w="902" w:type="pct"/>
            <w:tcBorders>
              <w:top w:val="nil"/>
              <w:left w:val="single" w:sz="8" w:space="0" w:color="4874CB" w:themeColor="accent1"/>
              <w:bottom w:val="nil"/>
              <w:right w:val="nil"/>
            </w:tcBorders>
            <w:shd w:val="clear" w:color="auto" w:fill="DAE3F4" w:themeFill="accent1" w:themeFillTint="32"/>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合作机构</w:t>
            </w:r>
          </w:p>
        </w:tc>
        <w:tc>
          <w:tcPr>
            <w:tcW w:w="1587" w:type="pct"/>
            <w:tcBorders>
              <w:top w:val="nil"/>
              <w:left w:val="nil"/>
              <w:bottom w:val="nil"/>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150+</w:t>
            </w:r>
          </w:p>
        </w:tc>
        <w:tc>
          <w:tcPr>
            <w:tcW w:w="1296" w:type="pct"/>
            <w:tcBorders>
              <w:top w:val="nil"/>
              <w:left w:val="nil"/>
              <w:bottom w:val="nil"/>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500+</w:t>
            </w:r>
          </w:p>
        </w:tc>
        <w:tc>
          <w:tcPr>
            <w:tcW w:w="1213" w:type="pct"/>
            <w:tcBorders>
              <w:top w:val="nil"/>
              <w:left w:val="nil"/>
              <w:bottom w:val="nil"/>
              <w:right w:val="single" w:sz="8" w:space="0" w:color="4874CB" w:themeColor="accent1"/>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1000+</w:t>
            </w:r>
          </w:p>
        </w:tc>
      </w:tr>
      <w:tr w:rsidR="00B70185">
        <w:trPr>
          <w:jc w:val="center"/>
        </w:trPr>
        <w:tc>
          <w:tcPr>
            <w:tcW w:w="902" w:type="pct"/>
            <w:tcBorders>
              <w:top w:val="nil"/>
              <w:left w:val="single" w:sz="8" w:space="0" w:color="4874CB" w:themeColor="accent1"/>
              <w:bottom w:val="nil"/>
              <w:right w:val="nil"/>
            </w:tcBorders>
            <w:shd w:val="clear" w:color="auto" w:fill="DAE3F4" w:themeFill="accent1" w:themeFillTint="32"/>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用户满意度/复购率</w:t>
            </w:r>
          </w:p>
        </w:tc>
        <w:tc>
          <w:tcPr>
            <w:tcW w:w="1587" w:type="pct"/>
            <w:tcBorders>
              <w:top w:val="nil"/>
              <w:left w:val="nil"/>
              <w:bottom w:val="nil"/>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满意度≥85%</w:t>
            </w:r>
          </w:p>
          <w:p w:rsidR="00B70185" w:rsidRDefault="00000000">
            <w:pPr>
              <w:spacing w:line="300" w:lineRule="auto"/>
              <w:jc w:val="center"/>
              <w:rPr>
                <w:rFonts w:ascii="宋体" w:eastAsia="宋体" w:hAnsi="宋体"/>
                <w:szCs w:val="21"/>
              </w:rPr>
            </w:pPr>
            <w:r>
              <w:rPr>
                <w:rFonts w:ascii="宋体" w:eastAsia="宋体" w:hAnsi="宋体" w:hint="eastAsia"/>
                <w:szCs w:val="21"/>
              </w:rPr>
              <w:t>增值服务复购率≥10%</w:t>
            </w:r>
          </w:p>
        </w:tc>
        <w:tc>
          <w:tcPr>
            <w:tcW w:w="1296" w:type="pct"/>
            <w:tcBorders>
              <w:top w:val="nil"/>
              <w:left w:val="nil"/>
              <w:bottom w:val="nil"/>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品牌影响力显著提升</w:t>
            </w:r>
          </w:p>
        </w:tc>
        <w:tc>
          <w:tcPr>
            <w:tcW w:w="1213" w:type="pct"/>
            <w:tcBorders>
              <w:top w:val="nil"/>
              <w:left w:val="nil"/>
              <w:bottom w:val="nil"/>
              <w:right w:val="single" w:sz="8" w:space="0" w:color="4874CB" w:themeColor="accent1"/>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形成行业标杆模式</w:t>
            </w:r>
          </w:p>
        </w:tc>
      </w:tr>
      <w:tr w:rsidR="00B70185">
        <w:trPr>
          <w:jc w:val="center"/>
        </w:trPr>
        <w:tc>
          <w:tcPr>
            <w:tcW w:w="902" w:type="pct"/>
            <w:tcBorders>
              <w:top w:val="nil"/>
              <w:left w:val="single" w:sz="8" w:space="0" w:color="4874CB" w:themeColor="accent1"/>
              <w:bottom w:val="nil"/>
              <w:right w:val="nil"/>
            </w:tcBorders>
            <w:shd w:val="clear" w:color="auto" w:fill="DAE3F4" w:themeFill="accent1" w:themeFillTint="32"/>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帮助挽回经济损失</w:t>
            </w:r>
          </w:p>
        </w:tc>
        <w:tc>
          <w:tcPr>
            <w:tcW w:w="1587" w:type="pct"/>
            <w:tcBorders>
              <w:top w:val="nil"/>
              <w:left w:val="nil"/>
              <w:bottom w:val="nil"/>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超1亿元</w:t>
            </w:r>
          </w:p>
        </w:tc>
        <w:tc>
          <w:tcPr>
            <w:tcW w:w="1296" w:type="pct"/>
            <w:tcBorders>
              <w:top w:val="nil"/>
              <w:left w:val="nil"/>
              <w:bottom w:val="nil"/>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超3亿元</w:t>
            </w:r>
          </w:p>
        </w:tc>
        <w:tc>
          <w:tcPr>
            <w:tcW w:w="1213" w:type="pct"/>
            <w:tcBorders>
              <w:top w:val="nil"/>
              <w:left w:val="nil"/>
              <w:bottom w:val="nil"/>
              <w:right w:val="single" w:sz="8" w:space="0" w:color="4874CB" w:themeColor="accent1"/>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超5亿元</w:t>
            </w:r>
          </w:p>
        </w:tc>
      </w:tr>
      <w:tr w:rsidR="00B70185">
        <w:trPr>
          <w:jc w:val="center"/>
        </w:trPr>
        <w:tc>
          <w:tcPr>
            <w:tcW w:w="902" w:type="pct"/>
            <w:tcBorders>
              <w:top w:val="nil"/>
              <w:left w:val="single" w:sz="8" w:space="0" w:color="4874CB" w:themeColor="accent1"/>
              <w:bottom w:val="nil"/>
              <w:right w:val="nil"/>
            </w:tcBorders>
            <w:shd w:val="clear" w:color="auto" w:fill="DAE3F4" w:themeFill="accent1" w:themeFillTint="32"/>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维权成本节约</w:t>
            </w:r>
          </w:p>
        </w:tc>
        <w:tc>
          <w:tcPr>
            <w:tcW w:w="1587" w:type="pct"/>
            <w:tcBorders>
              <w:top w:val="nil"/>
              <w:left w:val="nil"/>
              <w:bottom w:val="nil"/>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人均超5000元</w:t>
            </w:r>
          </w:p>
        </w:tc>
        <w:tc>
          <w:tcPr>
            <w:tcW w:w="1296" w:type="pct"/>
            <w:tcBorders>
              <w:top w:val="nil"/>
              <w:left w:val="nil"/>
              <w:bottom w:val="nil"/>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建成1万+成功案例库</w:t>
            </w:r>
          </w:p>
        </w:tc>
        <w:tc>
          <w:tcPr>
            <w:tcW w:w="1213" w:type="pct"/>
            <w:tcBorders>
              <w:top w:val="nil"/>
              <w:left w:val="nil"/>
              <w:bottom w:val="nil"/>
              <w:right w:val="single" w:sz="8" w:space="0" w:color="4874CB" w:themeColor="accent1"/>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纠纷解决效率提升30%+</w:t>
            </w:r>
          </w:p>
        </w:tc>
      </w:tr>
      <w:tr w:rsidR="00B70185">
        <w:trPr>
          <w:jc w:val="center"/>
        </w:trPr>
        <w:tc>
          <w:tcPr>
            <w:tcW w:w="902" w:type="pct"/>
            <w:tcBorders>
              <w:top w:val="nil"/>
              <w:left w:val="single" w:sz="8" w:space="0" w:color="4874CB" w:themeColor="accent1"/>
              <w:bottom w:val="nil"/>
              <w:right w:val="nil"/>
            </w:tcBorders>
            <w:shd w:val="clear" w:color="auto" w:fill="DAE3F4" w:themeFill="accent1" w:themeFillTint="32"/>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普法内容产出</w:t>
            </w:r>
          </w:p>
        </w:tc>
        <w:tc>
          <w:tcPr>
            <w:tcW w:w="1587" w:type="pct"/>
            <w:tcBorders>
              <w:top w:val="nil"/>
              <w:left w:val="nil"/>
              <w:bottom w:val="nil"/>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1万+条</w:t>
            </w:r>
          </w:p>
          <w:p w:rsidR="00B70185" w:rsidRDefault="00000000">
            <w:pPr>
              <w:spacing w:line="300" w:lineRule="auto"/>
              <w:jc w:val="center"/>
              <w:rPr>
                <w:rFonts w:ascii="宋体" w:eastAsia="宋体" w:hAnsi="宋体"/>
                <w:szCs w:val="21"/>
              </w:rPr>
            </w:pPr>
            <w:r>
              <w:rPr>
                <w:rFonts w:ascii="宋体" w:eastAsia="宋体" w:hAnsi="宋体" w:hint="eastAsia"/>
                <w:szCs w:val="21"/>
              </w:rPr>
              <w:t>传播5000万+次</w:t>
            </w:r>
          </w:p>
        </w:tc>
        <w:tc>
          <w:tcPr>
            <w:tcW w:w="1296" w:type="pct"/>
            <w:tcBorders>
              <w:top w:val="nil"/>
              <w:left w:val="nil"/>
              <w:bottom w:val="nil"/>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3万+条</w:t>
            </w:r>
          </w:p>
          <w:p w:rsidR="00B70185" w:rsidRDefault="00000000">
            <w:pPr>
              <w:spacing w:line="300" w:lineRule="auto"/>
              <w:jc w:val="center"/>
              <w:rPr>
                <w:rFonts w:ascii="宋体" w:eastAsia="宋体" w:hAnsi="宋体"/>
                <w:szCs w:val="21"/>
              </w:rPr>
            </w:pPr>
            <w:r>
              <w:rPr>
                <w:rFonts w:ascii="宋体" w:eastAsia="宋体" w:hAnsi="宋体" w:hint="eastAsia"/>
                <w:szCs w:val="21"/>
              </w:rPr>
              <w:t>传播1.5亿+次</w:t>
            </w:r>
          </w:p>
        </w:tc>
        <w:tc>
          <w:tcPr>
            <w:tcW w:w="1213" w:type="pct"/>
            <w:tcBorders>
              <w:top w:val="nil"/>
              <w:left w:val="nil"/>
              <w:bottom w:val="nil"/>
              <w:right w:val="single" w:sz="8" w:space="0" w:color="4874CB" w:themeColor="accent1"/>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5万+条</w:t>
            </w:r>
          </w:p>
          <w:p w:rsidR="00B70185" w:rsidRDefault="00000000">
            <w:pPr>
              <w:spacing w:line="300" w:lineRule="auto"/>
              <w:jc w:val="center"/>
              <w:rPr>
                <w:rFonts w:ascii="宋体" w:eastAsia="宋体" w:hAnsi="宋体"/>
                <w:szCs w:val="21"/>
              </w:rPr>
            </w:pPr>
            <w:r>
              <w:rPr>
                <w:rFonts w:ascii="宋体" w:eastAsia="宋体" w:hAnsi="宋体" w:hint="eastAsia"/>
                <w:szCs w:val="21"/>
              </w:rPr>
              <w:t>传播3亿+次</w:t>
            </w:r>
          </w:p>
        </w:tc>
      </w:tr>
      <w:tr w:rsidR="00B70185">
        <w:trPr>
          <w:jc w:val="center"/>
        </w:trPr>
        <w:tc>
          <w:tcPr>
            <w:tcW w:w="902" w:type="pct"/>
            <w:tcBorders>
              <w:top w:val="nil"/>
              <w:left w:val="single" w:sz="8" w:space="0" w:color="4874CB" w:themeColor="accent1"/>
              <w:bottom w:val="single" w:sz="8" w:space="0" w:color="4874CB" w:themeColor="accent1"/>
              <w:right w:val="nil"/>
            </w:tcBorders>
            <w:shd w:val="clear" w:color="auto" w:fill="DAE3F4" w:themeFill="accent1" w:themeFillTint="32"/>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线下普法活动</w:t>
            </w:r>
          </w:p>
        </w:tc>
        <w:tc>
          <w:tcPr>
            <w:tcW w:w="1587" w:type="pct"/>
            <w:tcBorders>
              <w:top w:val="nil"/>
              <w:left w:val="nil"/>
              <w:bottom w:val="single" w:sz="8" w:space="0" w:color="4874CB" w:themeColor="accent1"/>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50+场</w:t>
            </w:r>
          </w:p>
        </w:tc>
        <w:tc>
          <w:tcPr>
            <w:tcW w:w="1296" w:type="pct"/>
            <w:tcBorders>
              <w:top w:val="nil"/>
              <w:left w:val="nil"/>
              <w:bottom w:val="single" w:sz="8" w:space="0" w:color="4874CB" w:themeColor="accent1"/>
              <w:right w:val="nil"/>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200+场</w:t>
            </w:r>
          </w:p>
        </w:tc>
        <w:tc>
          <w:tcPr>
            <w:tcW w:w="1213" w:type="pct"/>
            <w:tcBorders>
              <w:top w:val="nil"/>
              <w:left w:val="nil"/>
              <w:bottom w:val="single" w:sz="8" w:space="0" w:color="4874CB" w:themeColor="accent1"/>
              <w:right w:val="single" w:sz="8" w:space="0" w:color="4874CB" w:themeColor="accent1"/>
            </w:tcBorders>
            <w:shd w:val="clear" w:color="auto" w:fill="FFFFFF"/>
            <w:tcMar>
              <w:top w:w="60" w:type="dxa"/>
              <w:left w:w="60" w:type="dxa"/>
              <w:bottom w:w="60" w:type="dxa"/>
              <w:right w:w="60" w:type="dxa"/>
            </w:tcMar>
            <w:vAlign w:val="center"/>
          </w:tcPr>
          <w:p w:rsidR="00B70185" w:rsidRDefault="00000000">
            <w:pPr>
              <w:spacing w:line="300" w:lineRule="auto"/>
              <w:jc w:val="center"/>
              <w:rPr>
                <w:rFonts w:ascii="宋体" w:eastAsia="宋体" w:hAnsi="宋体"/>
                <w:szCs w:val="21"/>
              </w:rPr>
            </w:pPr>
            <w:r>
              <w:rPr>
                <w:rFonts w:ascii="宋体" w:eastAsia="宋体" w:hAnsi="宋体" w:hint="eastAsia"/>
                <w:szCs w:val="21"/>
              </w:rPr>
              <w:t>线上线下全覆盖</w:t>
            </w:r>
          </w:p>
        </w:tc>
      </w:tr>
    </w:tbl>
    <w:p w:rsidR="00B70185" w:rsidRDefault="00000000">
      <w:pPr>
        <w:pStyle w:val="a3"/>
        <w:jc w:val="center"/>
        <w:rPr>
          <w:rFonts w:asciiTheme="majorHAnsi" w:hAnsiTheme="majorHAnsi" w:cstheme="majorBidi"/>
          <w:szCs w:val="20"/>
        </w:rPr>
      </w:pPr>
      <w:r>
        <w:rPr>
          <w:rFonts w:asciiTheme="majorHAnsi" w:hAnsiTheme="majorHAnsi" w:cstheme="majorBidi" w:hint="eastAsia"/>
          <w:szCs w:val="20"/>
        </w:rPr>
        <w:t>表</w:t>
      </w:r>
      <w:r>
        <w:rPr>
          <w:rFonts w:asciiTheme="majorHAnsi" w:hAnsiTheme="majorHAnsi" w:cstheme="majorBidi" w:hint="eastAsia"/>
          <w:szCs w:val="20"/>
        </w:rPr>
        <w:t xml:space="preserve"> </w:t>
      </w:r>
      <w:r>
        <w:rPr>
          <w:rFonts w:asciiTheme="majorHAnsi" w:hAnsiTheme="majorHAnsi" w:cstheme="majorBidi" w:hint="eastAsia"/>
          <w:szCs w:val="20"/>
        </w:rPr>
        <w:fldChar w:fldCharType="begin"/>
      </w:r>
      <w:r>
        <w:rPr>
          <w:rFonts w:asciiTheme="majorHAnsi" w:hAnsiTheme="majorHAnsi" w:cstheme="majorBidi" w:hint="eastAsia"/>
          <w:szCs w:val="20"/>
        </w:rPr>
        <w:instrText xml:space="preserve"> SEQ </w:instrText>
      </w:r>
      <w:r>
        <w:rPr>
          <w:rFonts w:asciiTheme="majorHAnsi" w:hAnsiTheme="majorHAnsi" w:cstheme="majorBidi" w:hint="eastAsia"/>
          <w:szCs w:val="20"/>
        </w:rPr>
        <w:instrText>表</w:instrText>
      </w:r>
      <w:r>
        <w:rPr>
          <w:rFonts w:asciiTheme="majorHAnsi" w:hAnsiTheme="majorHAnsi" w:cstheme="majorBidi" w:hint="eastAsia"/>
          <w:szCs w:val="20"/>
        </w:rPr>
        <w:instrText xml:space="preserve"> \* ARABIC </w:instrText>
      </w:r>
      <w:r>
        <w:rPr>
          <w:rFonts w:asciiTheme="majorHAnsi" w:hAnsiTheme="majorHAnsi" w:cstheme="majorBidi" w:hint="eastAsia"/>
          <w:szCs w:val="20"/>
        </w:rPr>
        <w:fldChar w:fldCharType="separate"/>
      </w:r>
      <w:r>
        <w:rPr>
          <w:rFonts w:asciiTheme="majorHAnsi" w:hAnsiTheme="majorHAnsi" w:cstheme="majorBidi" w:hint="eastAsia"/>
          <w:szCs w:val="20"/>
        </w:rPr>
        <w:t>8</w:t>
      </w:r>
      <w:r>
        <w:rPr>
          <w:rFonts w:asciiTheme="majorHAnsi" w:hAnsiTheme="majorHAnsi" w:cstheme="majorBidi" w:hint="eastAsia"/>
          <w:szCs w:val="20"/>
        </w:rPr>
        <w:fldChar w:fldCharType="end"/>
      </w:r>
      <w:r>
        <w:rPr>
          <w:rFonts w:asciiTheme="majorHAnsi" w:hAnsiTheme="majorHAnsi" w:cstheme="majorBidi" w:hint="eastAsia"/>
          <w:szCs w:val="20"/>
        </w:rPr>
        <w:t xml:space="preserve"> </w:t>
      </w:r>
      <w:r>
        <w:rPr>
          <w:rFonts w:asciiTheme="majorHAnsi" w:hAnsiTheme="majorHAnsi" w:cstheme="majorBidi" w:hint="eastAsia"/>
          <w:szCs w:val="20"/>
        </w:rPr>
        <w:t>预期社会收益表</w:t>
      </w:r>
    </w:p>
    <w:p w:rsidR="00B70185" w:rsidRDefault="00000000">
      <w:pPr>
        <w:pStyle w:val="2"/>
        <w:tabs>
          <w:tab w:val="center" w:pos="4153"/>
        </w:tabs>
        <w:spacing w:line="300" w:lineRule="auto"/>
        <w:ind w:right="210"/>
        <w:rPr>
          <w:rFonts w:ascii="宋体" w:eastAsia="宋体" w:hAnsi="宋体"/>
          <w:sz w:val="21"/>
          <w:szCs w:val="21"/>
        </w:rPr>
      </w:pPr>
      <w:bookmarkStart w:id="80" w:name="_Toc12611"/>
      <w:bookmarkStart w:id="81" w:name="heading_20"/>
      <w:r>
        <w:rPr>
          <w:rFonts w:ascii="宋体" w:eastAsia="宋体" w:hAnsi="宋体" w:hint="eastAsia"/>
          <w:sz w:val="21"/>
          <w:szCs w:val="21"/>
        </w:rPr>
        <w:t>6.3现有成果</w:t>
      </w:r>
      <w:bookmarkEnd w:id="80"/>
      <w:bookmarkEnd w:id="81"/>
    </w:p>
    <w:p w:rsidR="00B70185" w:rsidRDefault="00000000">
      <w:pPr>
        <w:pStyle w:val="3"/>
        <w:spacing w:before="0" w:after="0" w:line="300" w:lineRule="auto"/>
        <w:ind w:leftChars="200" w:left="420" w:rightChars="100" w:right="210"/>
        <w:rPr>
          <w:rFonts w:ascii="宋体" w:eastAsia="宋体" w:hAnsi="宋体"/>
          <w:bCs/>
          <w:sz w:val="21"/>
          <w:szCs w:val="32"/>
        </w:rPr>
      </w:pPr>
      <w:bookmarkStart w:id="82" w:name="heading_21"/>
      <w:bookmarkStart w:id="83" w:name="_Toc12601"/>
      <w:r>
        <w:rPr>
          <w:rFonts w:ascii="宋体" w:eastAsia="宋体" w:hAnsi="宋体" w:hint="eastAsia"/>
          <w:bCs/>
          <w:sz w:val="21"/>
          <w:szCs w:val="32"/>
        </w:rPr>
        <w:t>6.3.1知识产权与技术认证</w:t>
      </w:r>
      <w:bookmarkEnd w:id="82"/>
      <w:bookmarkEnd w:id="83"/>
    </w:p>
    <w:p w:rsidR="00B70185" w:rsidRDefault="00000000">
      <w:pPr>
        <w:spacing w:line="300" w:lineRule="auto"/>
        <w:ind w:firstLine="420"/>
        <w:rPr>
          <w:rFonts w:ascii="宋体" w:eastAsia="宋体" w:hAnsi="宋体"/>
          <w:szCs w:val="21"/>
        </w:rPr>
      </w:pPr>
      <w:r>
        <w:rPr>
          <w:rFonts w:ascii="宋体" w:eastAsia="宋体" w:hAnsi="宋体" w:hint="eastAsia"/>
          <w:szCs w:val="21"/>
        </w:rPr>
        <w:t>已成功申请软件著作权2项，包括</w:t>
      </w:r>
      <w:r>
        <w:rPr>
          <w:rFonts w:ascii="宋体" w:eastAsia="宋体" w:hAnsi="宋体" w:hint="eastAsia"/>
          <w:szCs w:val="21"/>
          <w:highlight w:val="yellow"/>
        </w:rPr>
        <w:t>“啊啊啊啊”“啊啊啊”</w:t>
      </w:r>
      <w:r>
        <w:rPr>
          <w:rFonts w:ascii="宋体" w:eastAsia="宋体" w:hAnsi="宋体" w:hint="eastAsia"/>
          <w:szCs w:val="21"/>
        </w:rPr>
        <w:t>，形成核心技术知识产权保护壁垒，有效防范技术侵权风险。</w:t>
      </w:r>
    </w:p>
    <w:p w:rsidR="00B70185" w:rsidRDefault="00000000">
      <w:pPr>
        <w:spacing w:line="300" w:lineRule="auto"/>
        <w:ind w:firstLine="420"/>
        <w:rPr>
          <w:rFonts w:ascii="宋体" w:eastAsia="宋体" w:hAnsi="宋体"/>
          <w:szCs w:val="21"/>
          <w:highlight w:val="yellow"/>
        </w:rPr>
      </w:pPr>
      <w:r>
        <w:rPr>
          <w:rFonts w:ascii="宋体" w:eastAsia="宋体" w:hAnsi="宋体" w:hint="eastAsia"/>
          <w:szCs w:val="21"/>
          <w:highlight w:val="yellow"/>
        </w:rPr>
        <w:t>（插入软著图片）</w:t>
      </w:r>
    </w:p>
    <w:p w:rsidR="00B70185" w:rsidRDefault="00000000">
      <w:pPr>
        <w:spacing w:line="300" w:lineRule="auto"/>
        <w:ind w:firstLine="420"/>
        <w:rPr>
          <w:rFonts w:ascii="宋体" w:eastAsia="宋体" w:hAnsi="宋体"/>
          <w:szCs w:val="21"/>
        </w:rPr>
      </w:pPr>
      <w:r>
        <w:rPr>
          <w:rFonts w:ascii="宋体" w:eastAsia="宋体" w:hAnsi="宋体" w:hint="eastAsia"/>
          <w:szCs w:val="21"/>
        </w:rPr>
        <w:t>完成华为昇腾算力适配认证，实现全栈国产化部署，符合数据安全与自主可控政策要求，获得华为昇腾生态官方推荐，具备规模化推广的技术基础。建立完善的技术研发体系，形成“三模型协同”核心技术架构，在模型准确性、检索效率、交互体验等方面达到行业领先水平，AI建议准确率达</w:t>
      </w:r>
      <w:r>
        <w:rPr>
          <w:rFonts w:ascii="宋体" w:eastAsia="宋体" w:hAnsi="宋体" w:hint="eastAsia"/>
          <w:szCs w:val="21"/>
          <w:highlight w:val="yellow"/>
        </w:rPr>
        <w:t>92%（我不记得是多少）</w:t>
      </w:r>
      <w:r>
        <w:rPr>
          <w:rFonts w:ascii="宋体" w:eastAsia="宋体" w:hAnsi="宋体" w:hint="eastAsia"/>
          <w:szCs w:val="21"/>
        </w:rPr>
        <w:t>。</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84" w:name="_Toc12710"/>
      <w:bookmarkStart w:id="85" w:name="heading_22"/>
      <w:r>
        <w:rPr>
          <w:rFonts w:ascii="宋体" w:eastAsia="宋体" w:hAnsi="宋体" w:hint="eastAsia"/>
          <w:bCs/>
          <w:sz w:val="21"/>
          <w:szCs w:val="32"/>
        </w:rPr>
        <w:t>6.3.2试运行数据</w:t>
      </w:r>
      <w:bookmarkEnd w:id="84"/>
      <w:bookmarkEnd w:id="85"/>
    </w:p>
    <w:p w:rsidR="00B70185" w:rsidRDefault="00000000">
      <w:pPr>
        <w:spacing w:line="300" w:lineRule="auto"/>
        <w:ind w:firstLine="420"/>
        <w:rPr>
          <w:rFonts w:ascii="宋体" w:eastAsia="宋体" w:hAnsi="宋体"/>
          <w:szCs w:val="21"/>
          <w:highlight w:val="yellow"/>
        </w:rPr>
      </w:pPr>
      <w:r>
        <w:rPr>
          <w:rFonts w:ascii="宋体" w:eastAsia="宋体" w:hAnsi="宋体" w:hint="eastAsia"/>
          <w:szCs w:val="21"/>
          <w:highlight w:val="yellow"/>
        </w:rPr>
        <w:t>啊啊啊啊啊啊啊啊啊啊</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86" w:name="_Toc1118"/>
      <w:bookmarkStart w:id="87" w:name="heading_23"/>
      <w:r>
        <w:rPr>
          <w:rFonts w:ascii="宋体" w:eastAsia="宋体" w:hAnsi="宋体" w:hint="eastAsia"/>
          <w:bCs/>
          <w:sz w:val="21"/>
          <w:szCs w:val="32"/>
        </w:rPr>
        <w:t>6.3.3用户反馈</w:t>
      </w:r>
      <w:bookmarkEnd w:id="86"/>
      <w:bookmarkEnd w:id="87"/>
    </w:p>
    <w:p w:rsidR="00B70185" w:rsidRDefault="00000000">
      <w:pPr>
        <w:spacing w:line="300" w:lineRule="auto"/>
        <w:ind w:firstLine="420"/>
        <w:rPr>
          <w:rFonts w:ascii="宋体" w:eastAsia="宋体" w:hAnsi="宋体"/>
          <w:szCs w:val="21"/>
          <w:highlight w:val="yellow"/>
        </w:rPr>
      </w:pPr>
      <w:r>
        <w:rPr>
          <w:rFonts w:ascii="宋体" w:eastAsia="宋体" w:hAnsi="宋体" w:hint="eastAsia"/>
          <w:szCs w:val="21"/>
          <w:highlight w:val="yellow"/>
        </w:rPr>
        <w:t>啊啊啊啊啊啊啊啊啊啊啊</w:t>
      </w:r>
    </w:p>
    <w:p w:rsidR="00B70185" w:rsidRDefault="00000000">
      <w:pPr>
        <w:pStyle w:val="1"/>
        <w:spacing w:line="300" w:lineRule="auto"/>
        <w:rPr>
          <w:rFonts w:ascii="黑体" w:eastAsia="黑体" w:hAnsi="黑体"/>
          <w:sz w:val="24"/>
          <w:szCs w:val="24"/>
        </w:rPr>
      </w:pPr>
      <w:bookmarkStart w:id="88" w:name="_Toc20843"/>
      <w:bookmarkStart w:id="89" w:name="heading_25"/>
      <w:r>
        <w:rPr>
          <w:rFonts w:ascii="黑体" w:eastAsia="黑体" w:hAnsi="黑体" w:hint="eastAsia"/>
          <w:sz w:val="24"/>
          <w:szCs w:val="24"/>
        </w:rPr>
        <w:lastRenderedPageBreak/>
        <w:t>7.财务预测与融资计划</w:t>
      </w:r>
      <w:bookmarkEnd w:id="88"/>
    </w:p>
    <w:p w:rsidR="00B70185" w:rsidRDefault="00000000">
      <w:pPr>
        <w:pStyle w:val="1"/>
        <w:spacing w:line="300" w:lineRule="auto"/>
        <w:rPr>
          <w:rFonts w:ascii="黑体" w:eastAsia="黑体" w:hAnsi="黑体"/>
          <w:sz w:val="24"/>
          <w:szCs w:val="24"/>
        </w:rPr>
      </w:pPr>
      <w:bookmarkStart w:id="90" w:name="_Toc5910"/>
      <w:r>
        <w:rPr>
          <w:rFonts w:ascii="黑体" w:eastAsia="黑体" w:hAnsi="黑体" w:hint="eastAsia"/>
          <w:sz w:val="24"/>
          <w:szCs w:val="24"/>
        </w:rPr>
        <w:t>8.风险控制</w:t>
      </w:r>
      <w:bookmarkEnd w:id="89"/>
      <w:bookmarkEnd w:id="90"/>
    </w:p>
    <w:p w:rsidR="00B70185" w:rsidRDefault="00000000">
      <w:pPr>
        <w:pStyle w:val="2"/>
        <w:tabs>
          <w:tab w:val="center" w:pos="4153"/>
        </w:tabs>
        <w:spacing w:line="300" w:lineRule="auto"/>
        <w:ind w:right="210"/>
        <w:rPr>
          <w:rFonts w:ascii="宋体" w:eastAsia="宋体" w:hAnsi="宋体"/>
          <w:sz w:val="21"/>
          <w:szCs w:val="21"/>
        </w:rPr>
      </w:pPr>
      <w:bookmarkStart w:id="91" w:name="_Toc2637"/>
      <w:bookmarkStart w:id="92" w:name="heading_26"/>
      <w:r>
        <w:rPr>
          <w:rFonts w:ascii="宋体" w:eastAsia="宋体" w:hAnsi="宋体" w:hint="eastAsia"/>
          <w:sz w:val="21"/>
          <w:szCs w:val="21"/>
        </w:rPr>
        <w:t>8.1法律合规风险</w:t>
      </w:r>
      <w:bookmarkEnd w:id="91"/>
      <w:bookmarkEnd w:id="92"/>
    </w:p>
    <w:p w:rsidR="00B70185" w:rsidRDefault="00000000">
      <w:pPr>
        <w:pStyle w:val="3"/>
        <w:spacing w:before="0" w:after="0" w:line="300" w:lineRule="auto"/>
        <w:ind w:leftChars="200" w:left="420" w:rightChars="100" w:right="210"/>
        <w:rPr>
          <w:rFonts w:ascii="宋体" w:eastAsia="宋体" w:hAnsi="宋体"/>
          <w:bCs/>
          <w:sz w:val="21"/>
          <w:szCs w:val="32"/>
        </w:rPr>
      </w:pPr>
      <w:bookmarkStart w:id="93" w:name="heading_27"/>
      <w:bookmarkStart w:id="94" w:name="_Toc17395"/>
      <w:r>
        <w:rPr>
          <w:rFonts w:ascii="宋体" w:eastAsia="宋体" w:hAnsi="宋体" w:hint="eastAsia"/>
          <w:bCs/>
          <w:sz w:val="21"/>
          <w:szCs w:val="32"/>
        </w:rPr>
        <w:t>8.1.1风险描述</w:t>
      </w:r>
      <w:bookmarkEnd w:id="93"/>
      <w:bookmarkEnd w:id="94"/>
    </w:p>
    <w:p w:rsidR="00B70185" w:rsidRDefault="00000000">
      <w:pPr>
        <w:spacing w:line="300" w:lineRule="auto"/>
        <w:ind w:firstLine="420"/>
        <w:rPr>
          <w:rFonts w:ascii="宋体" w:eastAsia="宋体" w:hAnsi="宋体"/>
          <w:szCs w:val="21"/>
        </w:rPr>
      </w:pPr>
      <w:r>
        <w:rPr>
          <w:rFonts w:ascii="宋体" w:eastAsia="宋体" w:hAnsi="宋体" w:hint="eastAsia"/>
          <w:szCs w:val="21"/>
        </w:rPr>
        <w:t>法律合规风险是AI项目面临的核心风险，主要集中在AI生成内容的准确性与合规性两个方面。</w:t>
      </w:r>
      <w:r>
        <w:rPr>
          <w:rFonts w:ascii="宋体" w:eastAsia="宋体" w:hAnsi="宋体" w:hint="eastAsia"/>
          <w:b/>
          <w:bCs/>
          <w:szCs w:val="21"/>
        </w:rPr>
        <w:t>第一</w:t>
      </w:r>
      <w:r>
        <w:rPr>
          <w:rFonts w:ascii="宋体" w:eastAsia="宋体" w:hAnsi="宋体" w:hint="eastAsia"/>
          <w:szCs w:val="21"/>
        </w:rPr>
        <w:t>，AI模型可能存在“幻觉”风险，导致法条引用偏差、案例匹配错误、维权步骤指引失误等问题，例如编造不存在的法条、误判法律关系（如将劳动关系误判为劳务关系）、遗漏关键维权流程（如仲裁时效提醒），进而影响用户维权效果，甚至导致用户面临财产损失或法律责任，引发用户投诉与法律诉讼。</w:t>
      </w:r>
      <w:r>
        <w:rPr>
          <w:rFonts w:ascii="宋体" w:eastAsia="宋体" w:hAnsi="宋体" w:hint="eastAsia"/>
          <w:b/>
          <w:bCs/>
          <w:szCs w:val="21"/>
        </w:rPr>
        <w:t>第二</w:t>
      </w:r>
      <w:r>
        <w:rPr>
          <w:rFonts w:ascii="宋体" w:eastAsia="宋体" w:hAnsi="宋体" w:hint="eastAsia"/>
          <w:szCs w:val="21"/>
        </w:rPr>
        <w:t>，项目涉及大量用户隐私数据（如个人信息、案情信息、合同文件），若数据处理流程不合规，可能违反《数据安全法》《个人信息保护法》等法律法规，面临监管处罚与用户维权风险；</w:t>
      </w:r>
      <w:r>
        <w:rPr>
          <w:rFonts w:ascii="宋体" w:eastAsia="宋体" w:hAnsi="宋体" w:hint="eastAsia"/>
          <w:b/>
          <w:bCs/>
          <w:szCs w:val="21"/>
        </w:rPr>
        <w:t>第三</w:t>
      </w:r>
      <w:r>
        <w:rPr>
          <w:rFonts w:ascii="宋体" w:eastAsia="宋体" w:hAnsi="宋体" w:hint="eastAsia"/>
          <w:szCs w:val="21"/>
        </w:rPr>
        <w:t>，AI法律服务的责任界定尚未完全明确，若因AI输出内容错误导致用户损失，项目可能面临法律责任纠纷。</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95" w:name="_Toc32082"/>
      <w:bookmarkStart w:id="96" w:name="heading_28"/>
      <w:r>
        <w:rPr>
          <w:rFonts w:ascii="宋体" w:eastAsia="宋体" w:hAnsi="宋体" w:hint="eastAsia"/>
          <w:bCs/>
          <w:sz w:val="21"/>
          <w:szCs w:val="32"/>
        </w:rPr>
        <w:t>8.1.2应对措施</w:t>
      </w:r>
      <w:bookmarkEnd w:id="95"/>
      <w:bookmarkEnd w:id="96"/>
    </w:p>
    <w:p w:rsidR="00B70185" w:rsidRDefault="00000000">
      <w:pPr>
        <w:spacing w:line="300" w:lineRule="auto"/>
        <w:ind w:firstLine="420"/>
        <w:rPr>
          <w:rFonts w:ascii="宋体" w:eastAsia="宋体" w:hAnsi="宋体"/>
          <w:szCs w:val="21"/>
        </w:rPr>
      </w:pPr>
      <w:r>
        <w:rPr>
          <w:rFonts w:ascii="宋体" w:eastAsia="宋体" w:hAnsi="宋体" w:hint="eastAsia"/>
          <w:szCs w:val="21"/>
        </w:rPr>
        <w:t>项目通过</w:t>
      </w:r>
      <w:r>
        <w:rPr>
          <w:rFonts w:ascii="宋体" w:eastAsia="宋体" w:hAnsi="宋体" w:hint="eastAsia"/>
          <w:b/>
          <w:bCs/>
          <w:szCs w:val="21"/>
        </w:rPr>
        <w:t>构建权威法律语料库</w:t>
      </w:r>
      <w:r>
        <w:rPr>
          <w:rFonts w:ascii="宋体" w:eastAsia="宋体" w:hAnsi="宋体" w:hint="eastAsia"/>
          <w:szCs w:val="21"/>
        </w:rPr>
        <w:t>，显著提升模型准确性并降低AI幻觉风险。语料库整合《民法典》《劳动合同法》等核心法规、司法解释及最高法指导案例，合作数据源均来自正规法律服务商，确保内容权威。</w:t>
      </w:r>
      <w:r>
        <w:rPr>
          <w:rFonts w:ascii="宋体" w:eastAsia="宋体" w:hAnsi="宋体" w:hint="eastAsia"/>
          <w:b/>
          <w:bCs/>
          <w:szCs w:val="21"/>
        </w:rPr>
        <w:t>建立动态更新机制</w:t>
      </w:r>
      <w:r>
        <w:rPr>
          <w:rFonts w:ascii="宋体" w:eastAsia="宋体" w:hAnsi="宋体" w:hint="eastAsia"/>
          <w:szCs w:val="21"/>
        </w:rPr>
        <w:t>，每月同步最新条文，重大修订24小时内完成更新。同时</w:t>
      </w:r>
      <w:r>
        <w:rPr>
          <w:rFonts w:ascii="宋体" w:eastAsia="宋体" w:hAnsi="宋体" w:hint="eastAsia"/>
          <w:b/>
          <w:bCs/>
          <w:szCs w:val="21"/>
        </w:rPr>
        <w:t>优化“三模型协同”架构</w:t>
      </w:r>
      <w:r>
        <w:rPr>
          <w:rFonts w:ascii="宋体" w:eastAsia="宋体" w:hAnsi="宋体" w:hint="eastAsia"/>
          <w:szCs w:val="21"/>
        </w:rPr>
        <w:t>，强化检索增强生成（RAG）技术，确保每条AI建议均可追溯至具体法条或案例。技术研发团队定期开展准确性测试，法律专家对不少于5%的输出内容抽样审核，并将用户反馈的错误纳入微调数据集，持续优化模型。</w:t>
      </w:r>
    </w:p>
    <w:p w:rsidR="00B70185" w:rsidRDefault="00000000">
      <w:pPr>
        <w:spacing w:line="300" w:lineRule="auto"/>
        <w:ind w:firstLine="420"/>
        <w:rPr>
          <w:rFonts w:ascii="宋体" w:eastAsia="宋体" w:hAnsi="宋体"/>
          <w:szCs w:val="21"/>
        </w:rPr>
      </w:pPr>
      <w:r>
        <w:rPr>
          <w:rFonts w:ascii="宋体" w:eastAsia="宋体" w:hAnsi="宋体" w:hint="eastAsia"/>
          <w:szCs w:val="21"/>
        </w:rPr>
        <w:t>产品严格界定服务边界，明确“AI辅助”定位。在关键页面显著标注“AI输出仅为参考，不具法律效力，不替代律师意见”，不提供案件代理、出庭辩护等执业律师专属服务。用户协议中设置免责条款，并留存风险告知与用户确认记录，防范法律纠纷。对于刑事辩护、重大商事争议等复杂场景，系统自动引导用户转接合作律所，既保障服务质量，也规避超范围经营风险。</w:t>
      </w:r>
    </w:p>
    <w:p w:rsidR="00B70185" w:rsidRDefault="00000000">
      <w:pPr>
        <w:spacing w:line="300" w:lineRule="auto"/>
        <w:ind w:firstLine="420"/>
        <w:rPr>
          <w:rFonts w:ascii="宋体" w:eastAsia="宋体" w:hAnsi="宋体"/>
          <w:szCs w:val="21"/>
        </w:rPr>
      </w:pPr>
      <w:r>
        <w:rPr>
          <w:rFonts w:ascii="宋体" w:eastAsia="宋体" w:hAnsi="宋体" w:hint="eastAsia"/>
          <w:szCs w:val="21"/>
        </w:rPr>
        <w:t>在数据安全方面，依托华为昇腾国产化部署能力，实现用户</w:t>
      </w:r>
      <w:r>
        <w:rPr>
          <w:rFonts w:ascii="宋体" w:eastAsia="宋体" w:hAnsi="宋体" w:hint="eastAsia"/>
          <w:b/>
          <w:bCs/>
          <w:szCs w:val="21"/>
        </w:rPr>
        <w:t>数据本地化存储</w:t>
      </w:r>
      <w:r>
        <w:rPr>
          <w:rFonts w:ascii="宋体" w:eastAsia="宋体" w:hAnsi="宋体" w:hint="eastAsia"/>
          <w:szCs w:val="21"/>
        </w:rPr>
        <w:t>与AES-256</w:t>
      </w:r>
      <w:r>
        <w:rPr>
          <w:rFonts w:ascii="宋体" w:eastAsia="宋体" w:hAnsi="宋体" w:hint="eastAsia"/>
          <w:b/>
          <w:bCs/>
          <w:szCs w:val="21"/>
        </w:rPr>
        <w:t>加密保护</w:t>
      </w:r>
      <w:r>
        <w:rPr>
          <w:rFonts w:ascii="宋体" w:eastAsia="宋体" w:hAnsi="宋体" w:hint="eastAsia"/>
          <w:szCs w:val="21"/>
        </w:rPr>
        <w:t>。实施分级权限管理，所有数据操作全程留痕、可审计。严格遵循《个人信息保护法》，仅收集必要信息，明示用途并获用户同意，支持随时删除或导出个人数据。</w:t>
      </w:r>
    </w:p>
    <w:p w:rsidR="00B70185" w:rsidRDefault="00000000">
      <w:pPr>
        <w:spacing w:line="300" w:lineRule="auto"/>
        <w:ind w:firstLine="420"/>
        <w:rPr>
          <w:rFonts w:ascii="宋体" w:eastAsia="宋体" w:hAnsi="宋体"/>
          <w:szCs w:val="21"/>
        </w:rPr>
      </w:pPr>
      <w:r>
        <w:rPr>
          <w:rFonts w:ascii="宋体" w:eastAsia="宋体" w:hAnsi="宋体" w:hint="eastAsia"/>
          <w:szCs w:val="21"/>
        </w:rPr>
        <w:t>针对用户投诉，设立由</w:t>
      </w:r>
      <w:r>
        <w:rPr>
          <w:rFonts w:ascii="宋体" w:eastAsia="宋体" w:hAnsi="宋体" w:hint="eastAsia"/>
          <w:b/>
          <w:bCs/>
          <w:szCs w:val="21"/>
        </w:rPr>
        <w:t>法律与客服人员组成的专项处置小组</w:t>
      </w:r>
      <w:r>
        <w:rPr>
          <w:rFonts w:ascii="宋体" w:eastAsia="宋体" w:hAnsi="宋体" w:hint="eastAsia"/>
          <w:szCs w:val="21"/>
        </w:rPr>
        <w:t>，制定标准化响应流程。若因AI建议造成实际困扰，将通过免费人工咨询、增值服务补偿或协助对接律师等方式妥善解决。同时</w:t>
      </w:r>
      <w:r>
        <w:rPr>
          <w:rFonts w:ascii="宋体" w:eastAsia="宋体" w:hAnsi="宋体" w:hint="eastAsia"/>
          <w:b/>
          <w:bCs/>
          <w:szCs w:val="21"/>
        </w:rPr>
        <w:t>聘请法律顾问</w:t>
      </w:r>
      <w:r>
        <w:rPr>
          <w:rFonts w:ascii="宋体" w:eastAsia="宋体" w:hAnsi="宋体" w:hint="eastAsia"/>
          <w:szCs w:val="21"/>
        </w:rPr>
        <w:t>应对潜在诉讼，并定期复盘纠纷案例，反向优化模型逻辑与服务设计，形成闭环改进机制。</w:t>
      </w:r>
    </w:p>
    <w:p w:rsidR="00B70185" w:rsidRDefault="00000000">
      <w:pPr>
        <w:pStyle w:val="2"/>
        <w:tabs>
          <w:tab w:val="center" w:pos="4153"/>
        </w:tabs>
        <w:spacing w:line="300" w:lineRule="auto"/>
        <w:ind w:right="210"/>
        <w:rPr>
          <w:rFonts w:ascii="宋体" w:eastAsia="宋体" w:hAnsi="宋体"/>
          <w:sz w:val="21"/>
          <w:szCs w:val="21"/>
        </w:rPr>
      </w:pPr>
      <w:bookmarkStart w:id="97" w:name="_Toc32176"/>
      <w:bookmarkStart w:id="98" w:name="heading_29"/>
      <w:r>
        <w:rPr>
          <w:rFonts w:ascii="宋体" w:eastAsia="宋体" w:hAnsi="宋体" w:hint="eastAsia"/>
          <w:sz w:val="21"/>
          <w:szCs w:val="21"/>
        </w:rPr>
        <w:t>8.2市场竞争风险</w:t>
      </w:r>
      <w:bookmarkEnd w:id="97"/>
      <w:bookmarkEnd w:id="98"/>
    </w:p>
    <w:p w:rsidR="00B70185" w:rsidRDefault="00000000">
      <w:pPr>
        <w:pStyle w:val="3"/>
        <w:spacing w:before="0" w:after="0" w:line="300" w:lineRule="auto"/>
        <w:ind w:leftChars="200" w:left="420" w:rightChars="100" w:right="210"/>
        <w:rPr>
          <w:rFonts w:ascii="宋体" w:eastAsia="宋体" w:hAnsi="宋体"/>
          <w:bCs/>
          <w:sz w:val="21"/>
          <w:szCs w:val="32"/>
        </w:rPr>
      </w:pPr>
      <w:bookmarkStart w:id="99" w:name="_Toc6354"/>
      <w:bookmarkStart w:id="100" w:name="heading_30"/>
      <w:r>
        <w:rPr>
          <w:rFonts w:ascii="宋体" w:eastAsia="宋体" w:hAnsi="宋体" w:hint="eastAsia"/>
          <w:bCs/>
          <w:sz w:val="21"/>
          <w:szCs w:val="32"/>
        </w:rPr>
        <w:t>8.2.1风险描述</w:t>
      </w:r>
      <w:bookmarkEnd w:id="99"/>
      <w:bookmarkEnd w:id="100"/>
    </w:p>
    <w:p w:rsidR="00B70185" w:rsidRDefault="00000000">
      <w:pPr>
        <w:spacing w:line="300" w:lineRule="auto"/>
        <w:ind w:firstLine="420"/>
        <w:rPr>
          <w:rFonts w:ascii="宋体" w:eastAsia="宋体" w:hAnsi="宋体"/>
          <w:szCs w:val="21"/>
        </w:rPr>
      </w:pPr>
      <w:r>
        <w:rPr>
          <w:rFonts w:ascii="宋体" w:eastAsia="宋体" w:hAnsi="宋体" w:hint="eastAsia"/>
          <w:szCs w:val="21"/>
        </w:rPr>
        <w:t>随着智能法律服务市场需求的爆发式增长，行业吸引力不断提升，市场竞争风险日益凸</w:t>
      </w:r>
      <w:r>
        <w:rPr>
          <w:rFonts w:ascii="宋体" w:eastAsia="宋体" w:hAnsi="宋体" w:hint="eastAsia"/>
          <w:szCs w:val="21"/>
        </w:rPr>
        <w:lastRenderedPageBreak/>
        <w:t>显。</w:t>
      </w:r>
      <w:r>
        <w:rPr>
          <w:rFonts w:ascii="宋体" w:eastAsia="宋体" w:hAnsi="宋体" w:hint="eastAsia"/>
          <w:b/>
          <w:bCs/>
          <w:szCs w:val="21"/>
        </w:rPr>
        <w:t>一方面</w:t>
      </w:r>
      <w:r>
        <w:rPr>
          <w:rFonts w:ascii="宋体" w:eastAsia="宋体" w:hAnsi="宋体" w:hint="eastAsia"/>
          <w:szCs w:val="21"/>
        </w:rPr>
        <w:t>，科技巨头（如百度、腾讯、阿里）可能凭借其资金、技术、品牌、用户基数等优势，推出类似的智能法律产品，通过免费策略、大规模营销等方式抢占市场份额，对项目形成挤压；</w:t>
      </w:r>
      <w:r>
        <w:rPr>
          <w:rFonts w:ascii="宋体" w:eastAsia="宋体" w:hAnsi="宋体" w:hint="eastAsia"/>
          <w:b/>
          <w:bCs/>
          <w:szCs w:val="21"/>
        </w:rPr>
        <w:t>另一方面</w:t>
      </w:r>
      <w:r>
        <w:rPr>
          <w:rFonts w:ascii="宋体" w:eastAsia="宋体" w:hAnsi="宋体" w:hint="eastAsia"/>
          <w:szCs w:val="21"/>
        </w:rPr>
        <w:t>，传统线上法律平台（如华律网、找法网）、律所数字化转型项目可能加速布局智能法律服务，结合其现有用户基础、律师资源，打造“AI+人工”的混合服务模式，分流部分用户；此外，其他创业公司可能通过差异化定位、技术创新等方式，聚焦特定细分场景或用户群体，分割市场份额，导致市场竞争加剧。同时，行业技术迭代速度快，若项目未能及时跟进技术趋势，可能导致产品技术落后，丧失竞争优势；产品功能与商业模式易被模仿，可能引发同质化竞争，压缩盈利空间。</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101" w:name="heading_31"/>
      <w:bookmarkStart w:id="102" w:name="_Toc19887"/>
      <w:r>
        <w:rPr>
          <w:rFonts w:ascii="宋体" w:eastAsia="宋体" w:hAnsi="宋体" w:hint="eastAsia"/>
          <w:bCs/>
          <w:sz w:val="21"/>
          <w:szCs w:val="32"/>
        </w:rPr>
        <w:t>8.2.2应对措施</w:t>
      </w:r>
      <w:bookmarkEnd w:id="101"/>
      <w:bookmarkEnd w:id="102"/>
    </w:p>
    <w:p w:rsidR="00B70185" w:rsidRDefault="00000000">
      <w:pPr>
        <w:spacing w:line="300" w:lineRule="auto"/>
        <w:ind w:firstLine="420"/>
        <w:rPr>
          <w:rFonts w:ascii="宋体" w:eastAsia="宋体" w:hAnsi="宋体"/>
          <w:szCs w:val="21"/>
        </w:rPr>
      </w:pPr>
      <w:r>
        <w:rPr>
          <w:rFonts w:ascii="宋体" w:eastAsia="宋体" w:hAnsi="宋体" w:hint="eastAsia"/>
          <w:szCs w:val="21"/>
        </w:rPr>
        <w:t>为了强化差异化竞争优势，构建核心壁垒，项目聚焦</w:t>
      </w:r>
      <w:r>
        <w:rPr>
          <w:rFonts w:ascii="宋体" w:eastAsia="宋体" w:hAnsi="宋体" w:hint="eastAsia"/>
          <w:b/>
          <w:bCs/>
          <w:szCs w:val="21"/>
        </w:rPr>
        <w:t>“普惠+国产化+法律小白”</w:t>
      </w:r>
      <w:r>
        <w:rPr>
          <w:rFonts w:ascii="宋体" w:eastAsia="宋体" w:hAnsi="宋体" w:hint="eastAsia"/>
          <w:szCs w:val="21"/>
        </w:rPr>
        <w:t>的独特定位。通过优化轻量化模型与国产化算力的融合，控制服务成本，确保价格竞争力，特别针对基层用户和小微企业开发专属功能（如务工者劳动维权专项方案、小微企业合规工具），从而在市场中形成差异化优势。相较于科技巨头的通用服务和传统法律平台的高端定位，我们的产品更</w:t>
      </w:r>
      <w:r>
        <w:rPr>
          <w:rFonts w:ascii="宋体" w:eastAsia="宋体" w:hAnsi="宋体" w:hint="eastAsia"/>
          <w:b/>
          <w:bCs/>
          <w:szCs w:val="21"/>
        </w:rPr>
        <w:t>注重满足特定群体的需求</w:t>
      </w:r>
      <w:r>
        <w:rPr>
          <w:rFonts w:ascii="宋体" w:eastAsia="宋体" w:hAnsi="宋体" w:hint="eastAsia"/>
          <w:szCs w:val="21"/>
        </w:rPr>
        <w:t>。</w:t>
      </w:r>
    </w:p>
    <w:p w:rsidR="00B70185" w:rsidRDefault="00000000">
      <w:pPr>
        <w:spacing w:line="300" w:lineRule="auto"/>
        <w:ind w:firstLine="420"/>
        <w:rPr>
          <w:rFonts w:ascii="宋体" w:eastAsia="宋体" w:hAnsi="宋体"/>
          <w:szCs w:val="21"/>
        </w:rPr>
      </w:pPr>
      <w:r>
        <w:rPr>
          <w:rFonts w:ascii="宋体" w:eastAsia="宋体" w:hAnsi="宋体" w:hint="eastAsia"/>
          <w:szCs w:val="21"/>
        </w:rPr>
        <w:t>技术创新是提升产品竞争力的关键。我们不断</w:t>
      </w:r>
      <w:r>
        <w:rPr>
          <w:rFonts w:ascii="宋体" w:eastAsia="宋体" w:hAnsi="宋体" w:hint="eastAsia"/>
          <w:b/>
          <w:bCs/>
          <w:szCs w:val="21"/>
        </w:rPr>
        <w:t>优化“三模型协同”架构</w:t>
      </w:r>
      <w:r>
        <w:rPr>
          <w:rFonts w:ascii="宋体" w:eastAsia="宋体" w:hAnsi="宋体" w:hint="eastAsia"/>
          <w:szCs w:val="21"/>
        </w:rPr>
        <w:t>，以提高模型准确性、检索效率及交互体验，并开发独特的功能模块，如多模态交互、案情可视化分析及地域化解决方案。加快知识产权布局，积极申请软件著作权和技术专利，防范技术侵权风险。这些举措有助于构建稳固的技术壁垒，保持行业领先地位。</w:t>
      </w:r>
    </w:p>
    <w:p w:rsidR="00B70185" w:rsidRDefault="00000000">
      <w:pPr>
        <w:spacing w:line="300" w:lineRule="auto"/>
        <w:ind w:firstLine="420"/>
        <w:rPr>
          <w:rFonts w:ascii="宋体" w:eastAsia="宋体" w:hAnsi="宋体"/>
          <w:szCs w:val="21"/>
        </w:rPr>
      </w:pPr>
      <w:r>
        <w:rPr>
          <w:rFonts w:ascii="宋体" w:eastAsia="宋体" w:hAnsi="宋体" w:hint="eastAsia"/>
          <w:szCs w:val="21"/>
        </w:rPr>
        <w:t>品牌建设方面，致力于打造</w:t>
      </w:r>
      <w:r>
        <w:rPr>
          <w:rFonts w:ascii="宋体" w:eastAsia="宋体" w:hAnsi="宋体" w:hint="eastAsia"/>
          <w:b/>
          <w:bCs/>
          <w:szCs w:val="21"/>
        </w:rPr>
        <w:t>“普惠法律先行者”的品牌形象</w:t>
      </w:r>
      <w:r>
        <w:rPr>
          <w:rFonts w:ascii="宋体" w:eastAsia="宋体" w:hAnsi="宋体" w:hint="eastAsia"/>
          <w:szCs w:val="21"/>
        </w:rPr>
        <w:t>，通过提供优质的用户体验、专业的法律服务以及积极参与公益普法活动，增强品牌的公信力和用户忠诚度。借助合作伙伴的权威背书，进一步扩大品牌影响力，区别于其他创业公司的无品牌状态。</w:t>
      </w:r>
    </w:p>
    <w:p w:rsidR="00B70185" w:rsidRDefault="00000000">
      <w:pPr>
        <w:spacing w:line="300" w:lineRule="auto"/>
        <w:ind w:firstLine="420"/>
        <w:rPr>
          <w:rFonts w:ascii="宋体" w:eastAsia="宋体" w:hAnsi="宋体"/>
          <w:szCs w:val="21"/>
        </w:rPr>
      </w:pPr>
      <w:r>
        <w:rPr>
          <w:rFonts w:ascii="宋体" w:eastAsia="宋体" w:hAnsi="宋体" w:hint="eastAsia"/>
          <w:szCs w:val="21"/>
        </w:rPr>
        <w:t>除核心增值服务外，</w:t>
      </w:r>
      <w:r>
        <w:rPr>
          <w:rFonts w:ascii="宋体" w:eastAsia="宋体" w:hAnsi="宋体" w:hint="eastAsia"/>
          <w:b/>
          <w:bCs/>
          <w:szCs w:val="21"/>
        </w:rPr>
        <w:t>探索新的盈利增长点</w:t>
      </w:r>
      <w:r>
        <w:rPr>
          <w:rFonts w:ascii="宋体" w:eastAsia="宋体" w:hAnsi="宋体" w:hint="eastAsia"/>
          <w:szCs w:val="21"/>
        </w:rPr>
        <w:t>，如为政府提供纠纷趋势分析、企业合规咨询服务等。并深化B端合作，与社区、工会、人力资源平台等建立深度绑定关系，提供定制化解决方案与专属服务。</w:t>
      </w:r>
    </w:p>
    <w:p w:rsidR="00B70185" w:rsidRDefault="00000000">
      <w:pPr>
        <w:spacing w:line="300" w:lineRule="auto"/>
        <w:ind w:firstLine="420"/>
        <w:rPr>
          <w:rFonts w:ascii="宋体" w:eastAsia="宋体" w:hAnsi="宋体"/>
          <w:szCs w:val="21"/>
        </w:rPr>
      </w:pPr>
      <w:r>
        <w:rPr>
          <w:rFonts w:ascii="宋体" w:eastAsia="宋体" w:hAnsi="宋体" w:hint="eastAsia"/>
          <w:szCs w:val="21"/>
        </w:rPr>
        <w:t>设立</w:t>
      </w:r>
      <w:r>
        <w:rPr>
          <w:rFonts w:ascii="宋体" w:eastAsia="宋体" w:hAnsi="宋体" w:hint="eastAsia"/>
          <w:b/>
          <w:bCs/>
          <w:szCs w:val="21"/>
        </w:rPr>
        <w:t>专项研发资金</w:t>
      </w:r>
      <w:r>
        <w:rPr>
          <w:rFonts w:ascii="宋体" w:eastAsia="宋体" w:hAnsi="宋体" w:hint="eastAsia"/>
          <w:szCs w:val="21"/>
        </w:rPr>
        <w:t>用于新技术探索和新功能开发，技术团队定期跟踪行业技术趋势，及时应用前沿技术到产品优化中。深化与华为昇腾、高校的合作，共建研发实验室，开展技术联合攻关，优先获取最新技术成果与算力支持，降低研发成本，提高技术迭代效率。</w:t>
      </w:r>
    </w:p>
    <w:p w:rsidR="00B70185" w:rsidRDefault="00000000">
      <w:pPr>
        <w:spacing w:line="300" w:lineRule="auto"/>
        <w:ind w:firstLine="420"/>
        <w:rPr>
          <w:rFonts w:ascii="宋体" w:eastAsia="宋体" w:hAnsi="宋体"/>
          <w:szCs w:val="21"/>
        </w:rPr>
      </w:pPr>
      <w:r>
        <w:rPr>
          <w:rFonts w:ascii="宋体" w:eastAsia="宋体" w:hAnsi="宋体" w:hint="eastAsia"/>
          <w:szCs w:val="21"/>
        </w:rPr>
        <w:t>最后，</w:t>
      </w:r>
      <w:r>
        <w:rPr>
          <w:rFonts w:ascii="宋体" w:eastAsia="宋体" w:hAnsi="宋体" w:hint="eastAsia"/>
          <w:b/>
          <w:bCs/>
          <w:szCs w:val="21"/>
        </w:rPr>
        <w:t>加强生态构建，形成协同优势</w:t>
      </w:r>
      <w:r>
        <w:rPr>
          <w:rFonts w:ascii="宋体" w:eastAsia="宋体" w:hAnsi="宋体" w:hint="eastAsia"/>
          <w:szCs w:val="21"/>
        </w:rPr>
        <w:t>。与法律数据服务商、律师事务所、公共服务机构等建立深度合作关系，形成“技术+数据+渠道+服务”的协同生态，实现资源共享、优势互补，提升整体竞争力。参与行业标准制定，推动智能法律服务行业的技术标准和服务规范的确立，提高行业准入门槛，遏制低水平竞争。建立用户社群，加强与用户的沟通互动，鼓励用户参与产品优化，收集建议并快速迭代，形成良性循环，增强产品的用户适配性和满意度。这样不仅提升了产品的市场竞争力，也促进了整个行业的健康发展。</w:t>
      </w:r>
    </w:p>
    <w:p w:rsidR="00B70185" w:rsidRDefault="00000000">
      <w:pPr>
        <w:pStyle w:val="2"/>
        <w:tabs>
          <w:tab w:val="center" w:pos="4153"/>
        </w:tabs>
        <w:spacing w:line="300" w:lineRule="auto"/>
        <w:ind w:right="210"/>
        <w:rPr>
          <w:rFonts w:ascii="宋体" w:eastAsia="宋体" w:hAnsi="宋体"/>
          <w:sz w:val="21"/>
          <w:szCs w:val="21"/>
        </w:rPr>
      </w:pPr>
      <w:bookmarkStart w:id="103" w:name="heading_32"/>
      <w:bookmarkStart w:id="104" w:name="_Toc19330"/>
      <w:r>
        <w:rPr>
          <w:rFonts w:ascii="宋体" w:eastAsia="宋体" w:hAnsi="宋体" w:hint="eastAsia"/>
          <w:sz w:val="21"/>
          <w:szCs w:val="21"/>
        </w:rPr>
        <w:lastRenderedPageBreak/>
        <w:t>8.3技术迭代风险</w:t>
      </w:r>
      <w:bookmarkEnd w:id="103"/>
      <w:bookmarkEnd w:id="104"/>
    </w:p>
    <w:p w:rsidR="00B70185" w:rsidRDefault="00000000">
      <w:pPr>
        <w:pStyle w:val="3"/>
        <w:spacing w:before="0" w:after="0" w:line="300" w:lineRule="auto"/>
        <w:ind w:leftChars="200" w:left="420" w:rightChars="100" w:right="210"/>
        <w:rPr>
          <w:rFonts w:ascii="宋体" w:eastAsia="宋体" w:hAnsi="宋体"/>
          <w:bCs/>
          <w:sz w:val="21"/>
          <w:szCs w:val="32"/>
        </w:rPr>
      </w:pPr>
      <w:bookmarkStart w:id="105" w:name="heading_33"/>
      <w:bookmarkStart w:id="106" w:name="_Toc12091"/>
      <w:r>
        <w:rPr>
          <w:rFonts w:ascii="宋体" w:eastAsia="宋体" w:hAnsi="宋体" w:hint="eastAsia"/>
          <w:bCs/>
          <w:sz w:val="21"/>
          <w:szCs w:val="32"/>
        </w:rPr>
        <w:t>8.3.1风险描述</w:t>
      </w:r>
      <w:bookmarkEnd w:id="105"/>
      <w:bookmarkEnd w:id="106"/>
    </w:p>
    <w:p w:rsidR="00B70185" w:rsidRDefault="00000000">
      <w:pPr>
        <w:spacing w:line="300" w:lineRule="auto"/>
        <w:ind w:firstLine="420"/>
        <w:rPr>
          <w:rFonts w:ascii="宋体" w:eastAsia="宋体" w:hAnsi="宋体"/>
          <w:szCs w:val="21"/>
        </w:rPr>
      </w:pPr>
      <w:r>
        <w:rPr>
          <w:rFonts w:ascii="宋体" w:eastAsia="宋体" w:hAnsi="宋体" w:hint="eastAsia"/>
          <w:szCs w:val="21"/>
        </w:rPr>
        <w:t>智能法律服务行业依托人工智能、国产算力、自然语言处理等前沿技术，行业技术迭代速度快，项目面临显著的技术迭代风险。</w:t>
      </w:r>
      <w:r>
        <w:rPr>
          <w:rFonts w:ascii="宋体" w:eastAsia="宋体" w:hAnsi="宋体" w:hint="eastAsia"/>
          <w:b/>
          <w:bCs/>
          <w:szCs w:val="21"/>
        </w:rPr>
        <w:t>一方面</w:t>
      </w:r>
      <w:r>
        <w:rPr>
          <w:rFonts w:ascii="宋体" w:eastAsia="宋体" w:hAnsi="宋体" w:hint="eastAsia"/>
          <w:szCs w:val="21"/>
        </w:rPr>
        <w:t>，人工智能技术（如大模型优化、检索算法创新、小模型微调技术）不断突破，新的算法、架构、技术方法持续涌现，若项目研发投入不足、研发团队技术储备不够，可能无法及时将新技术应用到产品优化中，导致</w:t>
      </w:r>
      <w:r>
        <w:rPr>
          <w:rFonts w:ascii="宋体" w:eastAsia="宋体" w:hAnsi="宋体" w:hint="eastAsia"/>
          <w:color w:val="C55E10" w:themeColor="accent2" w:themeShade="BF"/>
          <w:szCs w:val="21"/>
        </w:rPr>
        <w:t>模型准确性、响应速度、交互体验等落后于竞争对手，丧失技术优势</w:t>
      </w:r>
      <w:r>
        <w:rPr>
          <w:rFonts w:ascii="宋体" w:eastAsia="宋体" w:hAnsi="宋体" w:hint="eastAsia"/>
          <w:szCs w:val="21"/>
        </w:rPr>
        <w:t>；</w:t>
      </w:r>
      <w:r>
        <w:rPr>
          <w:rFonts w:ascii="宋体" w:eastAsia="宋体" w:hAnsi="宋体" w:hint="eastAsia"/>
          <w:b/>
          <w:bCs/>
          <w:szCs w:val="21"/>
        </w:rPr>
        <w:t>另一方面</w:t>
      </w:r>
      <w:r>
        <w:rPr>
          <w:rFonts w:ascii="宋体" w:eastAsia="宋体" w:hAnsi="宋体" w:hint="eastAsia"/>
          <w:szCs w:val="21"/>
        </w:rPr>
        <w:t>，国产算力平台（如华为昇腾）持续升级，新的芯片、软件栈、框架不断推出，若项目未能及时完成技术适配与优化，可能</w:t>
      </w:r>
      <w:r>
        <w:rPr>
          <w:rFonts w:ascii="宋体" w:eastAsia="宋体" w:hAnsi="宋体" w:hint="eastAsia"/>
          <w:color w:val="C55E10" w:themeColor="accent2" w:themeShade="BF"/>
          <w:szCs w:val="21"/>
        </w:rPr>
        <w:t>无法充分发挥新一代算力的性能优势，影响产品效率与稳定性</w:t>
      </w:r>
      <w:r>
        <w:rPr>
          <w:rFonts w:ascii="宋体" w:eastAsia="宋体" w:hAnsi="宋体" w:hint="eastAsia"/>
          <w:szCs w:val="21"/>
        </w:rPr>
        <w:t>；</w:t>
      </w:r>
      <w:r>
        <w:rPr>
          <w:rFonts w:ascii="宋体" w:eastAsia="宋体" w:hAnsi="宋体" w:hint="eastAsia"/>
          <w:b/>
          <w:bCs/>
          <w:szCs w:val="21"/>
        </w:rPr>
        <w:t>此外</w:t>
      </w:r>
      <w:r>
        <w:rPr>
          <w:rFonts w:ascii="宋体" w:eastAsia="宋体" w:hAnsi="宋体" w:hint="eastAsia"/>
          <w:szCs w:val="21"/>
        </w:rPr>
        <w:t>，行业技术标准与规范尚未完善，若项目技术架构、产品设计不符合未来行业标准，可能面临合规整改，增加技术改造成本；技术迭代过程中，还可能出现技术适配难题、系统兼容性问题，导致产品升级中断、服务不稳定，影响用户体验与品牌形象。</w:t>
      </w:r>
    </w:p>
    <w:p w:rsidR="00B70185" w:rsidRDefault="00000000">
      <w:pPr>
        <w:pStyle w:val="3"/>
        <w:spacing w:before="0" w:after="0" w:line="300" w:lineRule="auto"/>
        <w:ind w:leftChars="200" w:left="420" w:rightChars="100" w:right="210"/>
        <w:rPr>
          <w:rFonts w:ascii="宋体" w:eastAsia="宋体" w:hAnsi="宋体"/>
          <w:bCs/>
          <w:sz w:val="21"/>
          <w:szCs w:val="32"/>
        </w:rPr>
      </w:pPr>
      <w:bookmarkStart w:id="107" w:name="_Toc5415"/>
      <w:bookmarkStart w:id="108" w:name="heading_34"/>
      <w:r>
        <w:rPr>
          <w:rFonts w:ascii="宋体" w:eastAsia="宋体" w:hAnsi="宋体" w:hint="eastAsia"/>
          <w:bCs/>
          <w:sz w:val="21"/>
          <w:szCs w:val="32"/>
        </w:rPr>
        <w:t>8.3.2应对措施</w:t>
      </w:r>
      <w:bookmarkEnd w:id="107"/>
      <w:bookmarkEnd w:id="108"/>
    </w:p>
    <w:p w:rsidR="00B70185" w:rsidRDefault="00000000">
      <w:pPr>
        <w:spacing w:line="300" w:lineRule="auto"/>
        <w:ind w:firstLine="420"/>
        <w:rPr>
          <w:rFonts w:ascii="宋体" w:eastAsia="宋体" w:hAnsi="宋体"/>
          <w:szCs w:val="21"/>
        </w:rPr>
      </w:pPr>
      <w:r>
        <w:rPr>
          <w:rFonts w:ascii="宋体" w:eastAsia="宋体" w:hAnsi="宋体" w:hint="eastAsia"/>
          <w:color w:val="C55E10" w:themeColor="accent2" w:themeShade="BF"/>
          <w:szCs w:val="21"/>
        </w:rPr>
        <w:t>加大研发投入，建立持续创新机制</w:t>
      </w:r>
      <w:r>
        <w:rPr>
          <w:rFonts w:ascii="宋体" w:eastAsia="宋体" w:hAnsi="宋体" w:hint="eastAsia"/>
          <w:szCs w:val="21"/>
        </w:rPr>
        <w:t>。</w:t>
      </w:r>
      <w:r>
        <w:rPr>
          <w:rFonts w:ascii="宋体" w:eastAsia="宋体" w:hAnsi="宋体" w:hint="eastAsia"/>
          <w:b/>
          <w:bCs/>
          <w:szCs w:val="21"/>
        </w:rPr>
        <w:t>制定长期研发规划</w:t>
      </w:r>
      <w:r>
        <w:rPr>
          <w:rFonts w:ascii="宋体" w:eastAsia="宋体" w:hAnsi="宋体" w:hint="eastAsia"/>
          <w:szCs w:val="21"/>
        </w:rPr>
        <w:t>，明确研发重点与优先级，将核心资源投入到“三模型协同”架构优化、国产化算力适配、多模态交互升级、AI幻觉抑制等核心技术领域；每年将营业收入的20%以上投入研发，设立专项研发资金，用于新技术探索、新功能开发、研发设备升级、人才培养等，确保研发投入稳定。</w:t>
      </w:r>
      <w:r>
        <w:rPr>
          <w:rFonts w:ascii="宋体" w:eastAsia="宋体" w:hAnsi="宋体" w:hint="eastAsia"/>
          <w:b/>
          <w:bCs/>
          <w:szCs w:val="21"/>
        </w:rPr>
        <w:t>建立研发激励机制</w:t>
      </w:r>
      <w:r>
        <w:rPr>
          <w:rFonts w:ascii="宋体" w:eastAsia="宋体" w:hAnsi="宋体" w:hint="eastAsia"/>
          <w:szCs w:val="21"/>
        </w:rPr>
        <w:t>，设立技术创新奖励基金，对核心技术突破、新技术应用成果给予丰厚奖励，激发研发团队的积极性与创造力；鼓励研发人员参与行业技术交流、学术会议，跟踪前沿技术动态，保持技术敏感度。</w:t>
      </w:r>
    </w:p>
    <w:p w:rsidR="00B70185" w:rsidRDefault="00000000">
      <w:pPr>
        <w:spacing w:line="300" w:lineRule="auto"/>
        <w:ind w:firstLine="420"/>
        <w:rPr>
          <w:rFonts w:ascii="宋体" w:eastAsia="宋体" w:hAnsi="宋体"/>
          <w:szCs w:val="21"/>
        </w:rPr>
      </w:pPr>
      <w:r>
        <w:rPr>
          <w:rFonts w:ascii="宋体" w:eastAsia="宋体" w:hAnsi="宋体" w:hint="eastAsia"/>
          <w:szCs w:val="21"/>
        </w:rPr>
        <w:t>引进具备AI算法、法律AI交叉领域背景的核心</w:t>
      </w:r>
      <w:r>
        <w:rPr>
          <w:rFonts w:ascii="宋体" w:eastAsia="宋体" w:hAnsi="宋体" w:hint="eastAsia"/>
          <w:b/>
          <w:bCs/>
          <w:szCs w:val="21"/>
        </w:rPr>
        <w:t>研发人才</w:t>
      </w:r>
      <w:r>
        <w:rPr>
          <w:rFonts w:ascii="宋体" w:eastAsia="宋体" w:hAnsi="宋体" w:hint="eastAsia"/>
          <w:szCs w:val="21"/>
        </w:rPr>
        <w:t>，补充研发团队技术短板；与高校建立人才合作计划，招聘优秀毕业生，培养后备技术力量。加强内部技术培训，定期组织研发团队学习前沿技术、行业动态，提升团队整体技术水平；建立技术储备库，跟踪并储备人工智能、国产算力、法律文本分析等领域的新技术、新方法，为产品迭代提供技术支撑。</w:t>
      </w:r>
    </w:p>
    <w:p w:rsidR="00B70185" w:rsidRDefault="00000000">
      <w:pPr>
        <w:spacing w:line="300" w:lineRule="auto"/>
        <w:ind w:firstLine="420"/>
        <w:rPr>
          <w:rFonts w:ascii="宋体" w:eastAsia="宋体" w:hAnsi="宋体"/>
          <w:szCs w:val="21"/>
        </w:rPr>
      </w:pPr>
      <w:r>
        <w:rPr>
          <w:rFonts w:ascii="宋体" w:eastAsia="宋体" w:hAnsi="宋体" w:hint="eastAsia"/>
          <w:color w:val="C55E10" w:themeColor="accent2" w:themeShade="BF"/>
          <w:szCs w:val="21"/>
        </w:rPr>
        <w:t>建立灵活的技术迭代机制，快速响应技术变化</w:t>
      </w:r>
      <w:r>
        <w:rPr>
          <w:rFonts w:ascii="宋体" w:eastAsia="宋体" w:hAnsi="宋体" w:hint="eastAsia"/>
          <w:szCs w:val="21"/>
        </w:rPr>
        <w:t>。每季度发布</w:t>
      </w:r>
      <w:r>
        <w:rPr>
          <w:rFonts w:ascii="宋体" w:eastAsia="宋体" w:hAnsi="宋体" w:hint="eastAsia"/>
          <w:b/>
          <w:bCs/>
          <w:szCs w:val="21"/>
        </w:rPr>
        <w:t>技术迭代报告</w:t>
      </w:r>
      <w:r>
        <w:rPr>
          <w:rFonts w:ascii="宋体" w:eastAsia="宋体" w:hAnsi="宋体" w:hint="eastAsia"/>
          <w:szCs w:val="21"/>
        </w:rPr>
        <w:t>，评估新技术对项目的影响，制定针对性的技术升级计划。加强</w:t>
      </w:r>
      <w:r>
        <w:rPr>
          <w:rFonts w:ascii="宋体" w:eastAsia="宋体" w:hAnsi="宋体" w:hint="eastAsia"/>
          <w:b/>
          <w:bCs/>
          <w:szCs w:val="21"/>
        </w:rPr>
        <w:t>技术适配测试</w:t>
      </w:r>
      <w:r>
        <w:rPr>
          <w:rFonts w:ascii="宋体" w:eastAsia="宋体" w:hAnsi="宋体" w:hint="eastAsia"/>
          <w:szCs w:val="21"/>
        </w:rPr>
        <w:t>，在新技术应用、算力平台升级、产品版本更新前，开展全面的兼容性测试、稳定性测试、安全性测试，避免技术迭代导致的服务中断、用户体验下降等问题。建立</w:t>
      </w:r>
      <w:r>
        <w:rPr>
          <w:rFonts w:ascii="宋体" w:eastAsia="宋体" w:hAnsi="宋体" w:hint="eastAsia"/>
          <w:b/>
          <w:bCs/>
          <w:szCs w:val="21"/>
        </w:rPr>
        <w:t>技术应急预案</w:t>
      </w:r>
      <w:r>
        <w:rPr>
          <w:rFonts w:ascii="宋体" w:eastAsia="宋体" w:hAnsi="宋体" w:hint="eastAsia"/>
          <w:szCs w:val="21"/>
        </w:rPr>
        <w:t>，针对技术迭代过程中可能出现的适配难题、系统故障等，制定应对方案，确保快速响应、及时解决。</w:t>
      </w:r>
    </w:p>
    <w:p w:rsidR="00B70185" w:rsidRDefault="00000000">
      <w:pPr>
        <w:spacing w:line="300" w:lineRule="auto"/>
        <w:ind w:firstLine="420"/>
        <w:rPr>
          <w:rFonts w:ascii="宋体" w:eastAsia="宋体" w:hAnsi="宋体"/>
          <w:szCs w:val="21"/>
        </w:rPr>
      </w:pPr>
      <w:r>
        <w:rPr>
          <w:rFonts w:ascii="宋体" w:eastAsia="宋体" w:hAnsi="宋体" w:hint="eastAsia"/>
          <w:szCs w:val="21"/>
        </w:rPr>
        <w:t>与华为昇腾保持深度合作，提前获取算力平台、软件栈升级信息，优先完成技术适配与优化，抢占技术先机；借助华为昇腾的技术生态资源，共享算子库、模型库等资源，加速模型的训练与部署，降低自主研发难度。。</w:t>
      </w:r>
    </w:p>
    <w:p w:rsidR="00B70185" w:rsidRDefault="00000000">
      <w:pPr>
        <w:spacing w:line="300" w:lineRule="auto"/>
        <w:ind w:firstLine="420"/>
      </w:pPr>
      <w:r>
        <w:rPr>
          <w:rFonts w:ascii="宋体" w:eastAsia="宋体" w:hAnsi="宋体" w:hint="eastAsia"/>
          <w:color w:val="C55E10" w:themeColor="accent2" w:themeShade="BF"/>
          <w:szCs w:val="21"/>
        </w:rPr>
        <w:t>关注行业标准与规范，提前布局适配</w:t>
      </w:r>
      <w:r>
        <w:rPr>
          <w:rFonts w:ascii="宋体" w:eastAsia="宋体" w:hAnsi="宋体" w:hint="eastAsia"/>
          <w:szCs w:val="21"/>
        </w:rPr>
        <w:t>。积极参与智能法律服务行业协会、技术联盟等组织，主动对接行业主管部门，了解行业技术标准与规范制定动态，对照行业标准与规范定期</w:t>
      </w:r>
      <w:r>
        <w:rPr>
          <w:rFonts w:ascii="宋体" w:eastAsia="宋体" w:hAnsi="宋体" w:hint="eastAsia"/>
          <w:szCs w:val="21"/>
        </w:rPr>
        <w:lastRenderedPageBreak/>
        <w:t>开展技术合规评估，排查技术架构、数据处理流程、产品功能等方面的合规隐患，提前进行技术整改，避免因标准变化导致的大规模技术改造，降低技术合规风险。</w:t>
      </w:r>
    </w:p>
    <w:sectPr w:rsidR="00B701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6451" w:rsidRDefault="000A6451">
      <w:r>
        <w:separator/>
      </w:r>
    </w:p>
  </w:endnote>
  <w:endnote w:type="continuationSeparator" w:id="0">
    <w:p w:rsidR="000A6451" w:rsidRDefault="000A6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185" w:rsidRDefault="00000000">
    <w:pPr>
      <w:pStyle w:val="a7"/>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B70185"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rsidR="00B70185"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6451" w:rsidRDefault="000A6451">
      <w:r>
        <w:separator/>
      </w:r>
    </w:p>
  </w:footnote>
  <w:footnote w:type="continuationSeparator" w:id="0">
    <w:p w:rsidR="000A6451" w:rsidRDefault="000A6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C3E41"/>
    <w:multiLevelType w:val="multilevel"/>
    <w:tmpl w:val="02F0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F84055"/>
    <w:multiLevelType w:val="multilevel"/>
    <w:tmpl w:val="9462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0762">
    <w:abstractNumId w:val="0"/>
  </w:num>
  <w:num w:numId="2" w16cid:durableId="1339886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I3ZTA2M2MwOWYzNjVjYWZmYmNhZjBhZGNjMmNjMDcifQ=="/>
  </w:docVars>
  <w:rsids>
    <w:rsidRoot w:val="EA17F0D6"/>
    <w:rsid w:val="EA17F0D6"/>
    <w:rsid w:val="F7FE29A4"/>
    <w:rsid w:val="000A6451"/>
    <w:rsid w:val="003C7673"/>
    <w:rsid w:val="00404FE8"/>
    <w:rsid w:val="006D3D67"/>
    <w:rsid w:val="008B5ACB"/>
    <w:rsid w:val="00A30BA5"/>
    <w:rsid w:val="00B70185"/>
    <w:rsid w:val="14DF59E0"/>
    <w:rsid w:val="2F295680"/>
    <w:rsid w:val="5146292F"/>
    <w:rsid w:val="5CAF959F"/>
    <w:rsid w:val="63D7141F"/>
    <w:rsid w:val="677ED3CC"/>
    <w:rsid w:val="6EBE56B6"/>
    <w:rsid w:val="6FCD56BF"/>
    <w:rsid w:val="7777918A"/>
    <w:rsid w:val="7BBD17BF"/>
    <w:rsid w:val="7EFBD24A"/>
    <w:rsid w:val="7FFB7D2A"/>
    <w:rsid w:val="A7FD284C"/>
    <w:rsid w:val="D7CFDCC4"/>
    <w:rsid w:val="EA17F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D753A2C"/>
  <w15:docId w15:val="{54A38777-8C92-9C4E-A647-9CD88616C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Block Text" w:uiPriority="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340" w:after="330" w:line="360" w:lineRule="auto"/>
      <w:jc w:val="left"/>
      <w:outlineLvl w:val="0"/>
    </w:pPr>
    <w:rPr>
      <w:b/>
      <w:bCs/>
      <w:kern w:val="44"/>
      <w:sz w:val="28"/>
      <w:szCs w:val="44"/>
    </w:rPr>
  </w:style>
  <w:style w:type="paragraph" w:styleId="2">
    <w:name w:val="heading 2"/>
    <w:basedOn w:val="a"/>
    <w:next w:val="a"/>
    <w:uiPriority w:val="9"/>
    <w:unhideWhenUsed/>
    <w:qFormat/>
    <w:pPr>
      <w:keepNext/>
      <w:keepLines/>
      <w:ind w:leftChars="100" w:left="210" w:rightChars="100" w:right="100"/>
      <w:jc w:val="left"/>
      <w:outlineLvl w:val="1"/>
    </w:pPr>
    <w:rPr>
      <w:rFonts w:asciiTheme="majorHAnsi" w:eastAsiaTheme="majorEastAsia" w:hAnsiTheme="majorHAnsi" w:cstheme="majorBidi"/>
      <w:b/>
      <w:bCs/>
      <w:sz w:val="24"/>
      <w:szCs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semiHidden/>
    <w:unhideWhenUsed/>
    <w:qFormat/>
    <w:rPr>
      <w:rFonts w:ascii="Arial" w:eastAsia="黑体" w:hAnsi="Arial"/>
      <w:sz w:val="20"/>
    </w:rPr>
  </w:style>
  <w:style w:type="paragraph" w:styleId="a5">
    <w:name w:val="Body Text"/>
    <w:basedOn w:val="a"/>
    <w:qFormat/>
    <w:pPr>
      <w:spacing w:before="180" w:after="180"/>
    </w:pPr>
  </w:style>
  <w:style w:type="paragraph" w:styleId="a6">
    <w:name w:val="Block Text"/>
    <w:basedOn w:val="a5"/>
    <w:next w:val="a5"/>
    <w:uiPriority w:val="9"/>
    <w:unhideWhenUsed/>
    <w:qFormat/>
    <w:pPr>
      <w:spacing w:before="100" w:after="100"/>
      <w:ind w:left="480" w:right="480"/>
    </w:pPr>
  </w:style>
  <w:style w:type="paragraph" w:styleId="TOC3">
    <w:name w:val="toc 3"/>
    <w:basedOn w:val="a"/>
    <w:next w:val="a"/>
    <w:pPr>
      <w:ind w:leftChars="400" w:left="840"/>
    </w:pPr>
  </w:style>
  <w:style w:type="paragraph" w:styleId="a7">
    <w:name w:val="footer"/>
    <w:basedOn w:val="a"/>
    <w:pPr>
      <w:tabs>
        <w:tab w:val="center" w:pos="4153"/>
        <w:tab w:val="right" w:pos="8306"/>
      </w:tabs>
      <w:snapToGrid w:val="0"/>
      <w:jc w:val="left"/>
    </w:pPr>
    <w:rPr>
      <w:sz w:val="18"/>
    </w:rPr>
  </w:style>
  <w:style w:type="paragraph" w:styleId="a8">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style>
  <w:style w:type="paragraph" w:styleId="TOC2">
    <w:name w:val="toc 2"/>
    <w:basedOn w:val="a"/>
    <w:next w:val="a"/>
    <w:pPr>
      <w:ind w:leftChars="200" w:left="420"/>
    </w:pPr>
  </w:style>
  <w:style w:type="paragraph" w:styleId="a9">
    <w:name w:val="Normal (Web)"/>
    <w:basedOn w:val="a"/>
    <w:pPr>
      <w:spacing w:beforeAutospacing="1" w:afterAutospacing="1"/>
      <w:jc w:val="left"/>
    </w:pPr>
    <w:rPr>
      <w:rFonts w:cs="Times New Roman"/>
      <w:kern w:val="0"/>
      <w:sz w:val="24"/>
    </w:r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a5"/>
    <w:qFormat/>
    <w:pPr>
      <w:spacing w:before="36" w:after="36"/>
    </w:pPr>
  </w:style>
  <w:style w:type="paragraph" w:customStyle="1" w:styleId="FirstParagraph">
    <w:name w:val="First Paragraph"/>
    <w:basedOn w:val="a5"/>
    <w:next w:val="a5"/>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4"/>
    <w:link w:val="SourceCode"/>
    <w:qFormat/>
    <w:rPr>
      <w:rFonts w:ascii="Arial" w:eastAsia="黑体" w:hAnsi="Arial"/>
      <w:sz w:val="20"/>
    </w:rPr>
  </w:style>
  <w:style w:type="character" w:customStyle="1" w:styleId="a4">
    <w:name w:val="题注 字符"/>
    <w:basedOn w:val="a0"/>
    <w:link w:val="a3"/>
    <w:qFormat/>
    <w:rPr>
      <w:rFonts w:ascii="Arial" w:eastAsia="黑体" w:hAnsi="Arial"/>
      <w:sz w:val="20"/>
    </w:rPr>
  </w:style>
  <w:style w:type="paragraph" w:customStyle="1" w:styleId="SourceCode">
    <w:name w:val="Source Code"/>
    <w:basedOn w:val="a"/>
    <w:link w:val="VerbatimChar"/>
    <w:pPr>
      <w:wordWrap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64583">
      <w:bodyDiv w:val="1"/>
      <w:marLeft w:val="0"/>
      <w:marRight w:val="0"/>
      <w:marTop w:val="0"/>
      <w:marBottom w:val="0"/>
      <w:divBdr>
        <w:top w:val="none" w:sz="0" w:space="0" w:color="auto"/>
        <w:left w:val="none" w:sz="0" w:space="0" w:color="auto"/>
        <w:bottom w:val="none" w:sz="0" w:space="0" w:color="auto"/>
        <w:right w:val="none" w:sz="0" w:space="0" w:color="auto"/>
      </w:divBdr>
    </w:div>
    <w:div w:id="152766672">
      <w:bodyDiv w:val="1"/>
      <w:marLeft w:val="0"/>
      <w:marRight w:val="0"/>
      <w:marTop w:val="0"/>
      <w:marBottom w:val="0"/>
      <w:divBdr>
        <w:top w:val="none" w:sz="0" w:space="0" w:color="auto"/>
        <w:left w:val="none" w:sz="0" w:space="0" w:color="auto"/>
        <w:bottom w:val="none" w:sz="0" w:space="0" w:color="auto"/>
        <w:right w:val="none" w:sz="0" w:space="0" w:color="auto"/>
      </w:divBdr>
    </w:div>
    <w:div w:id="209415475">
      <w:bodyDiv w:val="1"/>
      <w:marLeft w:val="0"/>
      <w:marRight w:val="0"/>
      <w:marTop w:val="0"/>
      <w:marBottom w:val="0"/>
      <w:divBdr>
        <w:top w:val="none" w:sz="0" w:space="0" w:color="auto"/>
        <w:left w:val="none" w:sz="0" w:space="0" w:color="auto"/>
        <w:bottom w:val="none" w:sz="0" w:space="0" w:color="auto"/>
        <w:right w:val="none" w:sz="0" w:space="0" w:color="auto"/>
      </w:divBdr>
    </w:div>
    <w:div w:id="678774644">
      <w:bodyDiv w:val="1"/>
      <w:marLeft w:val="0"/>
      <w:marRight w:val="0"/>
      <w:marTop w:val="0"/>
      <w:marBottom w:val="0"/>
      <w:divBdr>
        <w:top w:val="none" w:sz="0" w:space="0" w:color="auto"/>
        <w:left w:val="none" w:sz="0" w:space="0" w:color="auto"/>
        <w:bottom w:val="none" w:sz="0" w:space="0" w:color="auto"/>
        <w:right w:val="none" w:sz="0" w:space="0" w:color="auto"/>
      </w:divBdr>
    </w:div>
    <w:div w:id="945968364">
      <w:bodyDiv w:val="1"/>
      <w:marLeft w:val="0"/>
      <w:marRight w:val="0"/>
      <w:marTop w:val="0"/>
      <w:marBottom w:val="0"/>
      <w:divBdr>
        <w:top w:val="none" w:sz="0" w:space="0" w:color="auto"/>
        <w:left w:val="none" w:sz="0" w:space="0" w:color="auto"/>
        <w:bottom w:val="none" w:sz="0" w:space="0" w:color="auto"/>
        <w:right w:val="none" w:sz="0" w:space="0" w:color="auto"/>
      </w:divBdr>
    </w:div>
    <w:div w:id="988707209">
      <w:bodyDiv w:val="1"/>
      <w:marLeft w:val="0"/>
      <w:marRight w:val="0"/>
      <w:marTop w:val="0"/>
      <w:marBottom w:val="0"/>
      <w:divBdr>
        <w:top w:val="none" w:sz="0" w:space="0" w:color="auto"/>
        <w:left w:val="none" w:sz="0" w:space="0" w:color="auto"/>
        <w:bottom w:val="none" w:sz="0" w:space="0" w:color="auto"/>
        <w:right w:val="none" w:sz="0" w:space="0" w:color="auto"/>
      </w:divBdr>
    </w:div>
    <w:div w:id="1484659800">
      <w:bodyDiv w:val="1"/>
      <w:marLeft w:val="0"/>
      <w:marRight w:val="0"/>
      <w:marTop w:val="0"/>
      <w:marBottom w:val="0"/>
      <w:divBdr>
        <w:top w:val="none" w:sz="0" w:space="0" w:color="auto"/>
        <w:left w:val="none" w:sz="0" w:space="0" w:color="auto"/>
        <w:bottom w:val="none" w:sz="0" w:space="0" w:color="auto"/>
        <w:right w:val="none" w:sz="0" w:space="0" w:color="auto"/>
      </w:divBdr>
    </w:div>
    <w:div w:id="1494953459">
      <w:bodyDiv w:val="1"/>
      <w:marLeft w:val="0"/>
      <w:marRight w:val="0"/>
      <w:marTop w:val="0"/>
      <w:marBottom w:val="0"/>
      <w:divBdr>
        <w:top w:val="none" w:sz="0" w:space="0" w:color="auto"/>
        <w:left w:val="none" w:sz="0" w:space="0" w:color="auto"/>
        <w:bottom w:val="none" w:sz="0" w:space="0" w:color="auto"/>
        <w:right w:val="none" w:sz="0" w:space="0" w:color="auto"/>
      </w:divBdr>
    </w:div>
    <w:div w:id="1554268996">
      <w:bodyDiv w:val="1"/>
      <w:marLeft w:val="0"/>
      <w:marRight w:val="0"/>
      <w:marTop w:val="0"/>
      <w:marBottom w:val="0"/>
      <w:divBdr>
        <w:top w:val="none" w:sz="0" w:space="0" w:color="auto"/>
        <w:left w:val="none" w:sz="0" w:space="0" w:color="auto"/>
        <w:bottom w:val="none" w:sz="0" w:space="0" w:color="auto"/>
        <w:right w:val="none" w:sz="0" w:space="0" w:color="auto"/>
      </w:divBdr>
    </w:div>
    <w:div w:id="16097719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9F594C-4A71-7940-BD5A-07BC0B0A6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34</Pages>
  <Words>5453</Words>
  <Characters>31088</Characters>
  <Application>Microsoft Office Word</Application>
  <DocSecurity>0</DocSecurity>
  <Lines>259</Lines>
  <Paragraphs>72</Paragraphs>
  <ScaleCrop>false</ScaleCrop>
  <Company/>
  <LinksUpToDate>false</LinksUpToDate>
  <CharactersWithSpaces>36469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biu一个老瘚</dc:creator>
  <cp:lastModifiedBy>Microsoft Office User</cp:lastModifiedBy>
  <cp:revision>5</cp:revision>
  <dcterms:created xsi:type="dcterms:W3CDTF">2026-02-11T01:20:00Z</dcterms:created>
  <dcterms:modified xsi:type="dcterms:W3CDTF">2026-02-15T13:52:00Z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D14CDE235DE6464E8B1E09CD58CA68E4_13</vt:lpwstr>
  </property>
  <property fmtid="{D5CDD505-2E9C-101B-9397-08002B2CF9AE}" pid="4" name="KSOTemplateDocerSaveRecord">
    <vt:lpwstr>eyJoZGlkIjoiNTY5MjNmZjM3ZjEyMjAzNmQ4ZWJkNDkwNTIxOGNlMDciLCJ1c2VySWQiOiI4OTU5NzY5NjYifQ==</vt:lpwstr>
  </property>
</Properties>
</file>