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報血仇者</w:t>
      </w:r>
      <w:r>
        <w:rPr>
          <w:lang w:val="zh_TW" w:bidi="zh_TW"/>
        </w:rPr>
      </w:r>
    </w:p>
    <w:p>
      <w:pPr>
        <w:pStyle w:val="Heading2"/>
      </w:pPr>
      <w:r>
        <w:rPr>
          <w:lang w:val="zh_TW" w:bidi="zh_TW"/>
        </w:rPr>
        <w:t>報血仇者</w:t>
      </w:r>
    </w:p>
    <w:p>
      <w:pPr/>
      <w:r>
        <w:rPr>
          <w:lang w:val="zh_TW" w:bidi="zh_TW"/>
        </w:rPr>
      </w:r>
      <w:r>
        <w:rPr>
          <w:lang w:val="zh_TW" w:bidi="zh_TW"/>
        </w:rPr>
        <w:t>報血仇者（</w:t>
      </w:r>
      <w:r>
        <w:rPr>
          <w:lang w:val="zh_TW" w:bidi="zh_TW"/>
        </w:rPr>
        <w:t>Avenger of Blood</w:t>
      </w:r>
      <w:r>
        <w:rPr>
          <w:lang w:val="zh_TW" w:bidi="zh_TW"/>
        </w:rPr>
        <w:t>）指追捕並最終處決近親被害者的兇手（</w:t>
      </w:r>
      <w:hyperlink r:id="rId13">
        <w:r>
          <w:rPr>
            <w:lang w:val="zh_TW" w:bidi="zh_TW"/>
          </w:rPr>
          <w:rPr>
            <w:color w:val="0000EE"/>
            <w:u w:val="single"/>
          </w:rPr>
          <w:t>民35章</w:t>
        </w:r>
      </w:hyperlink>
      <w:r>
        <w:rPr>
          <w:lang w:val="zh_TW" w:bidi="zh_TW"/>
        </w:rPr>
        <w:t>）。這位「救贖者／至近親屬的伸冤者」在蓄意殺人案件中被期待要出面去報仇，但若屬意外誤殺則不在此限。犯了誤殺的人可以逃入六座指定的逃城之中尋求庇護（</w:t>
      </w:r>
      <w:hyperlink r:id="rId14">
        <w:r>
          <w:rPr>
            <w:lang w:val="zh_TW" w:bidi="zh_TW"/>
          </w:rPr>
          <w:rPr>
            <w:color w:val="0000EE"/>
            <w:u w:val="single"/>
          </w:rPr>
          <w:t>民35:11</w:t>
        </w:r>
      </w:hyperlink>
      <w:r>
        <w:rPr>
          <w:lang w:val="zh_TW" w:bidi="zh_TW"/>
        </w:rPr>
        <w:t>），以確保適當的法律程序能夠進行。在以下的故事中提到報血仇者的角色：</w:t>
      </w:r>
    </w:p>
    <w:p>
      <w:pPr>
        <w:pStyle w:val="ListBullet"/>
        <w:spacing w:line="240" w:lineRule="auto"/>
        <w:ind w:left="720"/>
      </w:pPr>
      <w:r>
        <w:rPr>
          <w:lang w:val="zh_TW" w:bidi="zh_TW"/>
        </w:rPr>
      </w:r>
      <w:r>
        <w:rPr>
          <w:lang w:val="zh_TW" w:bidi="zh_TW"/>
        </w:rPr>
        <w:t>基甸（</w:t>
      </w:r>
      <w:hyperlink r:id="rId15">
        <w:r>
          <w:rPr>
            <w:lang w:val="zh_TW" w:bidi="zh_TW"/>
          </w:rPr>
          <w:rPr>
            <w:color w:val="0000EE"/>
            <w:u w:val="single"/>
          </w:rPr>
          <w:t>士8:18–21</w:t>
        </w:r>
      </w:hyperlink>
      <w:r>
        <w:rPr>
          <w:lang w:val="zh_TW" w:bidi="zh_TW"/>
        </w:rPr>
        <w:t>）</w:t>
      </w:r>
    </w:p>
    <w:p>
      <w:pPr>
        <w:pStyle w:val="ListBullet"/>
        <w:spacing w:line="240" w:lineRule="auto"/>
        <w:ind w:left="720"/>
      </w:pPr>
      <w:r>
        <w:rPr>
          <w:lang w:val="zh_TW" w:bidi="zh_TW"/>
        </w:rPr>
      </w:r>
      <w:r>
        <w:rPr>
          <w:lang w:val="zh_TW" w:bidi="zh_TW"/>
        </w:rPr>
        <w:t>約押（</w:t>
      </w:r>
      <w:hyperlink r:id="rId16">
        <w:r>
          <w:rPr>
            <w:lang w:val="zh_TW" w:bidi="zh_TW"/>
          </w:rPr>
          <w:rPr>
            <w:color w:val="0000EE"/>
            <w:u w:val="single"/>
          </w:rPr>
          <w:t>撒下3:27</w:t>
        </w:r>
      </w:hyperlink>
      <w:r>
        <w:rPr>
          <w:lang w:val="zh_TW" w:bidi="zh_TW"/>
        </w:rPr>
        <w:t>、</w:t>
      </w:r>
      <w:hyperlink r:id="rId16">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基遍人（</w:t>
      </w:r>
      <w:hyperlink r:id="rId17">
        <w:r>
          <w:rPr>
            <w:lang w:val="zh_TW" w:bidi="zh_TW"/>
          </w:rPr>
          <w:rPr>
            <w:color w:val="0000EE"/>
            <w:u w:val="single"/>
          </w:rPr>
          <w:t>撒下21</w:t>
        </w:r>
      </w:hyperlink>
      <w:r>
        <w:rPr>
          <w:lang w:val="zh_TW" w:bidi="zh_TW"/>
        </w:rPr>
        <w:t>）</w:t>
      </w:r>
    </w:p>
    <w:p>
      <w:pPr>
        <w:pStyle w:val="ListBullet"/>
        <w:spacing w:line="240" w:lineRule="auto"/>
        <w:ind w:left="720"/>
      </w:pPr>
      <w:r>
        <w:rPr>
          <w:lang w:val="zh_TW" w:bidi="zh_TW"/>
        </w:rPr>
      </w:r>
      <w:r>
        <w:rPr>
          <w:lang w:val="zh_TW" w:bidi="zh_TW"/>
        </w:rPr>
        <w:t>亞瑪謝（</w:t>
      </w:r>
      <w:hyperlink r:id="rId18">
        <w:r>
          <w:rPr>
            <w:lang w:val="zh_TW" w:bidi="zh_TW"/>
          </w:rPr>
          <w:rPr>
            <w:color w:val="0000EE"/>
            <w:u w:val="single"/>
          </w:rPr>
          <w:t>王下14:5–6</w:t>
        </w:r>
      </w:hyperlink>
      <w:r>
        <w:rPr>
          <w:lang w:val="zh_TW" w:bidi="zh_TW"/>
        </w:rPr>
        <w:t>）</w:t>
      </w:r>
    </w:p>
    <w:p>
      <w:pPr/>
      <w:r>
        <w:rPr>
          <w:lang w:val="zh_TW" w:bidi="zh_TW"/>
        </w:rPr>
      </w:r>
      <w:r>
        <w:rPr>
          <w:lang w:val="zh_TW" w:bidi="zh_TW"/>
        </w:rPr>
        <w:t>在君主制時代，君王可以阻止報血仇者（</w:t>
      </w:r>
      <w:hyperlink r:id="rId19">
        <w:r>
          <w:rPr>
            <w:lang w:val="zh_TW" w:bidi="zh_TW"/>
          </w:rPr>
          <w:rPr>
            <w:color w:val="0000EE"/>
            <w:u w:val="single"/>
          </w:rPr>
          <w:t>撒下14:8–11</w:t>
        </w:r>
      </w:hyperlink>
      <w:r>
        <w:rPr>
          <w:lang w:val="zh_TW" w:bidi="zh_TW"/>
        </w:rPr>
        <w:t>）。</w:t>
      </w:r>
    </w:p>
    <w:p>
      <w:pPr/>
      <w:r>
        <w:rPr>
          <w:lang w:val="zh_TW" w:bidi="zh_TW"/>
        </w:rPr>
      </w:r>
      <w:r>
        <w:rPr>
          <w:lang w:val="zh_TW" w:bidi="zh_TW"/>
        </w:rPr>
        <w:t>此習俗根源於神的命令，即在故意殺人的情況下，要以命償命（</w:t>
      </w:r>
      <w:hyperlink r:id="rId20">
        <w:r>
          <w:rPr>
            <w:lang w:val="zh_TW" w:bidi="zh_TW"/>
          </w:rPr>
          <w:rPr>
            <w:color w:val="0000EE"/>
            <w:u w:val="single"/>
          </w:rPr>
          <w:t>創9:6</w:t>
        </w:r>
      </w:hyperlink>
      <w:r>
        <w:rPr>
          <w:lang w:val="zh_TW" w:bidi="zh_TW"/>
        </w:rPr>
        <w:t>）。不幸的是，法律的目標——強調人類生命的重要性——有時會被誤解，導致社會中一些血仇相報，甚至造成滅門慘劇。</w:t>
      </w:r>
    </w:p>
    <w:p>
      <w:pPr/>
      <w:r>
        <w:rPr>
          <w:lang w:val="zh_TW" w:bidi="zh_TW"/>
        </w:rPr>
      </w:r>
      <w:r>
        <w:rPr>
          <w:i/>
          <w:lang w:val="zh_TW" w:bidi="zh_TW"/>
        </w:rPr>
        <w:t>另見</w:t>
      </w:r>
      <w:r>
        <w:rPr>
          <w:lang w:val="zh_TW" w:bidi="zh_TW"/>
        </w:rPr>
        <w:t>民事法律與司法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Num35:34" TargetMode="External"/><Relationship Id="rId14" Type="http://schemas.openxmlformats.org/officeDocument/2006/relationships/hyperlink" Target="https://ref.ly/Num35:11" TargetMode="External"/><Relationship Id="rId15" Type="http://schemas.openxmlformats.org/officeDocument/2006/relationships/hyperlink" Target="https://ref.ly/Judg8:18-Judg8:21" TargetMode="External"/><Relationship Id="rId16" Type="http://schemas.openxmlformats.org/officeDocument/2006/relationships/hyperlink" Target="https://ref.ly/2Sam3:27,2Sam3:30" TargetMode="External"/><Relationship Id="rId17" Type="http://schemas.openxmlformats.org/officeDocument/2006/relationships/hyperlink" Target="https://ref.ly/2Sam21:1-2Sam21:22" TargetMode="External"/><Relationship Id="rId18" Type="http://schemas.openxmlformats.org/officeDocument/2006/relationships/hyperlink" Target="https://ref.ly/2Kgs14:5-2Kgs14:6" TargetMode="External"/><Relationship Id="rId19" Type="http://schemas.openxmlformats.org/officeDocument/2006/relationships/hyperlink" Target="https://ref.ly/2Sam14:8-2Sam14:11" TargetMode="External"/><Relationship Id="rId20" Type="http://schemas.openxmlformats.org/officeDocument/2006/relationships/hyperlink" Target="https://ref.ly/Gen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