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hyperlink r:id="rId13">
        <w:r>
          <w:rPr>
            <w:lang w:val="id_ID" w:bidi="id_ID"/>
          </w:rPr>
          <w:rPr>
            <w:color w:val="0000EE"/>
            <w:u w:val="single"/>
          </w:rPr>
          <w:t>Kej. 10:22</w:t>
        </w:r>
      </w:hyperlink>
      <w:r>
        <w:rPr>
          <w:lang w:val="id_ID" w:bidi="id_ID"/>
        </w:rPr>
        <w:t>), dan dalam kitab Kisah Para Rasul dilaporkan bahwa di antara orang Israel yang hadir di Yerusalem untuk Hari Raya Pentakosta, ada beberapa orang yang berasal dari daerah Elam yang lama (</w:t>
      </w:r>
      <w:hyperlink r:id="rId14">
        <w:r>
          <w:rPr>
            <w:lang w:val="id_ID" w:bidi="id_ID"/>
          </w:rPr>
          <w:rPr>
            <w:color w:val="0000EE"/>
            <w:u w:val="single"/>
          </w:rPr>
          <w:t>Kisah 2:9</w:t>
        </w:r>
      </w:hyperlink>
      <w:r>
        <w:rPr>
          <w:lang w:val="id_ID" w:bidi="id_ID"/>
        </w:rPr>
        <w:t>). Yesaya menubuatkan bahwa orang-orang Yahudi yang terbawa ke pembuangan ke Babel akan kembali dari tempat-tempat seperti Elam (</w:t>
      </w:r>
      <w:hyperlink r:id="rId15">
        <w:r>
          <w:rPr>
            <w:lang w:val="id_ID" w:bidi="id_ID"/>
          </w:rPr>
          <w:rPr>
            <w:color w:val="0000EE"/>
            <w:u w:val="single"/>
          </w:rPr>
          <w:t>Yes. 11:11</w:t>
        </w:r>
      </w:hyperlink>
      <w:r>
        <w:rPr>
          <w:lang w:val="id_ID" w:bidi="id_ID"/>
        </w:rPr>
        <w:t>); tetapi kemungkinan besar mereka adalah orang-orang Yahudi berbahasa Aram yang memutuskan untuk tidak kembali ke tanah air mereka menyusul maklumat pemulangan yang dikeluarkan oleh Koresy dari Persia (</w:t>
      </w:r>
      <w:hyperlink r:id="rId16">
        <w:r>
          <w:rPr>
            <w:lang w:val="id_ID" w:bidi="id_ID"/>
          </w:rPr>
          <w:rPr>
            <w:color w:val="0000EE"/>
            <w:u w:val="single"/>
          </w:rPr>
          <w:t>Ezr. 1:1–4</w:t>
        </w:r>
      </w:hyperlink>
      <w:r>
        <w:rPr>
          <w:lang w:val="id_ID" w:bidi="id_ID"/>
        </w:rPr>
        <w:t>). Nama Kedorlaomer, raja Elam (</w:t>
      </w:r>
      <w:hyperlink r:id="rId17">
        <w:r>
          <w:rPr>
            <w:lang w:val="id_ID" w:bidi="id_ID"/>
          </w:rPr>
          <w:rPr>
            <w:color w:val="0000EE"/>
            <w:u w:val="single"/>
          </w:rPr>
          <w:t>Kej. 14:1</w:t>
        </w:r>
      </w:hyperlink>
      <w:r>
        <w:rPr>
          <w:lang w:val="id_ID" w:bidi="id_ID"/>
        </w:rPr>
        <w:t>), jelas merupakan nama asli orang Elam, sehingga memberikan dukungan tambahan bagi keakuratan narasi sejarah dalam kitab Kejadian. Penglihatan Daniel di Susan di provinsi Elam (</w:t>
      </w:r>
      <w:hyperlink r:id="rId18">
        <w:r>
          <w:rPr>
            <w:lang w:val="id_ID" w:bidi="id_ID"/>
          </w:rPr>
          <w:rPr>
            <w:color w:val="0000EE"/>
            <w:u w:val="single"/>
          </w:rPr>
          <w:t>Dan 8:2</w:t>
        </w:r>
      </w:hyperlink>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hyperlink r:id="rId19">
        <w:r>
          <w:rPr>
            <w:lang w:val="id_ID" w:bidi="id_ID"/>
          </w:rPr>
          <w:rPr>
            <w:color w:val="0000EE"/>
            <w:u w:val="single"/>
          </w:rPr>
          <w:t>Yes. 21:2</w:t>
        </w:r>
      </w:hyperlink>
      <w:r>
        <w:rPr>
          <w:lang w:val="id_ID" w:bidi="id_ID"/>
        </w:rPr>
        <w:t>); namun, hanya ada sedikit informasi mengenai peran Elam dalam penggulingan Babel pada tahun 540 SM. Elam, bersama dengan bangsa-bangsa pemberontak lainnya, pada akhirnya akan mengalami cawan murka Tuhan (</w:t>
      </w:r>
      <w:hyperlink r:id="rId20">
        <w:r>
          <w:rPr>
            <w:lang w:val="id_ID" w:bidi="id_ID"/>
          </w:rPr>
          <w:rPr>
            <w:color w:val="0000EE"/>
            <w:u w:val="single"/>
          </w:rPr>
          <w:t>Yer. 25:15–26</w:t>
        </w:r>
      </w:hyperlink>
      <w:r>
        <w:rPr>
          <w:lang w:val="id_ID" w:bidi="id_ID"/>
        </w:rPr>
        <w:t>). Bahkan para pemanahnya yang terkenal di dunia pun tidak akan menjadi tandingan Tuhan semesta alam (</w:t>
      </w:r>
      <w:hyperlink r:id="rId21">
        <w:r>
          <w:rPr>
            <w:lang w:val="id_ID" w:bidi="id_ID"/>
          </w:rPr>
          <w:rPr>
            <w:color w:val="0000EE"/>
            <w:u w:val="single"/>
          </w:rPr>
          <w:t>Yes. 22:6–12</w:t>
        </w:r>
      </w:hyperlink>
      <w:r>
        <w:rPr>
          <w:lang w:val="id_ID" w:bidi="id_ID"/>
        </w:rPr>
        <w:t xml:space="preserve">; </w:t>
      </w:r>
      <w:hyperlink r:id="rId22">
        <w:r>
          <w:rPr>
            <w:lang w:val="id_ID" w:bidi="id_ID"/>
          </w:rPr>
          <w:rPr>
            <w:color w:val="0000EE"/>
            <w:u w:val="single"/>
          </w:rPr>
          <w:t>Yer. 49:35</w:t>
        </w:r>
      </w:hyperlink>
      <w:r>
        <w:rPr>
          <w:lang w:val="id_ID" w:bidi="id_ID"/>
        </w:rPr>
        <w:t xml:space="preserve">; </w:t>
      </w:r>
      <w:hyperlink r:id="rId23">
        <w:r>
          <w:rPr>
            <w:lang w:val="id_ID" w:bidi="id_ID"/>
          </w:rPr>
          <w:rPr>
            <w:color w:val="0000EE"/>
            <w:u w:val="single"/>
          </w:rPr>
          <w:t>Yeh. 32:24</w:t>
        </w:r>
      </w:hyperlink>
      <w:r>
        <w:rPr>
          <w:lang w:val="id_ID" w:bidi="id_ID"/>
        </w:rPr>
        <w:t>). Ratapan Yehezkiel terhadap Elam secara dramatis menggambarkan kengerian kuburan yang tidak mengenal Tuhan (</w:t>
      </w:r>
      <w:hyperlink r:id="rId24">
        <w:r>
          <w:rPr>
            <w:lang w:val="id_ID" w:bidi="id_ID"/>
          </w:rPr>
          <w:rPr>
            <w:color w:val="0000EE"/>
            <w:u w:val="single"/>
          </w:rPr>
          <w:t>Yeh. 32:24–25</w:t>
        </w:r>
      </w:hyperlink>
      <w:r>
        <w:rPr>
          <w:lang w:val="id_ID" w:bidi="id_ID"/>
        </w:rPr>
        <w:t>). Yeremia memperingatkan bangsa Elam bahwa mereka tidak dapat melarikan diri dari penghakiman Allah, yang dipastikan dengan kehadiran takhta-Nya di tengah-tengah mereka (</w:t>
      </w:r>
      <w:hyperlink r:id="rId25">
        <w:r>
          <w:rPr>
            <w:lang w:val="id_ID" w:bidi="id_ID"/>
          </w:rPr>
          <w:rPr>
            <w:color w:val="0000EE"/>
            <w:u w:val="single"/>
          </w:rPr>
          <w:t>Yer. 49:38</w:t>
        </w:r>
      </w:hyperlink>
      <w:r>
        <w:rPr>
          <w:lang w:val="id_ID" w:bidi="id_ID"/>
        </w:rPr>
        <w:t xml:space="preserve">). Namun, kehancuran Elam, meskipun secara politis telah tuntas dengan penaklukan Persia, bukan tidak dapat diperbaiki (ay. </w:t>
      </w:r>
      <w:hyperlink r:id="rId26">
        <w:r>
          <w:rPr>
            <w:lang w:val="id_ID" w:bidi="id_ID"/>
          </w:rPr>
          <w:rPr>
            <w:color w:val="0000EE"/>
            <w:u w:val="single"/>
          </w:rPr>
          <w:t>39</w:t>
        </w:r>
      </w:hyperlink>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hyperlink r:id="rId27">
        <w:r>
          <w:rPr>
            <w:lang w:val="id_ID" w:bidi="id_ID"/>
          </w:rPr>
          <w:rPr>
            <w:color w:val="0000EE"/>
            <w:u w:val="single"/>
          </w:rPr>
          <w:t>Ibr. 9:27</w:t>
        </w:r>
      </w:hyperlink>
      <w:r>
        <w:rPr>
          <w:lang w:val="id_ID" w:bidi="id_ID"/>
        </w:rPr>
        <w:t>), kecuali orang-orang yang masih hidup ketika Kristus datang kembali (</w:t>
      </w:r>
      <w:hyperlink r:id="rId28">
        <w:r>
          <w:rPr>
            <w:lang w:val="id_ID" w:bidi="id_ID"/>
          </w:rPr>
          <w:rPr>
            <w:color w:val="0000EE"/>
            <w:u w:val="single"/>
          </w:rPr>
          <w:t>1Tes. 4:17</w:t>
        </w:r>
      </w:hyperlink>
      <w:r>
        <w:rPr>
          <w:lang w:val="id_ID" w:bidi="id_ID"/>
        </w:rPr>
        <w:t>). Kematian fisik, atau "kematian pertama," adalah terpisahnya jiwa dari tubuh. Karena adanya dosa di dunia, setiap orang harus mati (</w:t>
      </w:r>
      <w:hyperlink r:id="rId29">
        <w:r>
          <w:rPr>
            <w:lang w:val="id_ID" w:bidi="id_ID"/>
          </w:rPr>
          <w:rPr>
            <w:color w:val="0000EE"/>
            <w:u w:val="single"/>
          </w:rPr>
          <w:t>Rm. 5:12</w:t>
        </w:r>
      </w:hyperlink>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hyperlink r:id="rId30">
        <w:r>
          <w:rPr>
            <w:lang w:val="id_ID" w:bidi="id_ID"/>
          </w:rPr>
          <w:rPr>
            <w:color w:val="0000EE"/>
            <w:u w:val="single"/>
          </w:rPr>
          <w:t>Kisah 1:11</w:t>
        </w:r>
      </w:hyperlink>
      <w:r>
        <w:rPr>
          <w:lang w:val="id_ID" w:bidi="id_ID"/>
        </w:rPr>
        <w:t>). Tidak ada yang tahu persis kapan hal ini akan terjadi, karena itu, peristiwa ini akan mengejutkan sebagian orang, sebab datangnya seperti pencuri pada malam hari (</w:t>
      </w:r>
      <w:hyperlink r:id="rId31">
        <w:r>
          <w:rPr>
            <w:lang w:val="id_ID" w:bidi="id_ID"/>
          </w:rPr>
          <w:rPr>
            <w:color w:val="0000EE"/>
            <w:u w:val="single"/>
          </w:rPr>
          <w:t>Luk. 12:39–40</w:t>
        </w:r>
      </w:hyperlink>
      <w:r>
        <w:rPr>
          <w:lang w:val="id_ID" w:bidi="id_ID"/>
        </w:rPr>
        <w:t xml:space="preserve">). Meskipun waktunya tidak diketahui, fakta bahwa hal itu akan terjadi sangat pasti. Banyak perumpamaan Yesus (terutama dalam </w:t>
      </w:r>
      <w:hyperlink r:id="rId32">
        <w:r>
          <w:rPr>
            <w:lang w:val="id_ID" w:bidi="id_ID"/>
          </w:rPr>
          <w:rPr>
            <w:color w:val="0000EE"/>
            <w:u w:val="single"/>
          </w:rPr>
          <w:t>Mat. 24–25</w:t>
        </w:r>
      </w:hyperlink>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hyperlink r:id="rId33">
        <w:r>
          <w:rPr>
            <w:lang w:val="id_ID" w:bidi="id_ID"/>
          </w:rPr>
          <w:rPr>
            <w:color w:val="0000EE"/>
            <w:u w:val="single"/>
          </w:rPr>
          <w:t>1Kor. 15:35–56</w:t>
        </w:r>
      </w:hyperlink>
      <w:r>
        <w:rPr>
          <w:lang w:val="id_ID" w:bidi="id_ID"/>
        </w:rPr>
        <w:t>). Alkitab juga mengindikasikan adanya kebangkitan orang-orang yang tidak percaya, menuju kematian kekal (</w:t>
      </w:r>
      <w:hyperlink r:id="rId34">
        <w:r>
          <w:rPr>
            <w:lang w:val="id_ID" w:bidi="id_ID"/>
          </w:rPr>
          <w:rPr>
            <w:color w:val="0000EE"/>
            <w:u w:val="single"/>
          </w:rPr>
          <w:t>Yoh. 5:28–29</w:t>
        </w:r>
      </w:hyperlink>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hyperlink r:id="rId35">
        <w:r>
          <w:rPr>
            <w:lang w:val="id_ID" w:bidi="id_ID"/>
          </w:rPr>
          <w:rPr>
            <w:color w:val="0000EE"/>
            <w:u w:val="single"/>
          </w:rPr>
          <w:t>Why. 20:4–7</w:t>
        </w:r>
      </w:hyperlink>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hyperlink r:id="rId36">
        <w:r>
          <w:rPr>
            <w:lang w:val="id_ID" w:bidi="id_ID"/>
          </w:rPr>
          <w:rPr>
            <w:color w:val="0000EE"/>
            <w:u w:val="single"/>
          </w:rPr>
          <w:t>Why. 20</w:t>
        </w:r>
      </w:hyperlink>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hyperlink r:id="rId37">
        <w:r>
          <w:rPr>
            <w:lang w:val="id_ID" w:bidi="id_ID"/>
          </w:rPr>
          <w:rPr>
            <w:color w:val="0000EE"/>
            <w:u w:val="single"/>
          </w:rPr>
          <w:t>Dan. 9:24–27</w:t>
        </w:r>
      </w:hyperlink>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2" TargetMode="External"/><Relationship Id="rId14" Type="http://schemas.openxmlformats.org/officeDocument/2006/relationships/hyperlink" Target="https://ref.ly/Acts2:9" TargetMode="External"/><Relationship Id="rId15" Type="http://schemas.openxmlformats.org/officeDocument/2006/relationships/hyperlink" Target="https://ref.ly/Isa11:11" TargetMode="External"/><Relationship Id="rId16" Type="http://schemas.openxmlformats.org/officeDocument/2006/relationships/hyperlink" Target="https://ref.ly/Ezra1:1-Ezra1:4" TargetMode="External"/><Relationship Id="rId17" Type="http://schemas.openxmlformats.org/officeDocument/2006/relationships/hyperlink" Target="https://ref.ly/Gen14:1" TargetMode="External"/><Relationship Id="rId18" Type="http://schemas.openxmlformats.org/officeDocument/2006/relationships/hyperlink" Target="https://ref.ly/Dan8:2" TargetMode="External"/><Relationship Id="rId19" Type="http://schemas.openxmlformats.org/officeDocument/2006/relationships/hyperlink" Target="https://ref.ly/Isa21:2" TargetMode="External"/><Relationship Id="rId20" Type="http://schemas.openxmlformats.org/officeDocument/2006/relationships/hyperlink" Target="https://ref.ly/Jer25:15-Jer25:26" TargetMode="External"/><Relationship Id="rId21" Type="http://schemas.openxmlformats.org/officeDocument/2006/relationships/hyperlink" Target="https://ref.ly/Isa22:6-Isa22:12" TargetMode="External"/><Relationship Id="rId22" Type="http://schemas.openxmlformats.org/officeDocument/2006/relationships/hyperlink" Target="https://ref.ly/Jer49:35" TargetMode="External"/><Relationship Id="rId23" Type="http://schemas.openxmlformats.org/officeDocument/2006/relationships/hyperlink" Target="https://ref.ly/Ezek32:24" TargetMode="External"/><Relationship Id="rId24" Type="http://schemas.openxmlformats.org/officeDocument/2006/relationships/hyperlink" Target="https://ref.ly/Ezek32:24-Ezek32:25" TargetMode="External"/><Relationship Id="rId25" Type="http://schemas.openxmlformats.org/officeDocument/2006/relationships/hyperlink" Target="https://ref.ly/Jer49:38" TargetMode="External"/><Relationship Id="rId26" Type="http://schemas.openxmlformats.org/officeDocument/2006/relationships/hyperlink" Target="https://ref.ly/Jer49:39" TargetMode="External"/><Relationship Id="rId27" Type="http://schemas.openxmlformats.org/officeDocument/2006/relationships/hyperlink" Target="https://ref.ly/Heb9:27" TargetMode="External"/><Relationship Id="rId28" Type="http://schemas.openxmlformats.org/officeDocument/2006/relationships/hyperlink" Target="https://ref.ly/1Thess4:17" TargetMode="External"/><Relationship Id="rId29" Type="http://schemas.openxmlformats.org/officeDocument/2006/relationships/hyperlink" Target="https://ref.ly/Rom5:12" TargetMode="External"/><Relationship Id="rId30" Type="http://schemas.openxmlformats.org/officeDocument/2006/relationships/hyperlink" Target="https://ref.ly/Acts1:11" TargetMode="External"/><Relationship Id="rId31" Type="http://schemas.openxmlformats.org/officeDocument/2006/relationships/hyperlink" Target="https://ref.ly/Luke12:39-Luke12:40" TargetMode="External"/><Relationship Id="rId32" Type="http://schemas.openxmlformats.org/officeDocument/2006/relationships/hyperlink" Target="https://ref.ly/Matt24:1-Matt25:46" TargetMode="External"/><Relationship Id="rId33" Type="http://schemas.openxmlformats.org/officeDocument/2006/relationships/hyperlink" Target="https://ref.ly/1Cor15:35-1Cor15:56" TargetMode="External"/><Relationship Id="rId34" Type="http://schemas.openxmlformats.org/officeDocument/2006/relationships/hyperlink" Target="https://ref.ly/John5:28-John5:29" TargetMode="External"/><Relationship Id="rId35" Type="http://schemas.openxmlformats.org/officeDocument/2006/relationships/hyperlink" Target="https://ref.ly/Rev20:4-Rev20:7" TargetMode="External"/><Relationship Id="rId36" Type="http://schemas.openxmlformats.org/officeDocument/2006/relationships/hyperlink" Target="https://ref.ly/Rev20:1-Rev20:15" TargetMode="External"/><Relationship Id="rId37" Type="http://schemas.openxmlformats.org/officeDocument/2006/relationships/hyperlink" Target="https://ref.ly/Dan9:24-Dan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