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承認</w:t>
      </w:r>
      <w:r>
        <w:rPr>
          <w:lang w:val="zh_TW" w:bidi="zh_TW"/>
        </w:rPr>
      </w:r>
    </w:p>
    <w:p>
      <w:pPr/>
      <w:r>
        <w:rPr>
          <w:lang w:val="zh_TW" w:bidi="zh_TW"/>
        </w:rPr>
      </w:r>
      <w:r>
        <w:rPr>
          <w:lang w:val="zh_TW" w:bidi="zh_TW"/>
        </w:rPr>
        <w:t>承認，特別是承認有罪或罪惡；也指宗教信仰的陳述。「承認」可以意味著同意、承諾或承認某事。</w:t>
      </w:r>
    </w:p>
    <w:p>
      <w:pPr/>
      <w:r>
        <w:rPr>
          <w:lang w:val="zh_TW" w:bidi="zh_TW"/>
        </w:rPr>
      </w:r>
      <w:r>
        <w:rPr>
          <w:lang w:val="zh_TW" w:bidi="zh_TW"/>
        </w:rPr>
        <w:t>聖經中出現了兩種類型的承認。首先，個人承認自己犯了罪，因此在神面前有罪，通常認的是具體的罪（</w:t>
      </w:r>
      <w:hyperlink r:id="rId13">
        <w:r>
          <w:rPr>
            <w:lang w:val="zh_TW" w:bidi="zh_TW"/>
          </w:rPr>
          <w:rPr>
            <w:color w:val="0000EE"/>
            <w:u w:val="single"/>
          </w:rPr>
          <w:t>利5:5</w:t>
        </w:r>
      </w:hyperlink>
      <w:r>
        <w:rPr>
          <w:lang w:val="zh_TW" w:bidi="zh_TW"/>
        </w:rPr>
        <w:t>；</w:t>
      </w:r>
      <w:hyperlink r:id="rId14">
        <w:r>
          <w:rPr>
            <w:lang w:val="zh_TW" w:bidi="zh_TW"/>
          </w:rPr>
          <w:rPr>
            <w:color w:val="0000EE"/>
            <w:u w:val="single"/>
          </w:rPr>
          <w:t>約一1:9</w:t>
        </w:r>
      </w:hyperlink>
      <w:r>
        <w:rPr>
          <w:lang w:val="zh_TW" w:bidi="zh_TW"/>
        </w:rPr>
        <w:t>）。這種認罪表示一個人同意或承認自己違背了神的律法（</w:t>
      </w:r>
      <w:hyperlink r:id="rId15">
        <w:r>
          <w:rPr>
            <w:lang w:val="zh_TW" w:bidi="zh_TW"/>
          </w:rPr>
          <w:rPr>
            <w:color w:val="0000EE"/>
            <w:u w:val="single"/>
          </w:rPr>
          <w:t>詩119:126</w:t>
        </w:r>
      </w:hyperlink>
      <w:r>
        <w:rPr>
          <w:lang w:val="zh_TW" w:bidi="zh_TW"/>
        </w:rPr>
        <w:t>），也承認自己應該擔當罪的懲罰（</w:t>
      </w:r>
      <w:hyperlink r:id="rId16">
        <w:r>
          <w:rPr>
            <w:lang w:val="zh_TW" w:bidi="zh_TW"/>
          </w:rPr>
          <w:rPr>
            <w:color w:val="0000EE"/>
            <w:u w:val="single"/>
          </w:rPr>
          <w:t>羅6:23</w:t>
        </w:r>
      </w:hyperlink>
      <w:r>
        <w:rPr>
          <w:lang w:val="zh_TW" w:bidi="zh_TW"/>
        </w:rPr>
        <w:t>），並且在某些方面未達到神的聖潔標準（</w:t>
      </w:r>
      <w:hyperlink r:id="rId17">
        <w:r>
          <w:rPr>
            <w:lang w:val="zh_TW" w:bidi="zh_TW"/>
          </w:rPr>
          <w:rPr>
            <w:color w:val="0000EE"/>
            <w:u w:val="single"/>
          </w:rPr>
          <w:t>利19:2</w:t>
        </w:r>
      </w:hyperlink>
      <w:r>
        <w:rPr>
          <w:lang w:val="zh_TW" w:bidi="zh_TW"/>
        </w:rPr>
        <w:t>；</w:t>
      </w:r>
      <w:hyperlink r:id="rId18">
        <w:r>
          <w:rPr>
            <w:lang w:val="zh_TW" w:bidi="zh_TW"/>
          </w:rPr>
          <w:rPr>
            <w:color w:val="0000EE"/>
            <w:u w:val="single"/>
          </w:rPr>
          <w:t>太5:48</w:t>
        </w:r>
      </w:hyperlink>
      <w:r>
        <w:rPr>
          <w:lang w:val="zh_TW" w:bidi="zh_TW"/>
        </w:rPr>
        <w:t>）。</w:t>
      </w:r>
    </w:p>
    <w:p>
      <w:pPr/>
      <w:r>
        <w:rPr>
          <w:lang w:val="zh_TW" w:bidi="zh_TW"/>
        </w:rPr>
      </w:r>
      <w:r>
        <w:rPr>
          <w:lang w:val="zh_TW" w:bidi="zh_TW"/>
        </w:rPr>
        <w:t>在舊約時代，大祭司會為全國的罪認罪（</w:t>
      </w:r>
      <w:hyperlink r:id="rId19">
        <w:r>
          <w:rPr>
            <w:lang w:val="zh_TW" w:bidi="zh_TW"/>
          </w:rPr>
          <w:rPr>
            <w:color w:val="0000EE"/>
            <w:u w:val="single"/>
          </w:rPr>
          <w:t>利16:21</w:t>
        </w:r>
      </w:hyperlink>
      <w:r>
        <w:rPr>
          <w:lang w:val="zh_TW" w:bidi="zh_TW"/>
        </w:rPr>
        <w:t>）；以色列舉國被期望在違背神的律法時認罪（</w:t>
      </w:r>
      <w:hyperlink r:id="rId20">
        <w:r>
          <w:rPr>
            <w:lang w:val="zh_TW" w:bidi="zh_TW"/>
          </w:rPr>
          <w:rPr>
            <w:color w:val="0000EE"/>
            <w:u w:val="single"/>
          </w:rPr>
          <w:t>利26:40</w:t>
        </w:r>
      </w:hyperlink>
      <w:r>
        <w:rPr>
          <w:lang w:val="zh_TW" w:bidi="zh_TW"/>
        </w:rPr>
        <w:t>；</w:t>
      </w:r>
      <w:hyperlink r:id="rId21">
        <w:r>
          <w:rPr>
            <w:lang w:val="zh_TW" w:bidi="zh_TW"/>
          </w:rPr>
          <w:rPr>
            <w:color w:val="0000EE"/>
            <w:u w:val="single"/>
          </w:rPr>
          <w:t>代下7:14</w:t>
        </w:r>
      </w:hyperlink>
      <w:r>
        <w:rPr>
          <w:lang w:val="zh_TW" w:bidi="zh_TW"/>
        </w:rPr>
        <w:t>）。虔誠的猶太人會迅速認罪；但以理、以斯拉和尼希米為他們國家的罪認罪，同意神對他們的懲罰（包括他們自己）是公義的，但仍祈求神的憐憫和拯救（</w:t>
      </w:r>
      <w:hyperlink r:id="rId22">
        <w:r>
          <w:rPr>
            <w:lang w:val="zh_TW" w:bidi="zh_TW"/>
          </w:rPr>
          <w:rPr>
            <w:color w:val="0000EE"/>
            <w:u w:val="single"/>
          </w:rPr>
          <w:t>但9:20</w:t>
        </w:r>
      </w:hyperlink>
      <w:r>
        <w:rPr>
          <w:lang w:val="zh_TW" w:bidi="zh_TW"/>
        </w:rPr>
        <w:t>；</w:t>
      </w:r>
      <w:hyperlink r:id="rId23">
        <w:r>
          <w:rPr>
            <w:lang w:val="zh_TW" w:bidi="zh_TW"/>
          </w:rPr>
          <w:rPr>
            <w:color w:val="0000EE"/>
            <w:u w:val="single"/>
          </w:rPr>
          <w:t>拉10:1</w:t>
        </w:r>
      </w:hyperlink>
      <w:r>
        <w:rPr>
          <w:lang w:val="zh_TW" w:bidi="zh_TW"/>
        </w:rPr>
        <w:t>；</w:t>
      </w:r>
      <w:hyperlink r:id="rId24">
        <w:r>
          <w:rPr>
            <w:lang w:val="zh_TW" w:bidi="zh_TW"/>
          </w:rPr>
          <w:rPr>
            <w:color w:val="0000EE"/>
            <w:u w:val="single"/>
          </w:rPr>
          <w:t>尼1:6</w:t>
        </w:r>
      </w:hyperlink>
      <w:r>
        <w:rPr>
          <w:lang w:val="zh_TW" w:bidi="zh_TW"/>
        </w:rPr>
        <w:t>）。</w:t>
      </w:r>
    </w:p>
    <w:p>
      <w:pPr/>
      <w:r>
        <w:rPr>
          <w:lang w:val="zh_TW" w:bidi="zh_TW"/>
        </w:rPr>
      </w:r>
      <w:r>
        <w:rPr>
          <w:lang w:val="zh_TW" w:bidi="zh_TW"/>
        </w:rPr>
        <w:t>第二種是個人承認神是神，並且祂掌管世界（</w:t>
      </w:r>
      <w:hyperlink r:id="rId25">
        <w:r>
          <w:rPr>
            <w:lang w:val="zh_TW" w:bidi="zh_TW"/>
          </w:rPr>
          <w:rPr>
            <w:color w:val="0000EE"/>
            <w:u w:val="single"/>
          </w:rPr>
          <w:t>代上29:10–13</w:t>
        </w:r>
      </w:hyperlink>
      <w:r>
        <w:rPr>
          <w:lang w:val="zh_TW" w:bidi="zh_TW"/>
        </w:rPr>
        <w:t>），承認祂在施展慈愛和恩惠上是信實的（</w:t>
      </w:r>
      <w:hyperlink r:id="rId26">
        <w:r>
          <w:rPr>
            <w:lang w:val="zh_TW" w:bidi="zh_TW"/>
          </w:rPr>
          <w:rPr>
            <w:color w:val="0000EE"/>
            <w:u w:val="single"/>
          </w:rPr>
          <w:t>詩118:2–4</w:t>
        </w:r>
      </w:hyperlink>
      <w:r>
        <w:rPr>
          <w:lang w:val="zh_TW" w:bidi="zh_TW"/>
        </w:rPr>
        <w:t>），承認祂幫助了祂的子民（</w:t>
      </w:r>
      <w:hyperlink r:id="rId27">
        <w:r>
          <w:rPr>
            <w:lang w:val="zh_TW" w:bidi="zh_TW"/>
          </w:rPr>
          <w:rPr>
            <w:color w:val="0000EE"/>
            <w:u w:val="single"/>
          </w:rPr>
          <w:t>詩105:1–6</w:t>
        </w:r>
      </w:hyperlink>
      <w:r>
        <w:rPr>
          <w:lang w:val="zh_TW" w:bidi="zh_TW"/>
        </w:rPr>
        <w:t>）。這種承認或同意，通常在敬拜或歌頌中公開表達（</w:t>
      </w:r>
      <w:hyperlink r:id="rId28">
        <w:r>
          <w:rPr>
            <w:lang w:val="zh_TW" w:bidi="zh_TW"/>
          </w:rPr>
          <w:rPr>
            <w:color w:val="0000EE"/>
            <w:u w:val="single"/>
          </w:rPr>
          <w:t>詩100:4</w:t>
        </w:r>
      </w:hyperlink>
      <w:r>
        <w:rPr>
          <w:lang w:val="zh_TW" w:bidi="zh_TW"/>
        </w:rPr>
        <w:t>），在舊約中被稱為「稱頌耶和華」。</w:t>
      </w:r>
    </w:p>
    <w:p>
      <w:pPr/>
      <w:r>
        <w:rPr>
          <w:lang w:val="zh_TW" w:bidi="zh_TW"/>
        </w:rPr>
      </w:r>
      <w:r>
        <w:rPr>
          <w:lang w:val="zh_TW" w:bidi="zh_TW"/>
        </w:rPr>
        <w:t>這兩種類型的承認在聖經中經常結合，形成了許多感恩的詩篇。通常這些詩篇包含以下某些或全部的思想：（1）我犯了罪；（2）我生病了，幾乎死去；（3）我向神祈禱，祂拯救了我；（4）現在我獻上這首我承諾給祂的認信詩篇（</w:t>
      </w:r>
      <w:hyperlink r:id="rId29">
        <w:r>
          <w:rPr>
            <w:lang w:val="zh_TW" w:bidi="zh_TW"/>
          </w:rPr>
          <w:rPr>
            <w:color w:val="0000EE"/>
            <w:u w:val="single"/>
          </w:rPr>
          <w:t>詩22篇</w:t>
        </w:r>
      </w:hyperlink>
      <w:r>
        <w:rPr>
          <w:lang w:val="zh_TW" w:bidi="zh_TW"/>
        </w:rPr>
        <w:t>，</w:t>
      </w:r>
      <w:hyperlink r:id="rId30">
        <w:r>
          <w:rPr>
            <w:lang w:val="zh_TW" w:bidi="zh_TW"/>
          </w:rPr>
          <w:rPr>
            <w:color w:val="0000EE"/>
            <w:u w:val="single"/>
          </w:rPr>
          <w:t>30篇，</w:t>
        </w:r>
      </w:hyperlink>
      <w:hyperlink r:id="rId31">
        <w:r>
          <w:rPr>
            <w:lang w:val="zh_TW" w:bidi="zh_TW"/>
          </w:rPr>
          <w:rPr>
            <w:color w:val="0000EE"/>
            <w:u w:val="single"/>
          </w:rPr>
          <w:t>32篇</w:t>
        </w:r>
      </w:hyperlink>
      <w:r>
        <w:rPr>
          <w:lang w:val="zh_TW" w:bidi="zh_TW"/>
        </w:rPr>
        <w:t>，</w:t>
      </w:r>
      <w:hyperlink r:id="rId32">
        <w:r>
          <w:rPr>
            <w:lang w:val="zh_TW" w:bidi="zh_TW"/>
          </w:rPr>
          <w:rPr>
            <w:color w:val="0000EE"/>
            <w:u w:val="single"/>
          </w:rPr>
          <w:t>34篇</w:t>
        </w:r>
      </w:hyperlink>
      <w:r>
        <w:rPr>
          <w:lang w:val="zh_TW" w:bidi="zh_TW"/>
        </w:rPr>
        <w:t>，</w:t>
      </w:r>
      <w:hyperlink r:id="rId33">
        <w:r>
          <w:rPr>
            <w:lang w:val="zh_TW" w:bidi="zh_TW"/>
          </w:rPr>
          <w:rPr>
            <w:color w:val="0000EE"/>
            <w:u w:val="single"/>
          </w:rPr>
          <w:t>40篇，</w:t>
        </w:r>
      </w:hyperlink>
      <w:hyperlink r:id="rId34">
        <w:r>
          <w:rPr>
            <w:lang w:val="zh_TW" w:bidi="zh_TW"/>
          </w:rPr>
          <w:rPr>
            <w:color w:val="0000EE"/>
            <w:u w:val="single"/>
          </w:rPr>
          <w:t>51篇，</w:t>
        </w:r>
      </w:hyperlink>
      <w:hyperlink r:id="rId35">
        <w:r>
          <w:rPr>
            <w:lang w:val="zh_TW" w:bidi="zh_TW"/>
          </w:rPr>
          <w:rPr>
            <w:color w:val="0000EE"/>
            <w:u w:val="single"/>
          </w:rPr>
          <w:t>116篇</w:t>
        </w:r>
      </w:hyperlink>
      <w:r>
        <w:rPr>
          <w:lang w:val="zh_TW" w:bidi="zh_TW"/>
        </w:rPr>
        <w:t>）。希伯來文中的同一個詞既表示「讚美」，也表示「認罪」；這兩個意思是同一概念的一部分。詩篇作者通常先承認自己的罪和神的公義，最後承認神的赦免與拯救大能。</w:t>
      </w:r>
    </w:p>
    <w:p>
      <w:pPr/>
      <w:r>
        <w:rPr>
          <w:lang w:val="zh_TW" w:bidi="zh_TW"/>
        </w:rPr>
      </w:r>
      <w:r>
        <w:rPr>
          <w:lang w:val="zh_TW" w:bidi="zh_TW"/>
        </w:rPr>
        <w:t>這兩個意思也出現在新約中。基督徒認信（confess，即他們基於信念和忠誠宣告）耶穌是基督，並且他們屬於祂。「凡在人面前認我的，我在我天上的父面前也必認他」（</w:t>
      </w:r>
      <w:hyperlink r:id="rId36">
        <w:r>
          <w:rPr>
            <w:lang w:val="zh_TW" w:bidi="zh_TW"/>
          </w:rPr>
          <w:rPr>
            <w:color w:val="0000EE"/>
            <w:u w:val="single"/>
          </w:rPr>
          <w:t>太10:32</w:t>
        </w:r>
      </w:hyperlink>
      <w:r>
        <w:rPr>
          <w:lang w:val="zh_TW" w:bidi="zh_TW"/>
        </w:rPr>
        <w:t>）。不認基督等同於否認祂（</w:t>
      </w:r>
      <w:hyperlink r:id="rId37">
        <w:r>
          <w:rPr>
            <w:lang w:val="zh_TW" w:bidi="zh_TW"/>
          </w:rPr>
          <w:rPr>
            <w:color w:val="0000EE"/>
            <w:u w:val="single"/>
          </w:rPr>
          <w:t>太10:33</w:t>
        </w:r>
      </w:hyperlink>
      <w:r>
        <w:rPr>
          <w:lang w:val="zh_TW" w:bidi="zh_TW"/>
        </w:rPr>
        <w:t>；</w:t>
      </w:r>
      <w:hyperlink r:id="rId38">
        <w:r>
          <w:rPr>
            <w:lang w:val="zh_TW" w:bidi="zh_TW"/>
          </w:rPr>
          <w:rPr>
            <w:color w:val="0000EE"/>
            <w:u w:val="single"/>
          </w:rPr>
          <w:t>路12:8</w:t>
        </w:r>
      </w:hyperlink>
      <w:r>
        <w:rPr>
          <w:lang w:val="zh_TW" w:bidi="zh_TW"/>
        </w:rPr>
        <w:t>；參</w:t>
      </w:r>
      <w:hyperlink r:id="rId39">
        <w:r>
          <w:rPr>
            <w:lang w:val="zh_TW" w:bidi="zh_TW"/>
          </w:rPr>
          <w:rPr>
            <w:color w:val="0000EE"/>
            <w:u w:val="single"/>
          </w:rPr>
          <w:t>提後2:11–13</w:t>
        </w:r>
      </w:hyperlink>
      <w:r>
        <w:rPr>
          <w:lang w:val="zh_TW" w:bidi="zh_TW"/>
        </w:rPr>
        <w:t>；</w:t>
      </w:r>
      <w:hyperlink r:id="rId40">
        <w:r>
          <w:rPr>
            <w:lang w:val="zh_TW" w:bidi="zh_TW"/>
          </w:rPr>
          <w:rPr>
            <w:color w:val="0000EE"/>
            <w:u w:val="single"/>
          </w:rPr>
          <w:t>啟3:5</w:t>
        </w:r>
      </w:hyperlink>
      <w:r>
        <w:rPr>
          <w:lang w:val="zh_TW" w:bidi="zh_TW"/>
        </w:rPr>
        <w:t>）。因此，基督徒的生活從信仰的認信開始，即在見證人面前的公開宣告（</w:t>
      </w:r>
      <w:hyperlink r:id="rId41">
        <w:r>
          <w:rPr>
            <w:lang w:val="zh_TW" w:bidi="zh_TW"/>
          </w:rPr>
          <w:rPr>
            <w:color w:val="0000EE"/>
            <w:u w:val="single"/>
          </w:rPr>
          <w:t>羅10:9–10</w:t>
        </w:r>
      </w:hyperlink>
      <w:r>
        <w:rPr>
          <w:lang w:val="zh_TW" w:bidi="zh_TW"/>
        </w:rPr>
        <w:t>；</w:t>
      </w:r>
      <w:hyperlink r:id="rId42">
        <w:r>
          <w:rPr>
            <w:lang w:val="zh_TW" w:bidi="zh_TW"/>
          </w:rPr>
          <w:rPr>
            <w:color w:val="0000EE"/>
            <w:u w:val="single"/>
          </w:rPr>
          <w:t>提前6:12</w:t>
        </w:r>
      </w:hyperlink>
      <w:r>
        <w:rPr>
          <w:lang w:val="zh_TW" w:bidi="zh_TW"/>
        </w:rPr>
        <w:t>）。</w:t>
      </w:r>
      <w:hyperlink r:id="rId43">
        <w:r>
          <w:rPr>
            <w:lang w:val="zh_TW" w:bidi="zh_TW"/>
          </w:rPr>
          <w:rPr>
            <w:color w:val="0000EE"/>
            <w:u w:val="single"/>
          </w:rPr>
          <w:t>約翰壹書四章2節</w:t>
        </w:r>
      </w:hyperlink>
      <w:r>
        <w:rPr>
          <w:lang w:val="zh_TW" w:bidi="zh_TW"/>
        </w:rPr>
        <w:t>提供了基督徒認罪的另一個層面：必須承認「耶穌基督是成了肉身來的」，即承認耶穌的神性和作為神的兒子的先存性（祂「來到（has come）」；見</w:t>
      </w:r>
      <w:hyperlink r:id="rId44">
        <w:r>
          <w:rPr>
            <w:lang w:val="zh_TW" w:bidi="zh_TW"/>
          </w:rPr>
          <w:rPr>
            <w:color w:val="0000EE"/>
            <w:u w:val="single"/>
          </w:rPr>
          <w:t>約壹4:15</w:t>
        </w:r>
      </w:hyperlink>
      <w:r>
        <w:rPr>
          <w:lang w:val="zh_TW" w:bidi="zh_TW"/>
        </w:rPr>
        <w:t>）以及耶穌的人性和道成肉身（祂是「成了肉身（has come in flesh）」來的）。希臘文「承認」的字面意思是「說同樣的話」。基督徒的「美好的見證（good confession）」遵循基督認信的榜樣（</w:t>
      </w:r>
      <w:hyperlink r:id="rId45">
        <w:r>
          <w:rPr>
            <w:lang w:val="zh_TW" w:bidi="zh_TW"/>
          </w:rPr>
          <w:rPr>
            <w:color w:val="0000EE"/>
            <w:u w:val="single"/>
          </w:rPr>
          <w:t>提前6:12–13</w:t>
        </w:r>
      </w:hyperlink>
      <w:r>
        <w:rPr>
          <w:lang w:val="zh_TW" w:bidi="zh_TW"/>
        </w:rPr>
        <w:t>）。</w:t>
      </w:r>
    </w:p>
    <w:p>
      <w:pPr/>
      <w:r>
        <w:rPr>
          <w:lang w:val="zh_TW" w:bidi="zh_TW"/>
        </w:rPr>
      </w:r>
      <w:r>
        <w:rPr>
          <w:lang w:val="zh_TW" w:bidi="zh_TW"/>
        </w:rPr>
        <w:t>新約中只有少數經文談論認罪。受約翰洗禮的人公開承認他們的罪並悔改（</w:t>
      </w:r>
      <w:hyperlink r:id="rId46">
        <w:r>
          <w:rPr>
            <w:lang w:val="zh_TW" w:bidi="zh_TW"/>
          </w:rPr>
          <w:rPr>
            <w:color w:val="0000EE"/>
            <w:u w:val="single"/>
          </w:rPr>
          <w:t>可1:4–5</w:t>
        </w:r>
      </w:hyperlink>
      <w:r>
        <w:rPr>
          <w:lang w:val="zh_TW" w:bidi="zh_TW"/>
        </w:rPr>
        <w:t>）。事實上，所有基督徒都必須同意神的判斷，承認自己是罪人（</w:t>
      </w:r>
      <w:hyperlink r:id="rId47">
        <w:r>
          <w:rPr>
            <w:lang w:val="zh_TW" w:bidi="zh_TW"/>
          </w:rPr>
          <w:rPr>
            <w:color w:val="0000EE"/>
            <w:u w:val="single"/>
          </w:rPr>
          <w:t>約一1:8–10</w:t>
        </w:r>
      </w:hyperlink>
      <w:r>
        <w:rPr>
          <w:lang w:val="zh_TW" w:bidi="zh_TW"/>
        </w:rPr>
        <w:t>）。雅各書提供了一個更全面的圖畫：當一個基督徒生病時，長老應當探訪並給予這人機會認罪。像在詩篇中一樣，赦免與醫治（道德與身體）與認罪密切相關。基於這一原則，雅各敦促基督徒彼此認罪。</w:t>
      </w:r>
    </w:p>
    <w:p>
      <w:pPr/>
      <w:r>
        <w:rPr>
          <w:lang w:val="zh_TW" w:bidi="zh_TW"/>
        </w:rPr>
      </w:r>
      <w:r>
        <w:rPr>
          <w:i/>
          <w:lang w:val="zh_TW" w:bidi="zh_TW"/>
        </w:rPr>
        <w:t>另見</w:t>
      </w:r>
      <w:r>
        <w:rPr>
          <w:lang w:val="zh_TW" w:bidi="zh_TW"/>
        </w:rPr>
        <w:t xml:space="preserve"> </w:t>
      </w:r>
      <w:r>
        <w:rPr>
          <w:lang w:val="zh_TW" w:bidi="zh_TW"/>
        </w:rPr>
        <w:t>歸信</w:t>
      </w:r>
      <w:r>
        <w:rPr>
          <w:lang w:val="zh_TW" w:bidi="zh_TW"/>
        </w:rPr>
        <w:t>；</w:t>
      </w:r>
      <w:r>
        <w:rPr>
          <w:lang w:val="zh_TW" w:bidi="zh_TW"/>
        </w:rPr>
        <w:t>寬恕</w:t>
      </w:r>
      <w:r>
        <w:rPr>
          <w:lang w:val="zh_TW" w:bidi="zh_TW"/>
        </w:rPr>
        <w:t>；</w:t>
      </w:r>
      <w:r>
        <w:rPr>
          <w:lang w:val="zh_TW" w:bidi="zh_TW"/>
        </w:rPr>
        <w:t>悔改</w:t>
      </w:r>
      <w:r>
        <w:rPr>
          <w:lang w:val="zh_TW" w:bidi="zh_TW"/>
        </w:rPr>
        <w:t>。</w:t>
      </w:r>
      <w:r>
        <w:rPr>
          <w:lang w:val="zh_TW" w:bidi="zh_TW"/>
        </w:rPr>
      </w:r>
      <w:r>
        <w:rPr>
          <w:lang w:val="zh_TW" w:bidi="zh_TW"/>
        </w:rPr>
      </w:r>
    </w:p>
    <w:p>
      <w:pPr/>
      <w:r>
        <w:rPr>
          <w:lang w:val="zh_TW" w:bidi="zh_TW"/>
        </w:rPr>
      </w:r>
    </w:p>
    <w:p>
      <w:pPr>
        <w:pStyle w:val="Heading2"/>
      </w:pPr>
      <w:r>
        <w:rPr>
          <w:lang w:val="zh_TW" w:bidi="zh_TW"/>
        </w:rPr>
        <w:t>城</w:t>
      </w:r>
      <w:r>
        <w:rPr>
          <w:lang w:val="zh_TW" w:bidi="zh_TW"/>
        </w:rPr>
      </w:r>
    </w:p>
    <w:p>
      <w:pPr/>
      <w:r>
        <w:rPr>
          <w:lang w:val="zh_TW" w:bidi="zh_TW"/>
        </w:rPr>
      </w:r>
      <w:r>
        <w:rPr>
          <w:lang w:val="zh_TW" w:bidi="zh_TW"/>
        </w:rPr>
        <w:t>一般來說，聖經沒有特別區分城、鎮或村，經文更著重於城牆與防禦（</w:t>
      </w:r>
      <w:hyperlink r:id="rId48">
        <w:r>
          <w:rPr>
            <w:lang w:val="zh_TW" w:bidi="zh_TW"/>
          </w:rPr>
          <w:rPr>
            <w:color w:val="0000EE"/>
            <w:u w:val="single"/>
          </w:rPr>
          <w:t>利25:29–31</w:t>
        </w:r>
      </w:hyperlink>
      <w:r>
        <w:rPr>
          <w:lang w:val="zh_TW" w:bidi="zh_TW"/>
        </w:rPr>
        <w:t>；</w:t>
      </w:r>
      <w:hyperlink r:id="rId49">
        <w:r>
          <w:rPr>
            <w:lang w:val="zh_TW" w:bidi="zh_TW"/>
          </w:rPr>
          <w:rPr>
            <w:color w:val="0000EE"/>
            <w:u w:val="single"/>
          </w:rPr>
          <w:t>書19:35</w:t>
        </w:r>
      </w:hyperlink>
      <w:r>
        <w:rPr>
          <w:lang w:val="zh_TW" w:bidi="zh_TW"/>
        </w:rPr>
        <w:t>）。聖經多次提到城樓、城門與圍困。由此可見，城會為周圍的鎮與村提供主要的安全保障。</w:t>
      </w:r>
    </w:p>
    <w:p>
      <w:pPr>
        <w:pStyle w:val="Heading3"/>
      </w:pPr>
      <w:r>
        <w:rPr>
          <w:lang w:val="zh_TW" w:bidi="zh_TW"/>
        </w:rPr>
        <w:t>古代</w:t>
      </w:r>
    </w:p>
    <w:p>
      <w:pPr>
        <w:pStyle w:val="Heading4"/>
      </w:pPr>
      <w:r>
        <w:rPr>
          <w:lang w:val="zh_TW" w:bidi="zh_TW"/>
        </w:rPr>
        <w:t>實際需要</w:t>
      </w:r>
    </w:p>
    <w:p>
      <w:pPr/>
      <w:r>
        <w:rPr>
          <w:lang w:val="zh_TW" w:bidi="zh_TW"/>
        </w:rPr>
      </w:r>
      <w:r>
        <w:rPr>
          <w:lang w:val="zh_TW" w:bidi="zh_TW"/>
        </w:rPr>
        <w:t>定居的群體依賴穩定而可管理的糧食來源。遊牧民族（經常四處遷移的人）與城裡定居的人不同，他們住在可隨時搬動的帳棚裡，邊走邊尋找食物。定居於城的生活方式，與遊牧的經驗形成強烈對比。聖經描述過著部分遊牧生活的亞伯拉罕時，正顯出這種差異：「因為他等候那座有根基的城，就是神所經營所建造的」（</w:t>
      </w:r>
      <w:hyperlink r:id="rId50">
        <w:r>
          <w:rPr>
            <w:lang w:val="zh_TW" w:bidi="zh_TW"/>
          </w:rPr>
          <w:rPr>
            <w:color w:val="0000EE"/>
            <w:u w:val="single"/>
          </w:rPr>
          <w:t>來11:10</w:t>
        </w:r>
      </w:hyperlink>
      <w:r>
        <w:rPr>
          <w:lang w:val="zh_TW" w:bidi="zh_TW"/>
        </w:rPr>
        <w:t>）。</w:t>
      </w:r>
    </w:p>
    <w:p>
      <w:pPr>
        <w:pStyle w:val="Heading4"/>
      </w:pPr>
      <w:r>
        <w:rPr>
          <w:lang w:val="zh_TW" w:bidi="zh_TW"/>
        </w:rPr>
        <w:t>聖經中的第一座城</w:t>
      </w:r>
    </w:p>
    <w:p>
      <w:pPr/>
      <w:r>
        <w:rPr>
          <w:lang w:val="zh_TW" w:bidi="zh_TW"/>
        </w:rPr>
      </w:r>
      <w:r>
        <w:rPr>
          <w:lang w:val="zh_TW" w:bidi="zh_TW"/>
        </w:rPr>
        <w:t>聖經第一次提到城的經文，是在</w:t>
      </w:r>
      <w:hyperlink r:id="rId51">
        <w:r>
          <w:rPr>
            <w:lang w:val="zh_TW" w:bidi="zh_TW"/>
          </w:rPr>
          <w:rPr>
            <w:color w:val="0000EE"/>
            <w:u w:val="single"/>
          </w:rPr>
          <w:t>創世記四章17節</w:t>
        </w:r>
      </w:hyperlink>
      <w:r>
        <w:rPr>
          <w:lang w:val="zh_TW" w:bidi="zh_TW"/>
        </w:rPr>
        <w:t>。經文中的希伯來文動詞，顯示該隱「正在建造」那座城。他很可能沒有把城建成，也沒有留在那裡。因為神早前判他要「流離飄蕩」而活（</w:t>
      </w:r>
      <w:hyperlink r:id="rId52">
        <w:r>
          <w:rPr>
            <w:lang w:val="zh_TW" w:bidi="zh_TW"/>
          </w:rPr>
          <w:rPr>
            <w:color w:val="0000EE"/>
            <w:u w:val="single"/>
          </w:rPr>
          <w:t>12</w:t>
        </w:r>
      </w:hyperlink>
      <w:r>
        <w:rPr>
          <w:lang w:val="zh_TW" w:bidi="zh_TW"/>
        </w:rPr>
        <w:t>節）。</w:t>
      </w:r>
    </w:p>
    <w:p>
      <w:pPr/>
      <w:r>
        <w:rPr>
          <w:lang w:val="zh_TW" w:bidi="zh_TW"/>
        </w:rPr>
      </w:r>
      <w:r>
        <w:rPr>
          <w:lang w:val="zh_TW" w:bidi="zh_TW"/>
        </w:rPr>
        <w:t>創世記的記載始終如一，說明人在很早期就開始在城裡生活。人類最早的後代是該隱和亞伯，他們都從事食物生產（</w:t>
      </w:r>
      <w:hyperlink r:id="rId53">
        <w:r>
          <w:rPr>
            <w:lang w:val="zh_TW" w:bidi="zh_TW"/>
          </w:rPr>
          <w:rPr>
            <w:color w:val="0000EE"/>
            <w:u w:val="single"/>
          </w:rPr>
          <w:t>創4:2</w:t>
        </w:r>
      </w:hyperlink>
      <w:r>
        <w:rPr>
          <w:lang w:val="zh_TW" w:bidi="zh_TW"/>
        </w:rPr>
        <w:t>）。該隱是農夫，亞伯是牧羊人。</w:t>
      </w:r>
      <w:hyperlink r:id="rId54">
        <w:r>
          <w:rPr>
            <w:lang w:val="zh_TW" w:bidi="zh_TW"/>
          </w:rPr>
          <w:rPr>
            <w:color w:val="0000EE"/>
            <w:u w:val="single"/>
          </w:rPr>
          <w:t>創世記四章</w:t>
        </w:r>
      </w:hyperlink>
      <w:r>
        <w:rPr>
          <w:lang w:val="zh_TW" w:bidi="zh_TW"/>
        </w:rPr>
        <w:t>顯示生產糧食的需要，以及因生產糧食而出現的分工。例如，雅八是支搭帳棚之人（</w:t>
      </w:r>
      <w:hyperlink r:id="rId55">
        <w:r>
          <w:rPr>
            <w:lang w:val="zh_TW" w:bidi="zh_TW"/>
          </w:rPr>
          <w:rPr>
            <w:color w:val="0000EE"/>
            <w:u w:val="single"/>
          </w:rPr>
          <w:t>20</w:t>
        </w:r>
      </w:hyperlink>
      <w:r>
        <w:rPr>
          <w:lang w:val="zh_TW" w:bidi="zh_TW"/>
        </w:rPr>
        <w:t>節），猶八是作樂之人（第</w:t>
      </w:r>
      <w:hyperlink r:id="rId56">
        <w:r>
          <w:rPr>
            <w:lang w:val="zh_TW" w:bidi="zh_TW"/>
          </w:rPr>
          <w:rPr>
            <w:color w:val="0000EE"/>
            <w:u w:val="single"/>
          </w:rPr>
          <w:t>21</w:t>
        </w:r>
      </w:hyperlink>
      <w:r>
        <w:rPr>
          <w:lang w:val="zh_TW" w:bidi="zh_TW"/>
        </w:rPr>
        <w:t>節），土八‧該隱打造金屬器物之人（</w:t>
      </w:r>
      <w:hyperlink r:id="rId57">
        <w:r>
          <w:rPr>
            <w:lang w:val="zh_TW" w:bidi="zh_TW"/>
          </w:rPr>
          <w:rPr>
            <w:color w:val="0000EE"/>
            <w:u w:val="single"/>
          </w:rPr>
          <w:t>22</w:t>
        </w:r>
      </w:hyperlink>
      <w:r>
        <w:rPr>
          <w:lang w:val="zh_TW" w:bidi="zh_TW"/>
        </w:rPr>
        <w:t>節）。</w:t>
      </w:r>
    </w:p>
    <w:p>
      <w:pPr>
        <w:pStyle w:val="Heading4"/>
      </w:pPr>
      <w:r>
        <w:rPr>
          <w:lang w:val="zh_TW" w:bidi="zh_TW"/>
        </w:rPr>
        <w:t>考古證據</w:t>
      </w:r>
    </w:p>
    <w:p>
      <w:pPr/>
      <w:r>
        <w:rPr>
          <w:lang w:val="zh_TW" w:bidi="zh_TW"/>
        </w:rPr>
      </w:r>
      <w:r>
        <w:rPr>
          <w:lang w:val="zh_TW" w:bidi="zh_TW"/>
        </w:rPr>
        <w:t>有人認為城在極早的時期就已經出現，這個觀點大致得到考古發現的支持。耶利哥是目前發現，在迦南地最古老的城。考古學家凱瑟琳·凱尼恩（Kathleen Kenyon）用碳十四測試（carbon-14 dating）檢驗當地出土的木材，斷定耶利哥在公元前7000年之前就已經存在。雖然這城的面積不足4公頃（10英畝），卻發展得相當完整。耶利哥擁有厚達1.8公尺（6英尺）的城牆，還有一座近9公尺（30英尺）高的圓形石塔，塔內從上到下有樓梯。</w:t>
      </w:r>
    </w:p>
    <w:p>
      <w:pPr/>
      <w:r>
        <w:rPr>
          <w:lang w:val="zh_TW" w:bidi="zh_TW"/>
        </w:rPr>
      </w:r>
      <w:r>
        <w:rPr>
          <w:lang w:val="zh_TW" w:bidi="zh_TW"/>
        </w:rPr>
        <w:t>耶利哥看來比其它迦南城早約3,000年出現。許多著名的蘇美（Sumerian）城，如吾珥、伊什（Ish）、拉加什（Lagah）和烏魯克（Uruk），都在其後出現，它們是在公元前四千年或三千年初期開始形成的。</w:t>
      </w:r>
    </w:p>
    <w:p>
      <w:pPr>
        <w:pStyle w:val="Heading3"/>
      </w:pPr>
      <w:r>
        <w:rPr>
          <w:lang w:val="zh_TW" w:bidi="zh_TW"/>
        </w:rPr>
        <w:t>地點與名稱</w:t>
      </w:r>
    </w:p>
    <w:p>
      <w:pPr>
        <w:pStyle w:val="Heading4"/>
      </w:pPr>
      <w:r>
        <w:rPr>
          <w:lang w:val="zh_TW" w:bidi="zh_TW"/>
        </w:rPr>
        <w:t>地形的必要條件</w:t>
      </w:r>
    </w:p>
    <w:p>
      <w:pPr/>
      <w:r>
        <w:rPr>
          <w:lang w:val="zh_TW" w:bidi="zh_TW"/>
        </w:rPr>
      </w:r>
      <w:r>
        <w:rPr>
          <w:lang w:val="zh_TW" w:bidi="zh_TW"/>
        </w:rPr>
        <w:t>挑選建城的位置時，主要考慮四項因素：</w:t>
      </w:r>
    </w:p>
    <w:p>
      <w:pPr>
        <w:pStyle w:val="ListNumber"/>
        <w:numPr>
          <w:ilvl w:val="0"/>
          <w:numId w:val="14"/>
        </w:numPr>
        <w:spacing w:line="240" w:lineRule="auto"/>
        <w:ind w:left="720"/>
      </w:pPr>
      <w:r>
        <w:rPr>
          <w:lang w:val="zh_TW" w:bidi="zh_TW"/>
        </w:rPr>
      </w:r>
      <w:r>
        <w:rPr>
          <w:b/>
          <w:lang w:val="zh_TW" w:bidi="zh_TW"/>
        </w:rPr>
        <w:t>安全。</w:t>
      </w:r>
      <w:r>
        <w:rPr>
          <w:lang w:val="zh_TW" w:bidi="zh_TW"/>
        </w:rPr>
        <w:t>古城的地形（地勢或位置）必須有助防禦。建在天然山丘上的城，比建在山谷裡的城較不容易受到攻擊。若敵軍必須往上坡攻擊，守軍便能取得明顯優勢。</w:t>
        <w:br/>
      </w:r>
      <w:r>
        <w:rPr>
          <w:lang w:val="zh_TW" w:bidi="zh_TW"/>
        </w:rPr>
        <w:t>耶路撒冷的地點正好說明安全地勢的重要：群山圍繞著它（</w:t>
      </w:r>
      <w:hyperlink r:id="rId58">
        <w:r>
          <w:rPr>
            <w:lang w:val="zh_TW" w:bidi="zh_TW"/>
          </w:rPr>
          <w:rPr>
            <w:color w:val="0000EE"/>
            <w:u w:val="single"/>
          </w:rPr>
          <w:t>詩125:2</w:t>
        </w:r>
      </w:hyperlink>
      <w:r>
        <w:rPr>
          <w:lang w:val="zh_TW" w:bidi="zh_TW"/>
        </w:rPr>
        <w:t>）。早期的耶路撒冷首先建立在一條石灰岩山脊上。東邊有深邃的汲淪谷（Kidron Valley）保護；西邊則是壯觀的土耳甫谷（Tyropoean Valley）。這兩個谷在南方匯合，使南面也受到保護。為了讓整個城更安全，人們在建城時，又會在周圍築牆，而重點放在北面，因為那裡若不防備，耶路撒冷就會暴露（參</w:t>
      </w:r>
      <w:hyperlink r:id="rId59">
        <w:r>
          <w:rPr>
            <w:lang w:val="zh_TW" w:bidi="zh_TW"/>
          </w:rPr>
          <w:rPr>
            <w:color w:val="0000EE"/>
            <w:u w:val="single"/>
          </w:rPr>
          <w:t>撒下5:6</w:t>
        </w:r>
      </w:hyperlink>
      <w:r>
        <w:rPr>
          <w:lang w:val="zh_TW" w:bidi="zh_TW"/>
        </w:rPr>
        <w:t>）。</w:t>
      </w:r>
    </w:p>
    <w:p>
      <w:pPr>
        <w:pStyle w:val="ListNumber"/>
        <w:spacing w:line="240" w:lineRule="auto"/>
        <w:ind w:left="720"/>
      </w:pPr>
      <w:r>
        <w:rPr>
          <w:lang w:val="zh_TW" w:bidi="zh_TW"/>
        </w:rPr>
      </w:r>
      <w:r>
        <w:rPr>
          <w:b/>
          <w:lang w:val="zh_TW" w:bidi="zh_TW"/>
        </w:rPr>
        <w:t>水源。</w:t>
      </w:r>
      <w:r>
        <w:rPr>
          <w:lang w:val="zh_TW" w:bidi="zh_TW"/>
        </w:rPr>
        <w:t>一座城能夠維持下去，有一項絕對必要的條件，就是必須有方便獲取的水源。城裡的泉水或水井成了社交往來的中心，對婦女來說更是如此，因為她們通常負責提水。聖經裡有許多例子，可見人們在村莊水井旁邊社交往來（</w:t>
      </w:r>
      <w:hyperlink r:id="rId60">
        <w:r>
          <w:rPr>
            <w:lang w:val="zh_TW" w:bidi="zh_TW"/>
          </w:rPr>
          <w:rPr>
            <w:color w:val="0000EE"/>
            <w:u w:val="single"/>
          </w:rPr>
          <w:t>創29:1–12</w:t>
        </w:r>
      </w:hyperlink>
      <w:r>
        <w:rPr>
          <w:lang w:val="zh_TW" w:bidi="zh_TW"/>
        </w:rPr>
        <w:t>；</w:t>
      </w:r>
      <w:hyperlink r:id="rId61">
        <w:r>
          <w:rPr>
            <w:lang w:val="zh_TW" w:bidi="zh_TW"/>
          </w:rPr>
          <w:rPr>
            <w:color w:val="0000EE"/>
            <w:u w:val="single"/>
          </w:rPr>
          <w:t>王上1:38–39</w:t>
        </w:r>
      </w:hyperlink>
      <w:r>
        <w:rPr>
          <w:lang w:val="zh_TW" w:bidi="zh_TW"/>
        </w:rPr>
        <w:t>）。</w:t>
        <w:br/>
      </w:r>
      <w:r>
        <w:rPr>
          <w:lang w:val="zh_TW" w:bidi="zh_TW"/>
        </w:rPr>
        <w:t>一般來說，山谷是水源所在，因此城的最近泉水往往在城牆外。攻城的敵人可能會先奪取水源，而城牆內儲存的水一旦用盡，城便不得不投降。在耶路撒冷，希西家王開鑿了一條水道，目的是化解亞述王西拿基立當時即將發動的攻擊（</w:t>
      </w:r>
      <w:hyperlink r:id="rId62">
        <w:r>
          <w:rPr>
            <w:lang w:val="zh_TW" w:bidi="zh_TW"/>
          </w:rPr>
          <w:rPr>
            <w:color w:val="0000EE"/>
            <w:u w:val="single"/>
          </w:rPr>
          <w:t>王下20:20</w:t>
        </w:r>
      </w:hyperlink>
      <w:r>
        <w:rPr>
          <w:lang w:val="zh_TW" w:bidi="zh_TW"/>
        </w:rPr>
        <w:t>；</w:t>
      </w:r>
      <w:hyperlink r:id="rId63">
        <w:r>
          <w:rPr>
            <w:lang w:val="zh_TW" w:bidi="zh_TW"/>
          </w:rPr>
          <w:rPr>
            <w:color w:val="0000EE"/>
            <w:u w:val="single"/>
          </w:rPr>
          <w:t>代下32:30</w:t>
        </w:r>
      </w:hyperlink>
      <w:r>
        <w:rPr>
          <w:lang w:val="zh_TW" w:bidi="zh_TW"/>
        </w:rPr>
        <w:t>）。這是一項驚人的工程成就，該水道長達518公尺（1,700英尺）以上。直到今天，到訪耶路撒冷的人仍可看見這條超過2,500年歷史的水道。</w:t>
      </w:r>
    </w:p>
    <w:p>
      <w:pPr>
        <w:pStyle w:val="ListNumber"/>
        <w:spacing w:line="240" w:lineRule="auto"/>
        <w:ind w:left="720"/>
      </w:pPr>
      <w:r>
        <w:rPr>
          <w:lang w:val="zh_TW" w:bidi="zh_TW"/>
        </w:rPr>
      </w:r>
      <w:r>
        <w:rPr>
          <w:b/>
          <w:lang w:val="zh_TW" w:bidi="zh_TW"/>
        </w:rPr>
        <w:t>食物。</w:t>
      </w:r>
      <w:r>
        <w:rPr>
          <w:lang w:val="zh_TW" w:bidi="zh_TW"/>
        </w:rPr>
        <w:t>每座城都必須有足夠的食物供應給城中的居民。古代的農夫通常住在村莊或城裡，每天步行到自己的田地工作。若城的附近沒有足夠可耕種的土地來供應全城所需，這座城就無法維持下去。</w:t>
      </w:r>
    </w:p>
    <w:p>
      <w:pPr>
        <w:pStyle w:val="ListNumber"/>
        <w:spacing w:line="240" w:lineRule="auto"/>
        <w:ind w:left="720"/>
      </w:pPr>
      <w:r>
        <w:rPr>
          <w:lang w:val="zh_TW" w:bidi="zh_TW"/>
        </w:rPr>
      </w:r>
      <w:r>
        <w:rPr>
          <w:b/>
          <w:lang w:val="zh_TW" w:bidi="zh_TW"/>
        </w:rPr>
        <w:t>貿易。</w:t>
      </w:r>
      <w:r>
        <w:rPr>
          <w:lang w:val="zh_TW" w:bidi="zh_TW"/>
        </w:rPr>
        <w:t>城必須能輸入原料並輸出成品。若城靠近本地或通往列邦的道路，會更具優勢，甚至可以說是必要條件。聖經中重要的城大多位於主要的商業道路旁。</w:t>
      </w:r>
    </w:p>
    <w:p>
      <w:pPr/>
      <w:r>
        <w:rPr>
          <w:lang w:val="zh_TW" w:bidi="zh_TW"/>
        </w:rPr>
      </w:r>
      <w:r>
        <w:rPr>
          <w:lang w:val="zh_TW" w:bidi="zh_TW"/>
        </w:rPr>
        <w:t>這四項因素的重要性隨著年代而改變。當強盛列邦（如羅馬）出現時，城不必再建在難以到達的山頂，因為它們可以倚靠常備軍隊來保護。抹上灰泥的蓄水池與引水道的發展，使人能在遠離天然水源之處建城。例如，大希律（Herod the Great）所建的凱撒利亞，距離迦密山的泉源19.3公里（12英里）。貿易路線會隨著列邦局勢的變化而改變，會令一些城衰落，另一些城興起。</w:t>
      </w:r>
    </w:p>
    <w:p>
      <w:pPr/>
      <w:r>
        <w:rPr>
          <w:lang w:val="zh_TW" w:bidi="zh_TW"/>
        </w:rPr>
      </w:r>
      <w:r>
        <w:rPr>
          <w:i/>
          <w:lang w:val="zh_TW" w:bidi="zh_TW"/>
        </w:rPr>
        <w:t>另見</w:t>
      </w:r>
      <w:r>
        <w:rPr>
          <w:lang w:val="zh_TW" w:bidi="zh_TW"/>
        </w:rPr>
        <w:t>考古學與聖經</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5:5" TargetMode="External"/><Relationship Id="rId14" Type="http://schemas.openxmlformats.org/officeDocument/2006/relationships/hyperlink" Target="https://ref.ly/1John1:9" TargetMode="External"/><Relationship Id="rId15" Type="http://schemas.openxmlformats.org/officeDocument/2006/relationships/hyperlink" Target="https://ref.ly/Ps119:126" TargetMode="External"/><Relationship Id="rId16" Type="http://schemas.openxmlformats.org/officeDocument/2006/relationships/hyperlink" Target="https://ref.ly/Rom6:23" TargetMode="External"/><Relationship Id="rId17" Type="http://schemas.openxmlformats.org/officeDocument/2006/relationships/hyperlink" Target="https://ref.ly/Lev19:2" TargetMode="External"/><Relationship Id="rId18" Type="http://schemas.openxmlformats.org/officeDocument/2006/relationships/hyperlink" Target="https://ref.ly/Matt5:48" TargetMode="External"/><Relationship Id="rId19" Type="http://schemas.openxmlformats.org/officeDocument/2006/relationships/hyperlink" Target="https://ref.ly/Lev16:21" TargetMode="External"/><Relationship Id="rId20" Type="http://schemas.openxmlformats.org/officeDocument/2006/relationships/hyperlink" Target="https://ref.ly/Lev26:40" TargetMode="External"/><Relationship Id="rId21" Type="http://schemas.openxmlformats.org/officeDocument/2006/relationships/hyperlink" Target="https://ref.ly/2Chr7:14" TargetMode="External"/><Relationship Id="rId22" Type="http://schemas.openxmlformats.org/officeDocument/2006/relationships/hyperlink" Target="https://ref.ly/Dan9:20" TargetMode="External"/><Relationship Id="rId23" Type="http://schemas.openxmlformats.org/officeDocument/2006/relationships/hyperlink" Target="https://ref.ly/Ezra10:1" TargetMode="External"/><Relationship Id="rId24" Type="http://schemas.openxmlformats.org/officeDocument/2006/relationships/hyperlink" Target="https://ref.ly/Neh1:6" TargetMode="External"/><Relationship Id="rId25" Type="http://schemas.openxmlformats.org/officeDocument/2006/relationships/hyperlink" Target="https://ref.ly/1Chr29:10-1Chr29:13" TargetMode="External"/><Relationship Id="rId26" Type="http://schemas.openxmlformats.org/officeDocument/2006/relationships/hyperlink" Target="https://ref.ly/Ps118:2-Ps118:4" TargetMode="External"/><Relationship Id="rId27" Type="http://schemas.openxmlformats.org/officeDocument/2006/relationships/hyperlink" Target="https://ref.ly/Ps105:1-Ps105:6" TargetMode="External"/><Relationship Id="rId28" Type="http://schemas.openxmlformats.org/officeDocument/2006/relationships/hyperlink" Target="https://ref.ly/Ps100:4" TargetMode="External"/><Relationship Id="rId29" Type="http://schemas.openxmlformats.org/officeDocument/2006/relationships/hyperlink" Target="https://ref.ly/Ps22:1-Ps22:31" TargetMode="External"/><Relationship Id="rId30" Type="http://schemas.openxmlformats.org/officeDocument/2006/relationships/hyperlink" Target="https://ref.ly/Ps30:1-Ps30:12" TargetMode="External"/><Relationship Id="rId31" Type="http://schemas.openxmlformats.org/officeDocument/2006/relationships/hyperlink" Target="https://ref.ly/Ps32:1-Ps32:11" TargetMode="External"/><Relationship Id="rId32" Type="http://schemas.openxmlformats.org/officeDocument/2006/relationships/hyperlink" Target="https://ref.ly/Ps34:1-Ps34:22" TargetMode="External"/><Relationship Id="rId33" Type="http://schemas.openxmlformats.org/officeDocument/2006/relationships/hyperlink" Target="https://ref.ly/Ps40:1-Ps40:17" TargetMode="External"/><Relationship Id="rId34" Type="http://schemas.openxmlformats.org/officeDocument/2006/relationships/hyperlink" Target="https://ref.ly/Ps51:1-Ps51:19" TargetMode="External"/><Relationship Id="rId35" Type="http://schemas.openxmlformats.org/officeDocument/2006/relationships/hyperlink" Target="https://ref.ly/Ps116:1-Ps116:19" TargetMode="External"/><Relationship Id="rId36" Type="http://schemas.openxmlformats.org/officeDocument/2006/relationships/hyperlink" Target="https://ref.ly/Matt10:32" TargetMode="External"/><Relationship Id="rId37" Type="http://schemas.openxmlformats.org/officeDocument/2006/relationships/hyperlink" Target="https://ref.ly/Matt10:33" TargetMode="External"/><Relationship Id="rId38" Type="http://schemas.openxmlformats.org/officeDocument/2006/relationships/hyperlink" Target="https://ref.ly/Luke12:8" TargetMode="External"/><Relationship Id="rId39" Type="http://schemas.openxmlformats.org/officeDocument/2006/relationships/hyperlink" Target="https://ref.ly/2Tim2:11-2Tim2:13" TargetMode="External"/><Relationship Id="rId40" Type="http://schemas.openxmlformats.org/officeDocument/2006/relationships/hyperlink" Target="https://ref.ly/Rev3:5" TargetMode="External"/><Relationship Id="rId41" Type="http://schemas.openxmlformats.org/officeDocument/2006/relationships/hyperlink" Target="https://ref.ly/Rom10:9-Rom10:10" TargetMode="External"/><Relationship Id="rId42" Type="http://schemas.openxmlformats.org/officeDocument/2006/relationships/hyperlink" Target="https://ref.ly/1Tim6:12" TargetMode="External"/><Relationship Id="rId43" Type="http://schemas.openxmlformats.org/officeDocument/2006/relationships/hyperlink" Target="https://ref.ly/1John4:2" TargetMode="External"/><Relationship Id="rId44" Type="http://schemas.openxmlformats.org/officeDocument/2006/relationships/hyperlink" Target="https://ref.ly/1John4:15" TargetMode="External"/><Relationship Id="rId45" Type="http://schemas.openxmlformats.org/officeDocument/2006/relationships/hyperlink" Target="https://ref.ly/1Tim6:12-1Tim6:13" TargetMode="External"/><Relationship Id="rId46" Type="http://schemas.openxmlformats.org/officeDocument/2006/relationships/hyperlink" Target="https://ref.ly/Mark1:4-Mark1:5" TargetMode="External"/><Relationship Id="rId47" Type="http://schemas.openxmlformats.org/officeDocument/2006/relationships/hyperlink" Target="https://ref.ly/1John1:8-1John1:10" TargetMode="External"/><Relationship Id="rId48" Type="http://schemas.openxmlformats.org/officeDocument/2006/relationships/hyperlink" Target="https://ref.ly/Lev25:29-Lev25:31" TargetMode="External"/><Relationship Id="rId49" Type="http://schemas.openxmlformats.org/officeDocument/2006/relationships/hyperlink" Target="https://ref.ly/Josh19:35" TargetMode="External"/><Relationship Id="rId50" Type="http://schemas.openxmlformats.org/officeDocument/2006/relationships/hyperlink" Target="https://ref.ly/Heb11:10" TargetMode="External"/><Relationship Id="rId51" Type="http://schemas.openxmlformats.org/officeDocument/2006/relationships/hyperlink" Target="https://ref.ly/Gen4:17" TargetMode="External"/><Relationship Id="rId52" Type="http://schemas.openxmlformats.org/officeDocument/2006/relationships/hyperlink" Target="https://ref.ly/Gen4:12" TargetMode="External"/><Relationship Id="rId53" Type="http://schemas.openxmlformats.org/officeDocument/2006/relationships/hyperlink" Target="https://ref.ly/Gen4:2" TargetMode="External"/><Relationship Id="rId54" Type="http://schemas.openxmlformats.org/officeDocument/2006/relationships/hyperlink" Target="https://ref.ly/Gen4:1-Gen4:26" TargetMode="External"/><Relationship Id="rId55" Type="http://schemas.openxmlformats.org/officeDocument/2006/relationships/hyperlink" Target="https://ref.ly/Gen4:20" TargetMode="External"/><Relationship Id="rId56" Type="http://schemas.openxmlformats.org/officeDocument/2006/relationships/hyperlink" Target="https://ref.ly/Gen4:21" TargetMode="External"/><Relationship Id="rId57" Type="http://schemas.openxmlformats.org/officeDocument/2006/relationships/hyperlink" Target="https://ref.ly/Gen4:22" TargetMode="External"/><Relationship Id="rId58" Type="http://schemas.openxmlformats.org/officeDocument/2006/relationships/hyperlink" Target="https://ref.ly/Ps125:2" TargetMode="External"/><Relationship Id="rId59" Type="http://schemas.openxmlformats.org/officeDocument/2006/relationships/hyperlink" Target="https://ref.ly/2Sam5:6" TargetMode="External"/><Relationship Id="rId60" Type="http://schemas.openxmlformats.org/officeDocument/2006/relationships/hyperlink" Target="https://ref.ly/Gen29:1-Gen29:12" TargetMode="External"/><Relationship Id="rId61" Type="http://schemas.openxmlformats.org/officeDocument/2006/relationships/hyperlink" Target="https://ref.ly/1Kgs1:38-1Kgs1:39" TargetMode="External"/><Relationship Id="rId62" Type="http://schemas.openxmlformats.org/officeDocument/2006/relationships/hyperlink" Target="https://ref.ly/2Kgs20:20" TargetMode="External"/><Relationship Id="rId63" Type="http://schemas.openxmlformats.org/officeDocument/2006/relationships/hyperlink" Target="https://ref.ly/2Chr32: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