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i/>
          <w:lang w:val="id_ID" w:bidi="id_ID"/>
        </w:rPr>
        <w:t>Frigia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pPr/>
      <w:r>
        <w:rPr>
          <w:lang w:val="id_ID" w:bidi="id_ID"/>
        </w:rPr>
      </w:r>
      <w:r>
        <w:rPr>
          <w:lang w:val="id_ID" w:bidi="id_ID"/>
        </w:rP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pPr/>
      <w:r>
        <w:rPr>
          <w:lang w:val="id_ID" w:bidi="id_ID"/>
        </w:rPr>
      </w:r>
      <w:r>
        <w:rPr>
          <w:lang w:val="id_ID" w:bidi="id_ID"/>
        </w:rP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hyperlink r:id="rId13">
        <w:r>
          <w:rPr>
            <w:lang w:val="id_ID" w:bidi="id_ID"/>
          </w:rPr>
          <w:rPr>
            <w:color w:val="0000EE"/>
            <w:u w:val="single"/>
          </w:rPr>
          <w:t>Kisah 19:35</w:t>
        </w:r>
      </w:hyperlink>
      <w:r>
        <w:rPr>
          <w:lang w:val="id_ID" w:bidi="id_ID"/>
        </w:rPr>
        <w:t>). Dia menjadi permaisuri Adonis, dewa tumbuh-tumbuhan, dan ritual kesuburan mereka adalah hal yang umum di Timur Tengah. Dewi ini dibawa ke Roma; sebuah kuil untuk menghormatinya dibangun di Bukit Capitolina segera setelah pengorganisasian kekaisaran.</w:t>
      </w:r>
    </w:p>
    <w:p>
      <w:pPr/>
      <w:r>
        <w:rPr>
          <w:lang w:val="id_ID" w:bidi="id_ID"/>
        </w:rPr>
      </w:r>
      <w:r>
        <w:rPr>
          <w:lang w:val="id_ID" w:bidi="id_ID"/>
        </w:rP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pPr/>
      <w:r>
        <w:rPr>
          <w:lang w:val="id_ID" w:bidi="id_ID"/>
        </w:rPr>
      </w:r>
      <w:r>
        <w:rPr>
          <w:lang w:val="id_ID" w:bidi="id_ID"/>
        </w:rPr>
        <w:t>Raja-raja Siria mendorong orang-orang Yahudi untuk menetap di daerah ini. Mereka menjadi bagian penting dari masyarakat, dan sinagoge mereka ada di setiap kota besar. Paulus melewati daerah ini dalam perjalanannya dari Likaonia ke Troas (</w:t>
      </w:r>
      <w:hyperlink r:id="rId14">
        <w:r>
          <w:rPr>
            <w:lang w:val="id_ID" w:bidi="id_ID"/>
          </w:rPr>
          <w:rPr>
            <w:color w:val="0000EE"/>
            <w:u w:val="single"/>
          </w:rPr>
          <w:t>Kisah 16:6</w:t>
        </w:r>
      </w:hyperlink>
      <w:r>
        <w:rPr>
          <w:lang w:val="id_ID" w:bidi="id_ID"/>
        </w:rP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hyperlink r:id="rId15">
        <w:r>
          <w:rPr>
            <w:lang w:val="id_ID" w:bidi="id_ID"/>
          </w:rPr>
          <w:rPr>
            <w:color w:val="0000EE"/>
            <w:u w:val="single"/>
          </w:rPr>
          <w:t>Kisah 2:8–11</w:t>
        </w:r>
      </w:hyperlink>
      <w:r>
        <w:rPr>
          <w:lang w:val="id_ID" w:bidi="id_ID"/>
        </w:rPr>
        <w:t>). Beberapa orang bertobat dan pulang ke tempat tinggalnya masing-masing untuk menyebarkan Kabar Baik.</w:t>
      </w:r>
    </w:p>
    <w:p>
      <w:pPr/>
      <w:r>
        <w:rPr>
          <w:lang w:val="id_ID" w:bidi="id_ID"/>
        </w:rPr>
      </w:r>
      <w:r>
        <w:rPr>
          <w:lang w:val="id_ID" w:bidi="id_ID"/>
        </w:rP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