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寶座</w:t>
      </w:r>
      <w:r>
        <w:rPr>
          <w:lang w:val="zh_TW" w:bidi="zh_TW"/>
        </w:rPr>
      </w:r>
    </w:p>
    <w:p>
      <w:pPr/>
      <w:r>
        <w:rPr>
          <w:lang w:val="zh_TW" w:bidi="zh_TW"/>
        </w:rPr>
      </w:r>
      <w:r>
        <w:rPr>
          <w:lang w:val="zh_TW" w:bidi="zh_TW"/>
        </w:rPr>
        <w:t>位置較高的禮儀座椅，象徵坐在其上的人的尊榮和權柄。後來，「寶座」一詞逐漸成為王權的象徵，也可以指整個王國。法老立約瑟為宰相時說：「惟獨在寶座上我比你大」（</w:t>
      </w:r>
      <w:r>
        <w:rPr>
          <w:lang w:val="zh_TW" w:bidi="zh_TW"/>
        </w:rPr>
        <w:t>創41:40</w:t>
      </w:r>
      <w:r>
        <w:rPr>
          <w:lang w:val="zh_TW" w:bidi="zh_TW"/>
        </w:rPr>
        <w:t>）。大衛作以色列王，就是大衛王位的開始（</w:t>
      </w:r>
      <w:r>
        <w:rPr>
          <w:lang w:val="zh_TW" w:bidi="zh_TW"/>
        </w:rPr>
        <w:t>撒下3:10</w:t>
      </w:r>
      <w:r>
        <w:rPr>
          <w:lang w:val="zh_TW" w:bidi="zh_TW"/>
        </w:rPr>
        <w:t>）。坐上寶座，表示繼承王位（</w:t>
      </w:r>
      <w:r>
        <w:rPr>
          <w:lang w:val="zh_TW" w:bidi="zh_TW"/>
        </w:rPr>
        <w:t>王上1:46</w:t>
      </w:r>
      <w:r>
        <w:rPr>
          <w:lang w:val="zh_TW" w:bidi="zh_TW"/>
        </w:rPr>
        <w:t>）。</w:t>
      </w:r>
    </w:p>
    <w:p>
      <w:pPr/>
      <w:r>
        <w:rPr>
          <w:lang w:val="zh_TW" w:bidi="zh_TW"/>
        </w:rPr>
      </w:r>
      <w:r>
        <w:rPr>
          <w:lang w:val="zh_TW" w:bidi="zh_TW"/>
        </w:rPr>
        <w:t>舊約聖經中，只有所羅門的寶座有詳細描述（</w:t>
      </w:r>
      <w:r>
        <w:rPr>
          <w:lang w:val="zh_TW" w:bidi="zh_TW"/>
        </w:rPr>
        <w:t>王上10:18–20</w:t>
      </w:r>
      <w:r>
        <w:rPr>
          <w:lang w:val="zh_TW" w:bidi="zh_TW"/>
        </w:rPr>
        <w:t>；</w:t>
      </w:r>
      <w:r>
        <w:rPr>
          <w:lang w:val="zh_TW" w:bidi="zh_TW"/>
        </w:rPr>
        <w:t>代下9:17–19</w:t>
      </w:r>
      <w:r>
        <w:rPr>
          <w:lang w:val="zh_TW" w:bidi="zh_TW"/>
        </w:rPr>
        <w:t>）。從經文記載和古代遺跡，可以大致推想以色列寶座的樣式。寶座設於較高位置，前有六級臺階，部分以象牙製成，外面包裹金子。寶座有靠背和扶手，兩旁立著獅子像，臺階兩側也各有六尊獅子像。雖然舊約聖經沒有提到腳凳，但它是寶座不可缺少的一部分（</w:t>
      </w:r>
      <w:r>
        <w:rPr>
          <w:lang w:val="zh_TW" w:bidi="zh_TW"/>
        </w:rPr>
        <w:t>賽66:1</w:t>
      </w:r>
      <w:r>
        <w:rPr>
          <w:lang w:val="zh_TW" w:bidi="zh_TW"/>
        </w:rPr>
        <w:t>）。</w:t>
      </w:r>
    </w:p>
    <w:p>
      <w:pPr/>
      <w:r>
        <w:rPr>
          <w:lang w:val="zh_TW" w:bidi="zh_TW"/>
        </w:rPr>
      </w:r>
      <w:r>
        <w:rPr>
          <w:lang w:val="zh_TW" w:bidi="zh_TW"/>
        </w:rPr>
        <w:t>希伯來文術語</w:t>
      </w:r>
      <w:r>
        <w:rPr>
          <w:i/>
          <w:lang w:val="zh_TW" w:bidi="zh_TW"/>
        </w:rPr>
        <w:t>kisseh</w:t>
      </w:r>
      <w:r>
        <w:rPr>
          <w:lang w:val="zh_TW" w:bidi="zh_TW"/>
        </w:rPr>
        <w:t>也用來指任何尊貴人物的座位，例如：</w:t>
      </w:r>
    </w:p>
    <w:p>
      <w:pPr>
        <w:pStyle w:val="ListBullet"/>
        <w:spacing w:line="240" w:lineRule="auto"/>
        <w:ind w:left="720"/>
      </w:pPr>
      <w:r>
        <w:rPr>
          <w:lang w:val="zh_TW" w:bidi="zh_TW"/>
        </w:rPr>
      </w:r>
      <w:r>
        <w:rPr>
          <w:lang w:val="zh_TW" w:bidi="zh_TW"/>
        </w:rPr>
        <w:t>祭司（</w:t>
      </w:r>
      <w:r>
        <w:rPr>
          <w:lang w:val="zh_TW" w:bidi="zh_TW"/>
        </w:rPr>
        <w:t>撒上4:13、18</w:t>
      </w:r>
      <w:r>
        <w:rPr>
          <w:lang w:val="zh_TW" w:bidi="zh_TW"/>
        </w:rPr>
        <w:t>）</w:t>
      </w:r>
    </w:p>
    <w:p>
      <w:pPr>
        <w:pStyle w:val="ListBullet"/>
        <w:spacing w:line="240" w:lineRule="auto"/>
        <w:ind w:left="720"/>
      </w:pPr>
      <w:r>
        <w:rPr>
          <w:lang w:val="zh_TW" w:bidi="zh_TW"/>
        </w:rPr>
      </w:r>
      <w:r>
        <w:rPr>
          <w:lang w:val="zh_TW" w:bidi="zh_TW"/>
        </w:rPr>
        <w:t>統治者（</w:t>
      </w:r>
      <w:r>
        <w:rPr>
          <w:lang w:val="zh_TW" w:bidi="zh_TW"/>
        </w:rPr>
        <w:t>詩94:20</w:t>
      </w:r>
      <w:r>
        <w:rPr>
          <w:lang w:val="zh_TW" w:bidi="zh_TW"/>
        </w:rPr>
        <w:t>）</w:t>
      </w:r>
    </w:p>
    <w:p>
      <w:pPr>
        <w:pStyle w:val="ListBullet"/>
        <w:spacing w:line="240" w:lineRule="auto"/>
        <w:ind w:left="720"/>
      </w:pPr>
      <w:r>
        <w:rPr>
          <w:lang w:val="zh_TW" w:bidi="zh_TW"/>
        </w:rPr>
      </w:r>
      <w:r>
        <w:rPr>
          <w:lang w:val="zh_TW" w:bidi="zh_TW"/>
        </w:rPr>
        <w:t>軍官（</w:t>
      </w:r>
      <w:r>
        <w:rPr>
          <w:lang w:val="zh_TW" w:bidi="zh_TW"/>
        </w:rPr>
        <w:t>耶1:15</w:t>
      </w:r>
      <w:r>
        <w:rPr>
          <w:lang w:val="zh_TW" w:bidi="zh_TW"/>
        </w:rPr>
        <w:t>）</w:t>
      </w:r>
    </w:p>
    <w:p>
      <w:pPr>
        <w:pStyle w:val="ListBullet"/>
        <w:spacing w:line="240" w:lineRule="auto"/>
        <w:ind w:left="720"/>
      </w:pPr>
      <w:r>
        <w:rPr>
          <w:lang w:val="zh_TW" w:bidi="zh_TW"/>
        </w:rPr>
      </w:r>
      <w:r>
        <w:rPr>
          <w:lang w:val="zh_TW" w:bidi="zh_TW"/>
        </w:rPr>
        <w:t>貴賓（</w:t>
      </w:r>
      <w:r>
        <w:rPr>
          <w:lang w:val="zh_TW" w:bidi="zh_TW"/>
        </w:rPr>
        <w:t>王下4:10</w:t>
      </w:r>
      <w:r>
        <w:rPr>
          <w:lang w:val="zh_TW" w:bidi="zh_TW"/>
        </w:rPr>
        <w:t>）</w:t>
      </w:r>
    </w:p>
    <w:p>
      <w:pPr/>
      <w:r>
        <w:rPr>
          <w:lang w:val="zh_TW" w:bidi="zh_TW"/>
        </w:rPr>
      </w:r>
      <w:r>
        <w:rPr>
          <w:lang w:val="zh_TW" w:bidi="zh_TW"/>
        </w:rPr>
        <w:t>不過，這個詞主要還是指君王治理國家的寶座。舊約聖經也提到外邦君王的寶座（</w:t>
      </w:r>
      <w:r>
        <w:rPr>
          <w:lang w:val="zh_TW" w:bidi="zh_TW"/>
        </w:rPr>
        <w:t>出11:5；</w:t>
      </w:r>
      <w:r>
        <w:rPr>
          <w:lang w:val="zh_TW" w:bidi="zh_TW"/>
        </w:rPr>
        <w:t>耶43:10；</w:t>
      </w:r>
      <w:r>
        <w:rPr>
          <w:lang w:val="zh_TW" w:bidi="zh_TW"/>
        </w:rPr>
        <w:t>拿3:6</w:t>
      </w:r>
      <w:r>
        <w:rPr>
          <w:lang w:val="zh_TW" w:bidi="zh_TW"/>
        </w:rPr>
        <w:t>），但特別著重以色列的寶座和大衛的寶座。</w:t>
      </w:r>
    </w:p>
    <w:p>
      <w:pPr/>
      <w:r>
        <w:rPr>
          <w:lang w:val="zh_TW" w:bidi="zh_TW"/>
        </w:rPr>
      </w:r>
      <w:r>
        <w:rPr>
          <w:lang w:val="zh_TW" w:bidi="zh_TW"/>
        </w:rPr>
        <w:t>聖經也用寶座作為比喻，描寫以色列的神坐在寶座上（</w:t>
      </w:r>
      <w:r>
        <w:rPr>
          <w:lang w:val="zh_TW" w:bidi="zh_TW"/>
        </w:rPr>
        <w:t>賽66:1</w:t>
      </w:r>
      <w:r>
        <w:rPr>
          <w:lang w:val="zh_TW" w:bidi="zh_TW"/>
        </w:rPr>
        <w:t>）。許多先知都曾看見神坐在寶座上的異象：</w:t>
      </w:r>
    </w:p>
    <w:p>
      <w:pPr>
        <w:pStyle w:val="ListBullet"/>
        <w:spacing w:line="240" w:lineRule="auto"/>
        <w:ind w:left="720"/>
      </w:pPr>
      <w:r>
        <w:rPr>
          <w:lang w:val="zh_TW" w:bidi="zh_TW"/>
        </w:rPr>
      </w:r>
      <w:r>
        <w:rPr>
          <w:lang w:val="zh_TW" w:bidi="zh_TW"/>
        </w:rPr>
        <w:t>米該亞（</w:t>
      </w:r>
      <w:r>
        <w:rPr>
          <w:lang w:val="zh_TW" w:bidi="zh_TW"/>
        </w:rPr>
        <w:t>王上22:19</w:t>
      </w:r>
      <w:r>
        <w:rPr>
          <w:lang w:val="zh_TW" w:bidi="zh_TW"/>
        </w:rPr>
        <w:t>）</w:t>
      </w:r>
    </w:p>
    <w:p>
      <w:pPr>
        <w:pStyle w:val="ListBullet"/>
        <w:spacing w:line="240" w:lineRule="auto"/>
        <w:ind w:left="720"/>
      </w:pPr>
      <w:r>
        <w:rPr>
          <w:lang w:val="zh_TW" w:bidi="zh_TW"/>
        </w:rPr>
      </w:r>
      <w:r>
        <w:rPr>
          <w:lang w:val="zh_TW" w:bidi="zh_TW"/>
        </w:rPr>
        <w:t>以賽亞（</w:t>
      </w:r>
      <w:r>
        <w:rPr>
          <w:lang w:val="zh_TW" w:bidi="zh_TW"/>
        </w:rPr>
        <w:t>賽6:1–3</w:t>
      </w:r>
      <w:r>
        <w:rPr>
          <w:lang w:val="zh_TW" w:bidi="zh_TW"/>
        </w:rPr>
        <w:t>）</w:t>
      </w:r>
    </w:p>
    <w:p>
      <w:pPr>
        <w:pStyle w:val="ListBullet"/>
        <w:spacing w:line="240" w:lineRule="auto"/>
        <w:ind w:left="720"/>
      </w:pPr>
      <w:r>
        <w:rPr>
          <w:lang w:val="zh_TW" w:bidi="zh_TW"/>
        </w:rPr>
      </w:r>
      <w:r>
        <w:rPr>
          <w:lang w:val="zh_TW" w:bidi="zh_TW"/>
        </w:rPr>
        <w:t>以西結（</w:t>
      </w:r>
      <w:r>
        <w:rPr>
          <w:lang w:val="zh_TW" w:bidi="zh_TW"/>
        </w:rPr>
        <w:t>結1:4–28，</w:t>
      </w:r>
      <w:r>
        <w:rPr>
          <w:lang w:val="zh_TW" w:bidi="zh_TW"/>
        </w:rPr>
        <w:t>10:1</w:t>
      </w:r>
      <w:r>
        <w:rPr>
          <w:lang w:val="zh_TW" w:bidi="zh_TW"/>
        </w:rPr>
        <w:t>）</w:t>
      </w:r>
    </w:p>
    <w:p>
      <w:pPr>
        <w:pStyle w:val="ListBullet"/>
        <w:spacing w:line="240" w:lineRule="auto"/>
        <w:ind w:left="720"/>
      </w:pPr>
      <w:r>
        <w:rPr>
          <w:lang w:val="zh_TW" w:bidi="zh_TW"/>
        </w:rPr>
      </w:r>
      <w:r>
        <w:rPr>
          <w:lang w:val="zh_TW" w:bidi="zh_TW"/>
        </w:rPr>
        <w:t>但以理（</w:t>
      </w:r>
      <w:r>
        <w:rPr>
          <w:lang w:val="zh_TW" w:bidi="zh_TW"/>
        </w:rPr>
        <w:t>但7:9–10</w:t>
      </w:r>
      <w:r>
        <w:rPr>
          <w:lang w:val="zh_TW" w:bidi="zh_TW"/>
        </w:rPr>
        <w:t>）</w:t>
      </w:r>
    </w:p>
    <w:p>
      <w:pPr/>
      <w:r>
        <w:rPr>
          <w:lang w:val="zh_TW" w:bidi="zh_TW"/>
        </w:rPr>
      </w:r>
      <w:r>
        <w:rPr>
          <w:lang w:val="zh_TW" w:bidi="zh_TW"/>
        </w:rPr>
        <w:t>後來，以西結所見神寶座的異象，對猶太教的「寶座神祕主義（throne mysticism）」產生了深遠的影響。</w:t>
      </w:r>
      <w:r>
        <w:rPr>
          <w:lang w:val="zh_TW" w:bidi="zh_TW"/>
        </w:rPr>
        <w:t>啟示錄四章</w:t>
      </w:r>
      <w:r>
        <w:rPr>
          <w:lang w:val="zh_TW" w:bidi="zh_TW"/>
        </w:rPr>
        <w:t>描寫神的寶座周圍有二十四個長老的寶座，又有如綠寶石的虹和七盞火燈環繞，前面還有一片如水晶的玻璃海，四周各有四活物。</w:t>
      </w:r>
    </w:p>
    <w:p>
      <w:pPr/>
      <w:r>
        <w:rPr>
          <w:lang w:val="zh_TW" w:bidi="zh_TW"/>
        </w:rPr>
      </w:r>
      <w:r>
        <w:rPr>
          <w:lang w:val="zh_TW" w:bidi="zh_TW"/>
        </w:rPr>
        <w:t>神的寶座通常設在天上（</w:t>
      </w:r>
      <w:r>
        <w:rPr>
          <w:lang w:val="zh_TW" w:bidi="zh_TW"/>
        </w:rPr>
        <w:t>詩11:4</w:t>
      </w:r>
      <w:r>
        <w:rPr>
          <w:lang w:val="zh_TW" w:bidi="zh_TW"/>
        </w:rPr>
        <w:t>；</w:t>
      </w:r>
      <w:r>
        <w:rPr>
          <w:lang w:val="zh_TW" w:bidi="zh_TW"/>
        </w:rPr>
        <w:t>太5:34</w:t>
      </w:r>
      <w:r>
        <w:rPr>
          <w:lang w:val="zh_TW" w:bidi="zh_TW"/>
        </w:rPr>
        <w:t>），但聖經也提到神的寶座在：</w:t>
      </w:r>
    </w:p>
    <w:p>
      <w:pPr>
        <w:pStyle w:val="ListBullet"/>
        <w:spacing w:line="240" w:lineRule="auto"/>
        <w:ind w:left="720"/>
      </w:pPr>
      <w:r>
        <w:rPr>
          <w:lang w:val="zh_TW" w:bidi="zh_TW"/>
        </w:rPr>
      </w:r>
      <w:r>
        <w:rPr>
          <w:lang w:val="zh_TW" w:bidi="zh_TW"/>
        </w:rPr>
        <w:t>耶路撒冷（</w:t>
      </w:r>
      <w:r>
        <w:rPr>
          <w:lang w:val="zh_TW" w:bidi="zh_TW"/>
        </w:rPr>
        <w:t>耶3:17</w:t>
      </w:r>
      <w:r>
        <w:rPr>
          <w:lang w:val="zh_TW" w:bidi="zh_TW"/>
        </w:rPr>
        <w:t>）</w:t>
      </w:r>
    </w:p>
    <w:p>
      <w:pPr>
        <w:pStyle w:val="ListBullet"/>
        <w:spacing w:line="240" w:lineRule="auto"/>
        <w:ind w:left="720"/>
      </w:pPr>
      <w:r>
        <w:rPr>
          <w:lang w:val="zh_TW" w:bidi="zh_TW"/>
        </w:rPr>
      </w:r>
      <w:r>
        <w:rPr>
          <w:lang w:val="zh_TW" w:bidi="zh_TW"/>
        </w:rPr>
        <w:t>聖殿（</w:t>
      </w:r>
      <w:r>
        <w:rPr>
          <w:lang w:val="zh_TW" w:bidi="zh_TW"/>
        </w:rPr>
        <w:t>結43:6–7</w:t>
      </w:r>
      <w:r>
        <w:rPr>
          <w:lang w:val="zh_TW" w:bidi="zh_TW"/>
        </w:rPr>
        <w:t>）</w:t>
      </w:r>
    </w:p>
    <w:p>
      <w:pPr>
        <w:pStyle w:val="ListBullet"/>
        <w:spacing w:line="240" w:lineRule="auto"/>
        <w:ind w:left="720"/>
      </w:pPr>
      <w:r>
        <w:rPr>
          <w:lang w:val="zh_TW" w:bidi="zh_TW"/>
        </w:rPr>
      </w:r>
      <w:r>
        <w:rPr>
          <w:lang w:val="zh_TW" w:bidi="zh_TW"/>
        </w:rPr>
        <w:t>以色列 （</w:t>
      </w:r>
      <w:r>
        <w:rPr>
          <w:lang w:val="zh_TW" w:bidi="zh_TW"/>
        </w:rPr>
        <w:t>耶14:21</w:t>
      </w:r>
      <w:r>
        <w:rPr>
          <w:lang w:val="zh_TW" w:bidi="zh_TW"/>
        </w:rPr>
        <w:t>）</w:t>
      </w:r>
    </w:p>
    <w:p>
      <w:pPr/>
      <w:r>
        <w:rPr>
          <w:lang w:val="zh_TW" w:bidi="zh_TW"/>
        </w:rPr>
      </w:r>
      <w:r>
        <w:rPr>
          <w:lang w:val="zh_TW" w:bidi="zh_TW"/>
        </w:rPr>
        <w:t>舊約聖經很少提到基督的寶座（</w:t>
      </w:r>
      <w:r>
        <w:rPr>
          <w:lang w:val="zh_TW" w:bidi="zh_TW"/>
        </w:rPr>
        <w:t>賽9:7</w:t>
      </w:r>
      <w:r>
        <w:rPr>
          <w:lang w:val="zh_TW" w:bidi="zh_TW"/>
        </w:rPr>
        <w:t>；</w:t>
      </w:r>
      <w:r>
        <w:rPr>
          <w:lang w:val="zh_TW" w:bidi="zh_TW"/>
        </w:rPr>
        <w:t>耶17:25</w:t>
      </w:r>
      <w:r>
        <w:rPr>
          <w:lang w:val="zh_TW" w:bidi="zh_TW"/>
        </w:rPr>
        <w:t>），新約聖經則經常提及（</w:t>
      </w:r>
      <w:r>
        <w:rPr>
          <w:lang w:val="zh_TW" w:bidi="zh_TW"/>
        </w:rPr>
        <w:t>路1:32</w:t>
      </w:r>
      <w:r>
        <w:rPr>
          <w:lang w:val="zh_TW" w:bidi="zh_TW"/>
        </w:rPr>
        <w:t>；</w:t>
      </w:r>
      <w:r>
        <w:rPr>
          <w:lang w:val="zh_TW" w:bidi="zh_TW"/>
        </w:rPr>
        <w:t>徒2:30</w:t>
      </w:r>
      <w:r>
        <w:rPr>
          <w:lang w:val="zh_TW" w:bidi="zh_TW"/>
        </w:rPr>
        <w:t>）。這個寶座象徵基督的王權和權柄。</w:t>
      </w:r>
      <w:r>
        <w:rPr>
          <w:lang w:val="zh_TW" w:bidi="zh_TW"/>
        </w:rPr>
      </w:r>
      <w:r>
        <w:rPr>
          <w:lang w:val="zh_TW" w:bidi="zh_TW"/>
        </w:rPr>
      </w:r>
    </w:p>
    <w:p>
      <w:pPr/>
      <w:r>
        <w:rPr>
          <w:lang w:val="zh_TW" w:bidi="zh_TW"/>
        </w:rPr>
      </w:r>
    </w:p>
    <w:p>
      <w:pPr>
        <w:pStyle w:val="Heading2"/>
      </w:pPr>
      <w:r>
        <w:rPr>
          <w:lang w:val="zh_TW" w:bidi="zh_TW"/>
        </w:rPr>
        <w:t>報血仇者</w:t>
      </w:r>
      <w:r>
        <w:rPr>
          <w:lang w:val="zh_TW" w:bidi="zh_TW"/>
        </w:rPr>
      </w:r>
    </w:p>
    <w:p>
      <w:pPr>
        <w:pStyle w:val="Heading2"/>
      </w:pPr>
      <w:r>
        <w:rPr>
          <w:lang w:val="zh_TW" w:bidi="zh_TW"/>
        </w:rPr>
        <w:t>報血仇者</w:t>
      </w:r>
    </w:p>
    <w:p>
      <w:pPr/>
      <w:r>
        <w:rPr>
          <w:lang w:val="zh_TW" w:bidi="zh_TW"/>
        </w:rPr>
      </w:r>
      <w:r>
        <w:rPr>
          <w:lang w:val="zh_TW" w:bidi="zh_TW"/>
        </w:rPr>
        <w:t>報血仇者（</w:t>
      </w:r>
      <w:r>
        <w:rPr>
          <w:lang w:val="zh_TW" w:bidi="zh_TW"/>
        </w:rPr>
        <w:t>Avenger of Blood</w:t>
      </w:r>
      <w:r>
        <w:rPr>
          <w:lang w:val="zh_TW" w:bidi="zh_TW"/>
        </w:rPr>
        <w:t>）指追捕並最終處決近親被害者的兇手（</w:t>
      </w:r>
      <w:r>
        <w:rPr>
          <w:lang w:val="zh_TW" w:bidi="zh_TW"/>
        </w:rPr>
        <w:t>民35章</w:t>
      </w:r>
      <w:r>
        <w:rPr>
          <w:lang w:val="zh_TW" w:bidi="zh_TW"/>
        </w:rPr>
        <w:t>）。這位「救贖者／至近親屬的伸冤者」在蓄意殺人案件中被期待要出面去報仇，但若屬意外誤殺則不在此限。犯了誤殺的人可以逃入六座指定的逃城之中尋求庇護（</w:t>
      </w:r>
      <w:r>
        <w:rPr>
          <w:lang w:val="zh_TW" w:bidi="zh_TW"/>
        </w:rPr>
        <w:t>民35:11</w:t>
      </w:r>
      <w:r>
        <w:rPr>
          <w:lang w:val="zh_TW" w:bidi="zh_TW"/>
        </w:rPr>
        <w:t>），以確保適當的法律程序能夠進行。在以下的故事中提到報血仇者的角色：</w:t>
      </w:r>
    </w:p>
    <w:p>
      <w:pPr>
        <w:pStyle w:val="ListBullet"/>
        <w:spacing w:line="240" w:lineRule="auto"/>
        <w:ind w:left="720"/>
      </w:pPr>
      <w:r>
        <w:rPr>
          <w:lang w:val="zh_TW" w:bidi="zh_TW"/>
        </w:rPr>
      </w:r>
      <w:r>
        <w:rPr>
          <w:lang w:val="zh_TW" w:bidi="zh_TW"/>
        </w:rPr>
        <w:t>基甸（</w:t>
      </w:r>
      <w:r>
        <w:rPr>
          <w:lang w:val="zh_TW" w:bidi="zh_TW"/>
        </w:rPr>
        <w:t>士8:18–21</w:t>
      </w:r>
      <w:r>
        <w:rPr>
          <w:lang w:val="zh_TW" w:bidi="zh_TW"/>
        </w:rPr>
        <w:t>）</w:t>
      </w:r>
    </w:p>
    <w:p>
      <w:pPr>
        <w:pStyle w:val="ListBullet"/>
        <w:spacing w:line="240" w:lineRule="auto"/>
        <w:ind w:left="720"/>
      </w:pPr>
      <w:r>
        <w:rPr>
          <w:lang w:val="zh_TW" w:bidi="zh_TW"/>
        </w:rPr>
      </w:r>
      <w:r>
        <w:rPr>
          <w:lang w:val="zh_TW" w:bidi="zh_TW"/>
        </w:rPr>
        <w:t>約押（</w:t>
      </w:r>
      <w:r>
        <w:rPr>
          <w:lang w:val="zh_TW" w:bidi="zh_TW"/>
        </w:rPr>
        <w:t>撒下3:27</w:t>
      </w:r>
      <w:r>
        <w:rPr>
          <w:lang w:val="zh_TW" w:bidi="zh_TW"/>
        </w:rPr>
        <w:t>、</w:t>
      </w:r>
      <w:r>
        <w:rPr>
          <w:lang w:val="zh_TW" w:bidi="zh_TW"/>
        </w:rPr>
        <w:t>30</w:t>
      </w:r>
      <w:r>
        <w:rPr>
          <w:lang w:val="zh_TW" w:bidi="zh_TW"/>
        </w:rPr>
        <w:t>）</w:t>
      </w:r>
    </w:p>
    <w:p>
      <w:pPr>
        <w:pStyle w:val="ListBullet"/>
        <w:spacing w:line="240" w:lineRule="auto"/>
        <w:ind w:left="720"/>
      </w:pPr>
      <w:r>
        <w:rPr>
          <w:lang w:val="zh_TW" w:bidi="zh_TW"/>
        </w:rPr>
      </w:r>
      <w:r>
        <w:rPr>
          <w:lang w:val="zh_TW" w:bidi="zh_TW"/>
        </w:rPr>
        <w:t>基遍人（</w:t>
      </w:r>
      <w:r>
        <w:rPr>
          <w:lang w:val="zh_TW" w:bidi="zh_TW"/>
        </w:rPr>
        <w:t>撒下21</w:t>
      </w:r>
      <w:r>
        <w:rPr>
          <w:lang w:val="zh_TW" w:bidi="zh_TW"/>
        </w:rPr>
        <w:t>）</w:t>
      </w:r>
    </w:p>
    <w:p>
      <w:pPr>
        <w:pStyle w:val="ListBullet"/>
        <w:spacing w:line="240" w:lineRule="auto"/>
        <w:ind w:left="720"/>
      </w:pPr>
      <w:r>
        <w:rPr>
          <w:lang w:val="zh_TW" w:bidi="zh_TW"/>
        </w:rPr>
      </w:r>
      <w:r>
        <w:rPr>
          <w:lang w:val="zh_TW" w:bidi="zh_TW"/>
        </w:rPr>
        <w:t>亞瑪謝（</w:t>
      </w:r>
      <w:r>
        <w:rPr>
          <w:lang w:val="zh_TW" w:bidi="zh_TW"/>
        </w:rPr>
        <w:t>王下14:5–6</w:t>
      </w:r>
      <w:r>
        <w:rPr>
          <w:lang w:val="zh_TW" w:bidi="zh_TW"/>
        </w:rPr>
        <w:t>）</w:t>
      </w:r>
    </w:p>
    <w:p>
      <w:pPr/>
      <w:r>
        <w:rPr>
          <w:lang w:val="zh_TW" w:bidi="zh_TW"/>
        </w:rPr>
      </w:r>
      <w:r>
        <w:rPr>
          <w:lang w:val="zh_TW" w:bidi="zh_TW"/>
        </w:rPr>
        <w:t>在君主制時代，君王可以阻止報血仇者（</w:t>
      </w:r>
      <w:r>
        <w:rPr>
          <w:lang w:val="zh_TW" w:bidi="zh_TW"/>
        </w:rPr>
        <w:t>撒下14:8–11</w:t>
      </w:r>
      <w:r>
        <w:rPr>
          <w:lang w:val="zh_TW" w:bidi="zh_TW"/>
        </w:rPr>
        <w:t>）。</w:t>
      </w:r>
    </w:p>
    <w:p>
      <w:pPr/>
      <w:r>
        <w:rPr>
          <w:lang w:val="zh_TW" w:bidi="zh_TW"/>
        </w:rPr>
      </w:r>
      <w:r>
        <w:rPr>
          <w:lang w:val="zh_TW" w:bidi="zh_TW"/>
        </w:rPr>
        <w:t>此習俗根源於神的命令，即在故意殺人的情況下，要以命償命（</w:t>
      </w:r>
      <w:r>
        <w:rPr>
          <w:lang w:val="zh_TW" w:bidi="zh_TW"/>
        </w:rPr>
        <w:t>創9:6</w:t>
      </w:r>
      <w:r>
        <w:rPr>
          <w:lang w:val="zh_TW" w:bidi="zh_TW"/>
        </w:rPr>
        <w:t>）。不幸的是，法律的目標——強調人類生命的重要性——有時會被誤解，導致社會中一些血仇相報，甚至造成滅門慘劇。</w:t>
      </w:r>
    </w:p>
    <w:p>
      <w:pPr/>
      <w:r>
        <w:rPr>
          <w:lang w:val="zh_TW" w:bidi="zh_TW"/>
        </w:rPr>
      </w:r>
      <w:r>
        <w:rPr>
          <w:i/>
          <w:lang w:val="zh_TW" w:bidi="zh_TW"/>
        </w:rPr>
        <w:t>另見</w:t>
      </w:r>
      <w:r>
        <w:rPr>
          <w:lang w:val="zh_TW" w:bidi="zh_TW"/>
        </w:rPr>
        <w:t>民事法律與司法</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