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dian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癲癇，癲癇病人</w:t>
      </w:r>
      <w:r>
        <w:rPr>
          <w:lang w:val="zh_TW" w:bidi="zh_TW"/>
        </w:rPr>
      </w:r>
    </w:p>
    <w:p>
      <w:pPr/>
      <w:r>
        <w:rPr>
          <w:lang w:val="zh_TW" w:bidi="zh_TW"/>
        </w:rPr>
      </w:r>
      <w:r>
        <w:rPr>
          <w:lang w:val="zh_TW" w:bidi="zh_TW"/>
        </w:rPr>
        <w:t>中樞神經系統的一種疾病，其特徵包括失去意識和抽搐。癲癇發作可分為小發作（面部或手部抽動、短暫而劇烈的腹痛，以及可能的瞬間失去意識）和大發作（全身抽搐、口吐白沫、以及持續5至20分鐘的昏迷）。雖然癲癇的原因至今仍不完全清楚，但現代已有藥物可以預防或控制發作。</w:t>
      </w:r>
    </w:p>
    <w:p>
      <w:pPr/>
      <w:r>
        <w:rPr>
          <w:lang w:val="zh_TW" w:bidi="zh_TW"/>
        </w:rPr>
      </w:r>
      <w:r>
        <w:rPr>
          <w:lang w:val="zh_TW" w:bidi="zh_TW"/>
        </w:rPr>
        <w:t>在聖經時代，癲癇（稱為「癲病」）尚無有效的治療方法。耶穌曾醫治一名顯然患有此病的男孩（</w:t>
      </w:r>
      <w:r>
        <w:rPr>
          <w:lang w:val="zh_TW" w:bidi="zh_TW"/>
        </w:rPr>
        <w:t>太17:14–18</w:t>
      </w:r>
      <w:r>
        <w:rPr>
          <w:lang w:val="zh_TW" w:bidi="zh_TW"/>
        </w:rPr>
        <w:t>；</w:t>
      </w:r>
      <w:r>
        <w:rPr>
          <w:lang w:val="zh_TW" w:bidi="zh_TW"/>
        </w:rPr>
        <w:t>可9:17–27</w:t>
      </w:r>
      <w:r>
        <w:rPr>
          <w:lang w:val="zh_TW" w:bidi="zh_TW"/>
        </w:rPr>
        <w:t>；</w:t>
      </w:r>
      <w:r>
        <w:rPr>
          <w:lang w:val="zh_TW" w:bidi="zh_TW"/>
        </w:rPr>
        <w:t>路9:37–42</w:t>
      </w:r>
      <w:r>
        <w:rPr>
          <w:lang w:val="zh_TW" w:bidi="zh_TW"/>
        </w:rPr>
        <w:t>）。有英文譯本將這男孩描述為「瘋子（lunatic）」（來自拉丁文</w:t>
      </w:r>
      <w:r>
        <w:rPr>
          <w:i/>
          <w:lang w:val="zh_TW" w:bidi="zh_TW"/>
        </w:rPr>
        <w:t>luna，意為</w:t>
      </w:r>
      <w:r>
        <w:rPr>
          <w:lang w:val="zh_TW" w:bidi="zh_TW"/>
        </w:rPr>
        <w:t>「月亮」）是不正確的用法。馬太福音中所用的希臘文詞語（字面意思為「受月亮影響」）反映了古代對某些疾病與月相有關的觀念。根據聖經記載，根據聖經記載，耶穌將一個邪靈或「污鬼」趕出該男孩後，他便得到了醫治。</w:t>
      </w:r>
      <w:r>
        <w:rPr>
          <w:i/>
          <w:lang w:val="zh_TW" w:bidi="zh_TW"/>
        </w:rPr>
        <w:t>見</w:t>
      </w:r>
      <w:r>
        <w:rPr>
          <w:lang w:val="zh_TW" w:bidi="zh_TW"/>
        </w:rPr>
        <w:t>藥物與醫療實踐</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