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通姦</w:t>
      </w:r>
      <w:r>
        <w:rPr>
          <w:lang w:val="zh_TW" w:bidi="zh_TW"/>
        </w:rPr>
      </w:r>
    </w:p>
    <w:p>
      <w:pPr/>
      <w:r>
        <w:rPr>
          <w:lang w:val="zh_TW" w:bidi="zh_TW"/>
        </w:rPr>
      </w:r>
      <w:r>
        <w:rPr>
          <w:lang w:val="zh_TW" w:bidi="zh_TW"/>
        </w:rPr>
        <w:t>不貞、性方面的不道德（簡稱：性不道德）。「淫亂（fornication）」一詞在聖經中有幾種不同的意思。</w:t>
      </w:r>
    </w:p>
    <w:p>
      <w:pPr/>
      <w:r>
        <w:rPr>
          <w:lang w:val="zh_TW" w:bidi="zh_TW"/>
        </w:rPr>
      </w:r>
      <w:r>
        <w:rPr>
          <w:lang w:val="zh_TW" w:bidi="zh_TW"/>
        </w:rPr>
        <w:t>它的廣義含義是指所有非法的性行為，也就是除丈夫和妻子之間的性行為外的任何性行為。例如，在</w:t>
      </w:r>
      <w:r>
        <w:rPr>
          <w:lang w:val="zh_TW" w:bidi="zh_TW"/>
        </w:rPr>
        <w:t>哥林多前書五章1節</w:t>
      </w:r>
      <w:r>
        <w:rPr>
          <w:lang w:val="zh_TW" w:bidi="zh_TW"/>
        </w:rPr>
        <w:t>中，這個詞被用於指當地教會所容忍的一種罪：有一個人顯然與他的繼母同居。在</w:t>
      </w:r>
      <w:r>
        <w:rPr>
          <w:lang w:val="zh_TW" w:bidi="zh_TW"/>
        </w:rPr>
        <w:t>羅馬書一章29節</w:t>
      </w:r>
      <w:r>
        <w:rPr>
          <w:lang w:val="zh_TW" w:bidi="zh_TW"/>
        </w:rPr>
        <w:t>的一系列可怕的罪行中，使徒保羅將「淫亂」列入其中，似乎意在將其涵蓋所有形式的性方面不道德的行為。在哥林多前書中，保羅在上下文中暗示這個詞指各種非法的性活動（</w:t>
      </w:r>
      <w:r>
        <w:rPr>
          <w:lang w:val="zh_TW" w:bidi="zh_TW"/>
        </w:rPr>
        <w:t>6:13、18</w:t>
      </w:r>
      <w:r>
        <w:rPr>
          <w:lang w:val="zh_TW" w:bidi="zh_TW"/>
        </w:rPr>
        <w:t>）。在</w:t>
      </w:r>
      <w:r>
        <w:rPr>
          <w:lang w:val="zh_TW" w:bidi="zh_TW"/>
        </w:rPr>
        <w:t>哥林多前書七章2節</w:t>
      </w:r>
      <w:r>
        <w:rPr>
          <w:lang w:val="zh_TW" w:bidi="zh_TW"/>
        </w:rPr>
        <w:t>中，保羅使用了「淫亂」的希臘文複數形式，暗示這種罪行可能以多種形式表現出來。他因此指出，哥林多人應該結婚並合宜地共同生活。「淫亂」廣義含義中的一種罪行是姦淫。</w:t>
      </w:r>
    </w:p>
    <w:p>
      <w:pPr/>
      <w:r>
        <w:rPr>
          <w:lang w:val="zh_TW" w:bidi="zh_TW"/>
        </w:rPr>
      </w:r>
      <w:r>
        <w:rPr>
          <w:lang w:val="zh_TW" w:bidi="zh_TW"/>
        </w:rPr>
        <w:t>「淫亂」也有一種更為狹義的含義，指未婚之間的性不道德行為。在那些將「淫亂」和「姦淫」並列的聖經清單中，暗示了這種含義。耶穌所列的出於人心中的污穢罪行包括「淫亂（譯註：和合本譯為苟合）」和「姦淫」（</w:t>
      </w:r>
      <w:r>
        <w:rPr>
          <w:lang w:val="zh_TW" w:bidi="zh_TW"/>
        </w:rPr>
        <w:t>太15:19</w:t>
      </w:r>
      <w:r>
        <w:rPr>
          <w:lang w:val="zh_TW" w:bidi="zh_TW"/>
        </w:rPr>
        <w:t>；</w:t>
      </w:r>
      <w:r>
        <w:rPr>
          <w:lang w:val="zh_TW" w:bidi="zh_TW"/>
        </w:rPr>
        <w:t>可7:21–22</w:t>
      </w:r>
      <w:r>
        <w:rPr>
          <w:lang w:val="zh_TW" w:bidi="zh_TW"/>
        </w:rPr>
        <w:t>）。保羅列出的那些不能承受神的國的罪人中也包括淫亂的和姦淫的（</w:t>
      </w:r>
      <w:r>
        <w:rPr>
          <w:lang w:val="zh_TW" w:bidi="zh_TW"/>
        </w:rPr>
        <w:t>林前6:9</w:t>
      </w:r>
      <w:r>
        <w:rPr>
          <w:lang w:val="zh_TW" w:bidi="zh_TW"/>
        </w:rPr>
        <w:t>）。</w:t>
      </w:r>
    </w:p>
    <w:p>
      <w:pPr/>
      <w:r>
        <w:rPr>
          <w:lang w:val="zh_TW" w:bidi="zh_TW"/>
        </w:rPr>
      </w:r>
      <w:r>
        <w:rPr>
          <w:lang w:val="zh_TW" w:bidi="zh_TW"/>
        </w:rPr>
        <w:t>「淫亂」在</w:t>
      </w:r>
      <w:r>
        <w:rPr>
          <w:lang w:val="zh_TW" w:bidi="zh_TW"/>
        </w:rPr>
        <w:t>馬太福音五章32節</w:t>
      </w:r>
      <w:r>
        <w:rPr>
          <w:lang w:val="zh_TW" w:bidi="zh_TW"/>
        </w:rPr>
        <w:t>和</w:t>
      </w:r>
      <w:r>
        <w:rPr>
          <w:lang w:val="zh_TW" w:bidi="zh_TW"/>
        </w:rPr>
        <w:t>十九章9節</w:t>
      </w:r>
      <w:r>
        <w:rPr>
          <w:lang w:val="zh_TW" w:bidi="zh_TW"/>
        </w:rPr>
        <w:t>通常被現今的聖經學者理解為專指姦淫。對於希臘文porneia的翻譯涉及解釋而非純翻譯。學者們對耶穌關於休妻的例外說法是否指淫亂的廣義或狹義含義存在分歧。他可能僅指姦淫，也可能將它與其它性罪一併包括在內。</w:t>
      </w:r>
    </w:p>
    <w:p>
      <w:pPr/>
      <w:r>
        <w:rPr>
          <w:lang w:val="zh_TW" w:bidi="zh_TW"/>
        </w:rPr>
      </w:r>
      <w:r>
        <w:rPr>
          <w:lang w:val="zh_TW" w:bidi="zh_TW"/>
        </w:rPr>
        <w:t>「淫亂」一詞在舊約和新約中也有比喻性的用法。起源於以色列和教會作為主的妻子或新娘的描述，背離神和拜偶像被稱為淫亂（例如，見</w:t>
      </w:r>
      <w:r>
        <w:rPr>
          <w:lang w:val="zh_TW" w:bidi="zh_TW"/>
        </w:rPr>
        <w:t>耶2章</w:t>
      </w:r>
      <w:r>
        <w:rPr>
          <w:lang w:val="zh_TW" w:bidi="zh_TW"/>
        </w:rPr>
        <w:t>）。</w:t>
      </w:r>
      <w:r>
        <w:rPr>
          <w:lang w:val="zh_TW" w:bidi="zh_TW"/>
        </w:rPr>
        <w:t>以西結書第十六章</w:t>
      </w:r>
      <w:r>
        <w:rPr>
          <w:lang w:val="zh_TW" w:bidi="zh_TW"/>
        </w:rPr>
        <w:t>用對婚姻誓言的不忠來象徵耶路撒冷與神之間偏離正道的關係。耶路撒冷對神而言成了一個「行淫的妻」。何西阿書的前三章使用先知何西阿與其淫亂的妻子歌篾的關係，來比喻以色列民族如何對其「丈夫」（神）犯下淫亂之罪，轉而追求其它神。在啟示錄中，「淫亂」和「邪淫」的比喻用法用於大巴比倫——大淫婦（</w:t>
      </w:r>
      <w:r>
        <w:rPr>
          <w:lang w:val="zh_TW" w:bidi="zh_TW"/>
        </w:rPr>
        <w:t>啟14:8，</w:t>
      </w:r>
      <w:r>
        <w:rPr>
          <w:lang w:val="zh_TW" w:bidi="zh_TW"/>
        </w:rPr>
        <w:t>17:2–4，</w:t>
      </w:r>
      <w:r>
        <w:rPr>
          <w:lang w:val="zh_TW" w:bidi="zh_TW"/>
        </w:rPr>
        <w:t>18:3，</w:t>
      </w:r>
      <w:r>
        <w:rPr>
          <w:lang w:val="zh_TW" w:bidi="zh_TW"/>
        </w:rPr>
        <w:t>19:2</w:t>
      </w:r>
      <w:r>
        <w:rPr>
          <w:lang w:val="zh_TW" w:bidi="zh_TW"/>
        </w:rPr>
        <w:t>）。</w:t>
      </w:r>
    </w:p>
    <w:p>
      <w:pPr/>
      <w:r>
        <w:rPr>
          <w:lang w:val="zh_TW" w:bidi="zh_TW"/>
        </w:rPr>
      </w:r>
      <w:r>
        <w:rPr>
          <w:i/>
          <w:lang w:val="zh_TW" w:bidi="zh_TW"/>
        </w:rPr>
        <w:t>另見</w:t>
      </w:r>
      <w:r>
        <w:rPr>
          <w:lang w:val="zh_TW" w:bidi="zh_TW"/>
        </w:rPr>
        <w:t xml:space="preserve"> </w:t>
      </w:r>
      <w:r>
        <w:rPr>
          <w:lang w:val="zh_TW" w:bidi="zh_TW"/>
        </w:rPr>
        <w:t>姦淫</w:t>
      </w:r>
      <w:r>
        <w:rPr>
          <w:lang w:val="zh_TW" w:bidi="zh_TW"/>
        </w:rPr>
        <w:t>。</w:t>
      </w:r>
      <w:r>
        <w:rPr>
          <w:lang w:val="zh_TW" w:bidi="zh_TW"/>
        </w:rPr>
      </w:r>
      <w:r>
        <w:rPr>
          <w:lang w:val="zh_TW" w:bidi="zh_TW"/>
        </w:rPr>
      </w:r>
    </w:p>
    <w:p>
      <w:pPr/>
      <w:r>
        <w:rPr>
          <w:lang w:val="zh_TW" w:bidi="zh_TW"/>
        </w:rPr>
      </w:r>
    </w:p>
    <w:p>
      <w:pPr>
        <w:pStyle w:val="Heading2"/>
      </w:pPr>
      <w:r>
        <w:rPr>
          <w:lang w:val="zh_TW" w:bidi="zh_TW"/>
        </w:rPr>
        <w:t>童貞女</w:t>
      </w:r>
      <w:r>
        <w:rPr>
          <w:lang w:val="zh_TW" w:bidi="zh_TW"/>
        </w:rPr>
      </w:r>
    </w:p>
    <w:p>
      <w:pPr/>
      <w:r>
        <w:rPr>
          <w:lang w:val="zh_TW" w:bidi="zh_TW"/>
        </w:rPr>
      </w:r>
      <w:r>
        <w:rPr>
          <w:lang w:val="zh_TW" w:bidi="zh_TW"/>
        </w:rPr>
        <w:t>這是用來描述女性，或用來比喻地方、國家和教會的詞。該詞是在描述一位性徵成熟但尚未發生性行為的女性。耶穌的母親馬利亞就是一個明顯的例子（</w:t>
      </w:r>
      <w:r>
        <w:rPr>
          <w:lang w:val="zh_TW" w:bidi="zh_TW"/>
        </w:rPr>
        <w:t>太1:18–25</w:t>
      </w:r>
      <w:r>
        <w:rPr>
          <w:lang w:val="zh_TW" w:bidi="zh_TW"/>
        </w:rPr>
        <w:t>）。</w:t>
      </w:r>
    </w:p>
    <w:p>
      <w:pPr/>
      <w:r>
        <w:rPr>
          <w:lang w:val="zh_TW" w:bidi="zh_TW"/>
        </w:rPr>
      </w:r>
      <w:r>
        <w:rPr>
          <w:lang w:val="zh_TW" w:bidi="zh_TW"/>
        </w:rPr>
        <w:t>舊約聖經非常重視在婚姻前保持貞潔。利百加成為適合以撒的新娘，其中一個特質就是她的貞潔（</w:t>
      </w:r>
      <w:r>
        <w:rPr>
          <w:lang w:val="zh_TW" w:bidi="zh_TW"/>
        </w:rPr>
        <w:t>創24:16</w:t>
      </w:r>
      <w:r>
        <w:rPr>
          <w:lang w:val="zh_TW" w:bidi="zh_TW"/>
        </w:rPr>
        <w:t>）。律法規定祭司只能娶貞潔的女子為妻（</w:t>
      </w:r>
      <w:r>
        <w:rPr>
          <w:lang w:val="zh_TW" w:bidi="zh_TW"/>
        </w:rPr>
        <w:t>利21:7</w:t>
      </w:r>
      <w:r>
        <w:rPr>
          <w:lang w:val="zh_TW" w:bidi="zh_TW"/>
        </w:rPr>
        <w:t>、</w:t>
      </w:r>
      <w:r>
        <w:rPr>
          <w:lang w:val="zh_TW" w:bidi="zh_TW"/>
        </w:rPr>
        <w:t>13</w:t>
      </w:r>
      <w:r>
        <w:rPr>
          <w:lang w:val="zh_TW" w:bidi="zh_TW"/>
        </w:rPr>
        <w:t>–</w:t>
      </w:r>
      <w:r>
        <w:rPr>
          <w:lang w:val="zh_TW" w:bidi="zh_TW"/>
        </w:rPr>
        <w:t>14</w:t>
      </w:r>
      <w:r>
        <w:rPr>
          <w:lang w:val="zh_TW" w:bidi="zh_TW"/>
        </w:rPr>
        <w:t>）。而祭司應該是那些生活最符合神標準的人。</w:t>
      </w:r>
    </w:p>
    <w:p>
      <w:pPr/>
      <w:r>
        <w:rPr>
          <w:lang w:val="zh_TW" w:bidi="zh_TW"/>
        </w:rPr>
      </w:r>
      <w:r>
        <w:rPr>
          <w:lang w:val="zh_TW" w:bidi="zh_TW"/>
        </w:rPr>
        <w:t>這反映了聖經對婚姻的教導，也使專一的忠誠成為婚姻的理想。新約聖經禁止婚前性行為，表達了這一理想（</w:t>
      </w:r>
      <w:r>
        <w:rPr>
          <w:lang w:val="zh_TW" w:bidi="zh_TW"/>
        </w:rPr>
        <w:t>林前6:13</w:t>
      </w:r>
      <w:r>
        <w:rPr>
          <w:lang w:val="zh_TW" w:bidi="zh_TW"/>
        </w:rPr>
        <w:t>、</w:t>
      </w:r>
      <w:r>
        <w:rPr>
          <w:lang w:val="zh_TW" w:bidi="zh_TW"/>
        </w:rPr>
        <w:t>18</w:t>
      </w:r>
      <w:r>
        <w:rPr>
          <w:lang w:val="zh_TW" w:bidi="zh_TW"/>
        </w:rPr>
        <w:t>）。新約聖經使用「童女（或童身）」來描述對神忠心的基督徒（</w:t>
      </w:r>
      <w:r>
        <w:rPr>
          <w:lang w:val="zh_TW" w:bidi="zh_TW"/>
        </w:rPr>
        <w:t>啟14:4</w:t>
      </w:r>
      <w:r>
        <w:rPr>
          <w:lang w:val="zh_TW" w:bidi="zh_TW"/>
        </w:rPr>
        <w:t>；參</w:t>
      </w:r>
      <w:r>
        <w:rPr>
          <w:lang w:val="zh_TW" w:bidi="zh_TW"/>
        </w:rPr>
        <w:t>林後11:2</w:t>
      </w:r>
      <w:r>
        <w:rPr>
          <w:lang w:val="zh_TW" w:bidi="zh_TW"/>
        </w:rPr>
        <w:t>）。</w:t>
      </w:r>
    </w:p>
    <w:p>
      <w:pPr/>
      <w:r>
        <w:rPr>
          <w:lang w:val="zh_TW" w:bidi="zh_TW"/>
        </w:rPr>
      </w:r>
      <w:r>
        <w:rPr>
          <w:lang w:val="zh_TW" w:bidi="zh_TW"/>
        </w:rPr>
        <w:t>從負面的角度來看，舊約聖經在處罰失去貞潔的問題上強調了相同的原則。如果男人在道德上負有責任，那麼他必須娶女子為妻或賠償女子的父親（</w:t>
      </w:r>
      <w:r>
        <w:rPr>
          <w:lang w:val="zh_TW" w:bidi="zh_TW"/>
        </w:rPr>
        <w:t>出22:16–17</w:t>
      </w:r>
      <w:r>
        <w:rPr>
          <w:lang w:val="zh_TW" w:bidi="zh_TW"/>
        </w:rPr>
        <w:t>）。如果女性自己有責任，其懲罰就是死刑（</w:t>
      </w:r>
      <w:r>
        <w:rPr>
          <w:lang w:val="zh_TW" w:bidi="zh_TW"/>
        </w:rPr>
        <w:t>申22:20–21</w:t>
      </w:r>
      <w:r>
        <w:rPr>
          <w:lang w:val="zh_TW" w:bidi="zh_TW"/>
        </w:rPr>
        <w:t>）。然而，舊約聖經中很少提及對於終生守貞的讚美。耶利米被吩咐不要娶妻，僅僅是為了強調神對即將到來的審判的警告（</w:t>
      </w:r>
      <w:r>
        <w:rPr>
          <w:lang w:val="zh_TW" w:bidi="zh_TW"/>
        </w:rPr>
        <w:t>耶16:2</w:t>
      </w:r>
      <w:r>
        <w:rPr>
          <w:lang w:val="zh_TW" w:bidi="zh_TW"/>
        </w:rPr>
        <w:t>）。從女性的角度來看，終生保持未婚貞潔和沒有子女是一種悲劇（參</w:t>
      </w:r>
      <w:r>
        <w:rPr>
          <w:lang w:val="zh_TW" w:bidi="zh_TW"/>
        </w:rPr>
        <w:t>士11:37</w:t>
      </w:r>
      <w:r>
        <w:rPr>
          <w:lang w:val="zh_TW" w:bidi="zh_TW"/>
        </w:rPr>
        <w:t>）。</w:t>
      </w:r>
    </w:p>
    <w:p>
      <w:pPr/>
      <w:r>
        <w:rPr>
          <w:lang w:val="zh_TW" w:bidi="zh_TW"/>
        </w:rPr>
      </w:r>
      <w:r>
        <w:rPr>
          <w:lang w:val="zh_TW" w:bidi="zh_TW"/>
        </w:rPr>
        <w:t>新約聖經重視婚姻，但更清楚地顯明基督徒男女保持貞潔的益處。保羅宣稱，獨身對某些人來說是神的恩賜，因為其對基督徒的事奉有正面的果效（</w:t>
      </w:r>
      <w:r>
        <w:rPr>
          <w:lang w:val="zh_TW" w:bidi="zh_TW"/>
        </w:rPr>
        <w:t>林前7:7</w:t>
      </w:r>
      <w:r>
        <w:rPr>
          <w:lang w:val="zh_TW" w:bidi="zh_TW"/>
        </w:rPr>
        <w:t>、</w:t>
      </w:r>
      <w:r>
        <w:rPr>
          <w:lang w:val="zh_TW" w:bidi="zh_TW"/>
        </w:rPr>
        <w:t>25</w:t>
      </w:r>
      <w:r>
        <w:rPr>
          <w:lang w:val="zh_TW" w:bidi="zh_TW"/>
        </w:rPr>
        <w:t>–</w:t>
      </w:r>
      <w:r>
        <w:rPr>
          <w:lang w:val="zh_TW" w:bidi="zh_TW"/>
        </w:rPr>
        <w:t>38</w:t>
      </w:r>
      <w:r>
        <w:rPr>
          <w:lang w:val="zh_TW" w:bidi="zh_TW"/>
        </w:rPr>
        <w:t>）。耶穌讚揚那些為了天國而「</w:t>
      </w:r>
      <w:r>
        <w:rPr>
          <w:lang w:val="zh_TW" w:bidi="zh_TW"/>
        </w:rPr>
        <w:t>自閹</w:t>
      </w:r>
      <w:r>
        <w:rPr>
          <w:lang w:val="zh_TW" w:bidi="zh_TW"/>
        </w:rPr>
        <w:t>」的人（</w:t>
      </w:r>
      <w:r>
        <w:rPr>
          <w:lang w:val="zh_TW" w:bidi="zh_TW"/>
        </w:rPr>
        <w:t>太19:12</w:t>
      </w:r>
      <w:r>
        <w:rPr>
          <w:lang w:val="zh_TW" w:bidi="zh_TW"/>
        </w:rPr>
        <w:t>）。</w:t>
      </w:r>
    </w:p>
    <w:p>
      <w:pPr/>
      <w:r>
        <w:rPr>
          <w:lang w:val="zh_TW" w:bidi="zh_TW"/>
        </w:rPr>
      </w:r>
      <w:r>
        <w:rPr>
          <w:i/>
          <w:lang w:val="zh_TW" w:bidi="zh_TW"/>
        </w:rPr>
        <w:t xml:space="preserve">另見 </w:t>
      </w:r>
      <w:r>
        <w:rPr>
          <w:lang w:val="zh_TW" w:bidi="zh_TW"/>
        </w:rPr>
        <w:t>家庭生活與關係</w:t>
      </w:r>
      <w:r>
        <w:rPr>
          <w:lang w:val="zh_TW" w:bidi="zh_TW"/>
        </w:rPr>
        <w:t>；</w:t>
      </w:r>
      <w:r>
        <w:rPr>
          <w:lang w:val="zh_TW" w:bidi="zh_TW"/>
        </w:rPr>
        <w:t>婚姻，婚姻習俗</w:t>
      </w:r>
      <w:r>
        <w:rPr>
          <w:lang w:val="zh_TW" w:bidi="zh_TW"/>
        </w:rPr>
        <w:t>；</w:t>
      </w:r>
      <w:r>
        <w:rPr>
          <w:lang w:val="zh_TW" w:bidi="zh_TW"/>
        </w:rPr>
        <w:t>性，性別</w:t>
      </w:r>
      <w:r>
        <w:rPr>
          <w:lang w:val="zh_TW" w:bidi="zh_TW"/>
        </w:rPr>
        <w:t>；</w:t>
      </w:r>
      <w:r>
        <w:rPr>
          <w:lang w:val="zh_TW" w:bidi="zh_TW"/>
        </w:rPr>
        <w:t>耶穌由童貞女所生</w:t>
      </w:r>
      <w:r>
        <w:rPr>
          <w:lang w:val="zh_TW" w:bidi="zh_TW"/>
        </w:rPr>
        <w:t>；</w:t>
      </w:r>
      <w:r>
        <w:rPr>
          <w:lang w:val="zh_TW" w:bidi="zh_TW"/>
        </w:rPr>
        <w:t>婦女</w:t>
      </w:r>
      <w:r>
        <w:rPr>
          <w:lang w:val="zh_TW" w:bidi="zh_TW"/>
        </w:rPr>
        <w:t>。</w:t>
      </w:r>
      <w:r>
        <w:rPr>
          <w:lang w:val="zh_TW" w:bidi="zh_TW"/>
        </w:rPr>
      </w:r>
      <w:r>
        <w:rPr>
          <w:lang w:val="zh_TW" w:bidi="zh_TW"/>
        </w:rPr>
      </w:r>
    </w:p>
    <w:p>
      <w:pPr/>
      <w:r>
        <w:rPr>
          <w:lang w:val="zh_TW" w:bidi="zh_TW"/>
        </w:rPr>
      </w:r>
    </w:p>
    <w:p>
      <w:pPr>
        <w:pStyle w:val="Heading2"/>
      </w:pPr>
      <w:r>
        <w:rPr>
          <w:lang w:val="zh_TW" w:bidi="zh_TW"/>
        </w:rPr>
        <w:t>銅蛇（Bronze Snake, Bronze Serpent）</w:t>
      </w:r>
      <w:r>
        <w:rPr>
          <w:lang w:val="zh_TW" w:bidi="zh_TW"/>
        </w:rPr>
      </w:r>
    </w:p>
    <w:p>
      <w:pPr/>
      <w:r>
        <w:rPr>
          <w:lang w:val="zh_TW" w:bidi="zh_TW"/>
        </w:rPr>
      </w:r>
      <w:r>
        <w:rPr>
          <w:lang w:val="zh_TW" w:bidi="zh_TW"/>
        </w:rPr>
        <w:t>神吩咐摩西製作的一件銅製物件。當時，以色列人在曠野被有毒的火蛇咬傷（</w:t>
      </w:r>
      <w:r>
        <w:rPr>
          <w:lang w:val="zh_TW" w:bidi="zh_TW"/>
        </w:rPr>
        <w:t>民21:4–9</w:t>
      </w:r>
      <w:r>
        <w:rPr>
          <w:lang w:val="zh_TW" w:bidi="zh_TW"/>
        </w:rPr>
        <w:t>）。神因百姓向祂和摩西發怨言，就差遣這些蛇作為懲罰。當百姓悔改後，神吩咐摩西製作「一條火蛇，掛在杆子上」。凡仰望這條蛇的人都得醫治。</w:t>
      </w:r>
    </w:p>
    <w:p>
      <w:pPr/>
      <w:r>
        <w:rPr>
          <w:lang w:val="zh_TW" w:bidi="zh_TW"/>
        </w:rPr>
      </w:r>
      <w:r>
        <w:rPr>
          <w:lang w:val="zh_TW" w:bidi="zh_TW"/>
        </w:rPr>
        <w:t>有些人認為，這件事與另一段記載有關：摩西的杖曾變成蛇，並吞吃了法老術士的蛇杖，之後又變回杖（</w:t>
      </w:r>
      <w:r>
        <w:rPr>
          <w:lang w:val="zh_TW" w:bidi="zh_TW"/>
        </w:rPr>
        <w:t>出7:8–12</w:t>
      </w:r>
      <w:r>
        <w:rPr>
          <w:lang w:val="zh_TW" w:bidi="zh_TW"/>
        </w:rPr>
        <w:t>；參</w:t>
      </w:r>
      <w:r>
        <w:rPr>
          <w:lang w:val="zh_TW" w:bidi="zh_TW"/>
        </w:rPr>
        <w:t>4:2–5</w:t>
      </w:r>
      <w:r>
        <w:rPr>
          <w:lang w:val="zh_TW" w:bidi="zh_TW"/>
        </w:rPr>
        <w:t>、</w:t>
      </w:r>
      <w:r>
        <w:rPr>
          <w:lang w:val="zh_TW" w:bidi="zh_TW"/>
        </w:rPr>
        <w:t>28–30</w:t>
      </w:r>
      <w:r>
        <w:rPr>
          <w:lang w:val="zh_TW" w:bidi="zh_TW"/>
        </w:rPr>
        <w:t>）。</w:t>
      </w:r>
    </w:p>
    <w:p>
      <w:pPr/>
      <w:r>
        <w:rPr>
          <w:lang w:val="zh_TW" w:bidi="zh_TW"/>
        </w:rPr>
      </w:r>
      <w:r>
        <w:rPr>
          <w:lang w:val="zh_TW" w:bidi="zh_TW"/>
        </w:rPr>
        <w:t>在埃及和迦南的宗教中，人們都把蛇當作神明來敬拜。因此，神所設立的蛇勝過其它蛇，顯明神比這些假神更有大能。然而，在</w:t>
      </w:r>
      <w:r>
        <w:rPr>
          <w:lang w:val="zh_TW" w:bidi="zh_TW"/>
        </w:rPr>
        <w:t>民數記二十一章</w:t>
      </w:r>
      <w:r>
        <w:rPr>
          <w:lang w:val="zh_TW" w:bidi="zh_TW"/>
        </w:rPr>
        <w:t>中，這很可能不是這件事的主要重點。</w:t>
      </w:r>
    </w:p>
    <w:p>
      <w:pPr/>
      <w:r>
        <w:rPr>
          <w:lang w:val="zh_TW" w:bidi="zh_TW"/>
        </w:rPr>
      </w:r>
      <w:r>
        <w:rPr>
          <w:lang w:val="zh_TW" w:bidi="zh_TW"/>
        </w:rPr>
        <w:t>這件事是以色列人在曠野多次悖逆神事件中的最後一次（參</w:t>
      </w:r>
      <w:r>
        <w:rPr>
          <w:lang w:val="zh_TW" w:bidi="zh_TW"/>
        </w:rPr>
        <w:t>林前10:9</w:t>
      </w:r>
      <w:r>
        <w:rPr>
          <w:lang w:val="zh_TW" w:bidi="zh_TW"/>
        </w:rPr>
        <w:t>）。這些事件都有四個共同的階段：</w:t>
      </w:r>
    </w:p>
    <w:p>
      <w:pPr>
        <w:pStyle w:val="ListNumber"/>
        <w:numPr>
          <w:ilvl w:val="0"/>
          <w:numId w:val="14"/>
        </w:numPr>
        <w:spacing w:line="240" w:lineRule="auto"/>
        <w:ind w:left="720"/>
      </w:pPr>
      <w:r>
        <w:rPr>
          <w:lang w:val="zh_TW" w:bidi="zh_TW"/>
        </w:rPr>
      </w:r>
      <w:r>
        <w:rPr>
          <w:lang w:val="zh_TW" w:bidi="zh_TW"/>
        </w:rPr>
        <w:t>百姓向神發怨言。</w:t>
      </w:r>
    </w:p>
    <w:p>
      <w:pPr>
        <w:pStyle w:val="ListNumber"/>
        <w:spacing w:line="240" w:lineRule="auto"/>
        <w:ind w:left="720"/>
      </w:pPr>
      <w:r>
        <w:rPr>
          <w:lang w:val="zh_TW" w:bidi="zh_TW"/>
        </w:rPr>
      </w:r>
      <w:r>
        <w:rPr>
          <w:lang w:val="zh_TW" w:bidi="zh_TW"/>
        </w:rPr>
        <w:t>百姓遭受審判。</w:t>
      </w:r>
    </w:p>
    <w:p>
      <w:pPr>
        <w:pStyle w:val="ListNumber"/>
        <w:spacing w:line="240" w:lineRule="auto"/>
        <w:ind w:left="720"/>
      </w:pPr>
      <w:r>
        <w:rPr>
          <w:lang w:val="zh_TW" w:bidi="zh_TW"/>
        </w:rPr>
      </w:r>
      <w:r>
        <w:rPr>
          <w:lang w:val="zh_TW" w:bidi="zh_TW"/>
        </w:rPr>
        <w:t>百姓悔改。</w:t>
      </w:r>
    </w:p>
    <w:p>
      <w:pPr>
        <w:pStyle w:val="ListNumber"/>
        <w:spacing w:line="240" w:lineRule="auto"/>
        <w:ind w:left="720"/>
      </w:pPr>
      <w:r>
        <w:rPr>
          <w:lang w:val="zh_TW" w:bidi="zh_TW"/>
        </w:rPr>
      </w:r>
      <w:r>
        <w:rPr>
          <w:lang w:val="zh_TW" w:bidi="zh_TW"/>
        </w:rPr>
        <w:t>神賜下赦免和拯救。</w:t>
      </w:r>
    </w:p>
    <w:p>
      <w:pPr/>
      <w:r>
        <w:rPr>
          <w:lang w:val="zh_TW" w:bidi="zh_TW"/>
        </w:rPr>
      </w:r>
      <w:r>
        <w:rPr>
          <w:lang w:val="zh_TW" w:bidi="zh_TW"/>
        </w:rPr>
        <w:t>這件事的重點不是一種神奇的醫治方法，而是銅蛇作為救恩的象徵，凡願意仰望的人，都可以得著神所賜的拯救。</w:t>
      </w:r>
    </w:p>
    <w:p>
      <w:pPr/>
      <w:r>
        <w:rPr>
          <w:lang w:val="zh_TW" w:bidi="zh_TW"/>
        </w:rPr>
      </w:r>
      <w:r>
        <w:rPr>
          <w:lang w:val="zh_TW" w:bidi="zh_TW"/>
        </w:rPr>
        <w:t>銅蛇再一次出現是在</w:t>
      </w:r>
      <w:r>
        <w:rPr>
          <w:lang w:val="zh_TW" w:bidi="zh_TW"/>
        </w:rPr>
        <w:t>列王紀下十八章4節</w:t>
      </w:r>
      <w:r>
        <w:rPr>
          <w:lang w:val="zh_TW" w:bidi="zh_TW"/>
        </w:rPr>
        <w:t>。經過多年後，銅蛇竟成了受人敬拜的對象，因此南國猶大的希西家王（公元前716–686年在位）在其宗教的改革中將銅蛇打碎。在基督教興起以前，最後一次提到銅蛇是在所羅門智訓（Wisdom of Solomon）一卷書中；該卷書支持上述的解釋：拯救不是來自銅蛇本身，而是出於神的供應。「轉向它的人得醫治，不是因為所看見的，而是因為祢──萬人的救主。」（所羅門智訓16:7）。</w:t>
      </w:r>
    </w:p>
    <w:p>
      <w:pPr/>
      <w:r>
        <w:rPr>
          <w:lang w:val="zh_TW" w:bidi="zh_TW"/>
        </w:rPr>
      </w:r>
      <w:r>
        <w:rPr>
          <w:lang w:val="zh_TW" w:bidi="zh_TW"/>
        </w:rPr>
        <w:t>在這個背景下，耶穌說，祂必須像摩西所舉的蛇一樣被「舉起來」（</w:t>
      </w:r>
      <w:r>
        <w:rPr>
          <w:lang w:val="zh_TW" w:bidi="zh_TW"/>
        </w:rPr>
        <w:t>約3:14</w:t>
      </w:r>
      <w:r>
        <w:rPr>
          <w:lang w:val="zh_TW" w:bidi="zh_TW"/>
        </w:rPr>
        <w:t>）。「人子」被「舉起來」顯然是指耶穌的死，其中包含兩個主要意思：</w:t>
      </w:r>
    </w:p>
    <w:p>
      <w:pPr>
        <w:pStyle w:val="ListBullet"/>
        <w:spacing w:line="240" w:lineRule="auto"/>
        <w:ind w:left="720"/>
      </w:pPr>
      <w:r>
        <w:rPr>
          <w:lang w:val="zh_TW" w:bidi="zh_TW"/>
        </w:rPr>
      </w:r>
      <w:r>
        <w:rPr>
          <w:lang w:val="zh_TW" w:bidi="zh_TW"/>
        </w:rPr>
        <w:t>第一，是「藉著死亡帶來救恩」的主題（也就是救恩藉著死亡而成就）。這一點可見於摩西舉銅蛇的事件，也可見於約翰福音中「必」一詞，表明神早已計劃並定意用這種方式拯救世人。</w:t>
      </w:r>
    </w:p>
    <w:p>
      <w:pPr>
        <w:pStyle w:val="ListBullet"/>
        <w:spacing w:line="240" w:lineRule="auto"/>
        <w:ind w:left="720"/>
      </w:pPr>
      <w:r>
        <w:rPr>
          <w:lang w:val="zh_TW" w:bidi="zh_TW"/>
        </w:rPr>
      </w:r>
      <w:r>
        <w:rPr>
          <w:lang w:val="zh_TW" w:bidi="zh_TW"/>
        </w:rPr>
        <w:t>第二，是「藉著死亡得著榮耀」的主題（也就是死亡帶來尊榮與榮耀）。這可從「舉起來」這個動詞本身所包含的尊崇之意，以及約翰福音強調耶穌在世上的榮耀和祂復活生命的榮耀看出來。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