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ذ</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الذباب المزعج</w:t>
      </w:r>
      <w:r>
        <w:rPr>
          <w:rtl/>
          <w:cs/>
          <w:lang w:val="ar_AE" w:bidi="ar_AE"/>
        </w:rPr>
      </w:r>
    </w:p>
    <w:p>
      <w:pPr>
        <w:bidi/>
      </w:pPr>
      <w:r>
        <w:rPr>
          <w:rtl/>
          <w:cs/>
          <w:lang w:val="ar_AE" w:bidi="ar_AE"/>
        </w:rPr>
      </w:r>
      <w:r>
        <w:rPr>
          <w:rtl/>
          <w:cs/>
          <w:lang w:val="ar_AE" w:bidi="ar_AE"/>
        </w:rPr>
        <w:t>أي عدد من الذباب الكبير، بما في ذلك ذبابة الخيل وذبابة النبر، التي تزعج الماشية. يُطلق على الملك نَبوخَذْنَاصَّر اسم الذبابة المزعجة في الإشارة الكتابية الوحيدة إلى هذه الحشرة (</w:t>
      </w:r>
      <w:r>
        <w:rPr>
          <w:rtl/>
          <w:cs/>
          <w:lang w:val="ar_AE" w:bidi="ar_AE"/>
        </w:rPr>
        <w:t>إرميا 46:20</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الحيوانات (الذبابة)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الذبيحة المسائية</w:t>
      </w:r>
      <w:r>
        <w:rPr>
          <w:rtl/>
          <w:cs/>
          <w:lang w:val="ar_AE" w:bidi="ar_AE"/>
        </w:rPr>
      </w:r>
    </w:p>
    <w:p>
      <w:pPr>
        <w:pStyle w:val="Heading2"/>
        <w:bidi/>
      </w:pPr>
      <w:r>
        <w:rPr>
          <w:rtl/>
          <w:cs/>
          <w:lang w:val="ar_AE" w:bidi="ar_AE"/>
        </w:rPr>
        <w:t>الذبيحة المسائية</w:t>
      </w:r>
    </w:p>
    <w:p>
      <w:pPr>
        <w:bidi/>
      </w:pPr>
      <w:r>
        <w:rPr>
          <w:rtl/>
          <w:cs/>
          <w:lang w:val="ar_AE" w:bidi="ar_AE"/>
        </w:rPr>
      </w:r>
      <w:r>
        <w:rPr>
          <w:rtl/>
          <w:cs/>
          <w:lang w:val="ar_AE" w:bidi="ar_AE"/>
        </w:rPr>
        <w:t xml:space="preserve">انظر </w:t>
      </w:r>
      <w:r>
        <w:rPr>
          <w:rtl/>
          <w:cs/>
          <w:lang w:val="ar_AE" w:bidi="ar_AE"/>
        </w:rPr>
        <w:t>التقدمات والذبائح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الذرة</w:t>
      </w:r>
      <w:r>
        <w:rPr>
          <w:rtl/>
          <w:cs/>
          <w:lang w:val="ar_AE" w:bidi="ar_AE"/>
        </w:rPr>
      </w:r>
    </w:p>
    <w:p>
      <w:pPr>
        <w:bidi/>
      </w:pPr>
      <w:r>
        <w:rPr>
          <w:rtl/>
          <w:cs/>
          <w:lang w:val="ar_AE" w:bidi="ar_AE"/>
        </w:rPr>
      </w:r>
      <w:r>
        <w:rPr>
          <w:rtl/>
          <w:cs/>
          <w:lang w:val="ar_AE" w:bidi="ar_AE"/>
        </w:rPr>
        <w:t xml:space="preserve">كلمة تُستخدم غالبًا للدلالة على الحبوب، خاصة القمح. الذرة، النبات المعروف في أمريكا باسم الذرة، لم يكن معروفًا في ٱلْمَشْرِقِ في عصر الكتاب المقدس. </w:t>
      </w:r>
      <w:r>
        <w:rPr>
          <w:i/>
          <w:rtl/>
          <w:cs/>
          <w:lang w:val="ar_AE" w:bidi="ar_AE"/>
        </w:rPr>
        <w:t>انظر</w:t>
      </w:r>
      <w:r>
        <w:rPr>
          <w:rtl/>
          <w:cs/>
          <w:lang w:val="ar_AE" w:bidi="ar_AE"/>
        </w:rPr>
        <w:t xml:space="preserve"> </w:t>
      </w:r>
      <w:r>
        <w:rPr>
          <w:rtl/>
          <w:cs/>
          <w:lang w:val="ar_AE" w:bidi="ar_AE"/>
        </w:rPr>
        <w:t>النباتات (الشعير</w:t>
      </w:r>
      <w:r>
        <w:rPr>
          <w:rtl/>
          <w:cs/>
          <w:lang w:val="ar_AE" w:bidi="ar_AE"/>
        </w:rPr>
        <w:t xml:space="preserve">; </w:t>
      </w:r>
      <w:r>
        <w:rPr>
          <w:rtl/>
          <w:cs/>
          <w:lang w:val="ar_AE" w:bidi="ar_AE"/>
        </w:rPr>
        <w:t>القمح)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ذِئْب</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ذِئْبٌ</w:t>
      </w:r>
      <w:r>
        <w:rPr>
          <w:rtl/>
          <w:cs/>
          <w:lang w:val="ar_AE" w:bidi="ar_AE"/>
        </w:rPr>
      </w:r>
    </w:p>
    <w:p>
      <w:pPr>
        <w:pStyle w:val="Heading2"/>
        <w:bidi/>
      </w:pPr>
      <w:r>
        <w:rPr>
          <w:b/>
          <w:rtl/>
          <w:cs/>
          <w:lang w:val="ar_AE" w:bidi="ar_AE"/>
        </w:rPr>
        <w:t>ذِئْبٌ</w:t>
      </w:r>
    </w:p>
    <w:p>
      <w:pPr>
        <w:bidi/>
      </w:pPr>
      <w:r>
        <w:rPr>
          <w:rtl/>
          <w:cs/>
          <w:lang w:val="ar_AE" w:bidi="ar_AE"/>
        </w:rPr>
      </w:r>
      <w:r>
        <w:rPr>
          <w:rtl/>
          <w:cs/>
          <w:lang w:val="ar_AE" w:bidi="ar_AE"/>
        </w:rPr>
        <w:t>أحد أميري المديانيين اللذين قتلهما جيش جدعون (</w:t>
      </w:r>
      <w:r>
        <w:rPr>
          <w:rtl/>
          <w:cs/>
          <w:lang w:val="ar_AE" w:bidi="ar_AE"/>
        </w:rPr>
        <w:t>قضاة 7: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ذباب</w:t>
      </w:r>
      <w:r>
        <w:rPr>
          <w:rtl/>
          <w:cs/>
          <w:lang w:val="ar_AE" w:bidi="ar_AE"/>
        </w:rPr>
      </w:r>
    </w:p>
    <w:p>
      <w:pPr>
        <w:bidi/>
      </w:pPr>
      <w:r>
        <w:rPr>
          <w:rtl/>
          <w:cs/>
          <w:lang w:val="ar_AE" w:bidi="ar_AE"/>
        </w:rPr>
      </w:r>
      <w:r>
        <w:rPr>
          <w:rtl/>
          <w:cs/>
          <w:lang w:val="ar_AE" w:bidi="ar_AE"/>
        </w:rPr>
        <w:t>حشرة ذات جناحين. يوجد منها العديد من الأنواع في الكتاب المقدس، بما في ذلك الذبابة المنزلية الشائعة (</w:t>
      </w:r>
      <w:r>
        <w:rPr>
          <w:rtl/>
          <w:cs/>
          <w:lang w:val="ar_AE" w:bidi="ar_AE"/>
        </w:rPr>
        <w:t>جامعة 10:1</w:t>
      </w:r>
      <w:r>
        <w:rPr>
          <w:rtl/>
          <w:cs/>
          <w:lang w:val="ar_AE" w:bidi="ar_AE"/>
        </w:rPr>
        <w:t>) وذبابة الخيل (</w:t>
      </w:r>
      <w:r>
        <w:rPr>
          <w:rtl/>
          <w:cs/>
          <w:lang w:val="ar_AE" w:bidi="ar_AE"/>
        </w:rPr>
        <w:t>إشعياء 7:18</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ذبيحة</w:t>
      </w:r>
      <w:r>
        <w:rPr>
          <w:rtl/>
          <w:cs/>
          <w:lang w:val="ar_AE" w:bidi="ar_AE"/>
        </w:rPr>
      </w:r>
    </w:p>
    <w:p>
      <w:pPr>
        <w:bidi/>
      </w:pPr>
      <w:r>
        <w:rPr>
          <w:rtl/>
          <w:cs/>
          <w:lang w:val="ar_AE" w:bidi="ar_AE"/>
        </w:rPr>
      </w:r>
      <w:r>
        <w:rPr>
          <w:rtl/>
          <w:cs/>
          <w:lang w:val="ar_AE" w:bidi="ar_AE"/>
        </w:rPr>
        <w:t xml:space="preserve">انظر </w:t>
      </w:r>
      <w:r>
        <w:rPr>
          <w:rtl/>
          <w:cs/>
          <w:lang w:val="ar_AE" w:bidi="ar_AE"/>
        </w:rPr>
        <w:t>الكفارة؛</w:t>
      </w:r>
      <w:r>
        <w:rPr>
          <w:rtl/>
          <w:cs/>
          <w:lang w:val="ar_AE" w:bidi="ar_AE"/>
        </w:rPr>
        <w:t xml:space="preserve"> </w:t>
      </w:r>
      <w:r>
        <w:rPr>
          <w:rtl/>
          <w:cs/>
          <w:lang w:val="ar_AE" w:bidi="ar_AE"/>
        </w:rPr>
        <w:t>التقدمات والذبائح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ذبيحة الإثم</w:t>
      </w:r>
      <w:r>
        <w:rPr>
          <w:rtl/>
          <w:cs/>
          <w:lang w:val="ar_AE" w:bidi="ar_AE"/>
        </w:rPr>
      </w:r>
    </w:p>
    <w:p>
      <w:pPr>
        <w:bidi/>
      </w:pPr>
      <w:r>
        <w:rPr>
          <w:rtl/>
          <w:cs/>
          <w:lang w:val="ar_AE" w:bidi="ar_AE"/>
        </w:rPr>
      </w:r>
      <w:r>
        <w:rPr>
          <w:rtl/>
          <w:cs/>
          <w:lang w:val="ar_AE" w:bidi="ar_AE"/>
        </w:rPr>
        <w:t xml:space="preserve">انظر </w:t>
      </w:r>
      <w:r>
        <w:rPr>
          <w:rtl/>
          <w:cs/>
          <w:lang w:val="ar_AE" w:bidi="ar_AE"/>
        </w:rPr>
        <w:t>التقدمات والذبائح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ذبيحة الإثم</w:t>
      </w:r>
      <w:r>
        <w:rPr>
          <w:rtl/>
          <w:cs/>
          <w:lang w:val="ar_AE" w:bidi="ar_AE"/>
        </w:rPr>
      </w:r>
    </w:p>
    <w:p>
      <w:pPr>
        <w:bidi/>
      </w:pPr>
      <w:r>
        <w:rPr>
          <w:rtl/>
          <w:cs/>
          <w:lang w:val="ar_AE" w:bidi="ar_AE"/>
        </w:rPr>
      </w:r>
      <w:r>
        <w:rPr>
          <w:rtl/>
          <w:cs/>
          <w:lang w:val="ar_AE" w:bidi="ar_AE"/>
        </w:rPr>
        <w:t xml:space="preserve">انظر </w:t>
      </w:r>
      <w:r>
        <w:rPr>
          <w:rtl/>
          <w:cs/>
          <w:lang w:val="ar_AE" w:bidi="ar_AE"/>
        </w:rPr>
        <w:t>التقدمات والذبائح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ذبيحة التنصيب والتكريس</w:t>
      </w:r>
      <w:r>
        <w:rPr>
          <w:rtl/>
          <w:cs/>
          <w:lang w:val="ar_AE" w:bidi="ar_AE"/>
        </w:rPr>
      </w:r>
    </w:p>
    <w:p>
      <w:pPr>
        <w:bidi/>
      </w:pPr>
      <w:r>
        <w:rPr>
          <w:rtl/>
          <w:cs/>
          <w:lang w:val="ar_AE" w:bidi="ar_AE"/>
        </w:rPr>
      </w:r>
      <w:r>
        <w:rPr>
          <w:rtl/>
          <w:cs/>
          <w:lang w:val="ar_AE" w:bidi="ar_AE"/>
        </w:rPr>
        <w:t xml:space="preserve">انظر </w:t>
      </w:r>
      <w:r>
        <w:rPr>
          <w:rtl/>
          <w:cs/>
          <w:lang w:val="ar_AE" w:bidi="ar_AE"/>
        </w:rPr>
        <w:t>التقدمات والذبائح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ذَبِيحَةِ الْخَطِيَّةِ</w:t>
      </w:r>
      <w:r>
        <w:rPr>
          <w:rtl/>
          <w:cs/>
          <w:lang w:val="ar_AE" w:bidi="ar_AE"/>
        </w:rPr>
      </w:r>
    </w:p>
    <w:p>
      <w:pPr>
        <w:pStyle w:val="Heading2"/>
        <w:bidi/>
      </w:pPr>
      <w:r>
        <w:rPr>
          <w:b/>
          <w:rtl/>
          <w:cs/>
          <w:lang w:val="ar_AE" w:bidi="ar_AE"/>
        </w:rPr>
        <w:t>ذَبِيحَةُ الْخَطِيَّةِ</w:t>
      </w:r>
    </w:p>
    <w:p>
      <w:pPr>
        <w:bidi/>
      </w:pPr>
      <w:r>
        <w:rPr>
          <w:rtl/>
          <w:cs/>
          <w:lang w:val="ar_AE" w:bidi="ar_AE"/>
        </w:rPr>
      </w:r>
      <w:r>
        <w:rPr>
          <w:rtl/>
          <w:cs/>
          <w:lang w:val="ar_AE" w:bidi="ar_AE"/>
        </w:rPr>
        <w:t xml:space="preserve">انظر </w:t>
      </w:r>
      <w:r>
        <w:rPr>
          <w:rtl/>
          <w:cs/>
          <w:lang w:val="ar_AE" w:bidi="ar_AE"/>
        </w:rPr>
        <w:t>التقدمات والذبائح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ذبيحة السلامة</w:t>
      </w:r>
      <w:r>
        <w:rPr>
          <w:rtl/>
          <w:cs/>
          <w:lang w:val="ar_AE" w:bidi="ar_AE"/>
        </w:rPr>
      </w:r>
    </w:p>
    <w:p>
      <w:pPr>
        <w:bidi/>
      </w:pPr>
      <w:r>
        <w:rPr>
          <w:rtl/>
          <w:cs/>
          <w:lang w:val="ar_AE" w:bidi="ar_AE"/>
        </w:rPr>
      </w:r>
      <w:r>
        <w:rPr>
          <w:rtl/>
          <w:cs/>
          <w:lang w:val="ar_AE" w:bidi="ar_AE"/>
        </w:rPr>
        <w:t xml:space="preserve">انظر </w:t>
      </w:r>
      <w:r>
        <w:rPr>
          <w:rtl/>
          <w:cs/>
          <w:lang w:val="ar_AE" w:bidi="ar_AE"/>
        </w:rPr>
        <w:t>التقدمات والذبائح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ذبيحةُ السلامة</w:t>
      </w:r>
      <w:r>
        <w:rPr>
          <w:rtl/>
          <w:cs/>
          <w:lang w:val="ar_AE" w:bidi="ar_AE"/>
        </w:rPr>
      </w:r>
    </w:p>
    <w:p>
      <w:pPr>
        <w:pStyle w:val="Heading2"/>
        <w:bidi/>
      </w:pPr>
      <w:r>
        <w:rPr>
          <w:b/>
          <w:rtl/>
          <w:cs/>
          <w:lang w:val="ar_AE" w:bidi="ar_AE"/>
        </w:rPr>
        <w:t>ذبيحةُ السلامة</w:t>
      </w:r>
    </w:p>
    <w:p>
      <w:pPr>
        <w:bidi/>
      </w:pPr>
      <w:r>
        <w:rPr>
          <w:rtl/>
          <w:cs/>
          <w:lang w:val="ar_AE" w:bidi="ar_AE"/>
        </w:rPr>
      </w:r>
      <w:r>
        <w:rPr>
          <w:rtl/>
          <w:cs/>
          <w:lang w:val="ar_AE" w:bidi="ar_AE"/>
        </w:rPr>
        <w:t xml:space="preserve">انظر </w:t>
      </w:r>
      <w:r>
        <w:rPr>
          <w:rtl/>
          <w:cs/>
          <w:lang w:val="ar_AE" w:bidi="ar_AE"/>
        </w:rPr>
        <w:t>التقدمات والذبائح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ذبيحة المحرقة</w:t>
      </w:r>
      <w:r>
        <w:rPr>
          <w:rtl/>
          <w:cs/>
          <w:lang w:val="ar_AE" w:bidi="ar_AE"/>
        </w:rPr>
      </w:r>
    </w:p>
    <w:p>
      <w:pPr>
        <w:bidi/>
      </w:pPr>
      <w:r>
        <w:rPr>
          <w:rtl/>
          <w:cs/>
          <w:lang w:val="ar_AE" w:bidi="ar_AE"/>
        </w:rPr>
      </w:r>
      <w:r>
        <w:rPr>
          <w:rtl/>
          <w:cs/>
          <w:lang w:val="ar_AE" w:bidi="ar_AE"/>
        </w:rPr>
        <w:t>إحدى أنواع ذبائح بني إسرائيل بتقديم حيوان مختار للتكفير عن الخطية ويُحرق كليًا بالنار (</w:t>
      </w:r>
      <w:r>
        <w:rPr>
          <w:rtl/>
          <w:cs/>
          <w:lang w:val="ar_AE" w:bidi="ar_AE"/>
        </w:rPr>
        <w:t>لاويين 1</w:t>
      </w:r>
      <w:r>
        <w:rPr>
          <w:rtl/>
          <w:cs/>
          <w:lang w:val="ar_AE" w:bidi="ar_AE"/>
        </w:rPr>
        <w:t xml:space="preserve">). </w:t>
      </w:r>
      <w:r>
        <w:rPr>
          <w:b/>
          <w:rtl/>
          <w:cs/>
          <w:lang w:val="ar_AE" w:bidi="ar_AE"/>
        </w:rPr>
        <w:t>انظر</w:t>
      </w:r>
      <w:r>
        <w:rPr>
          <w:rtl/>
          <w:cs/>
          <w:lang w:val="ar_AE" w:bidi="ar_AE"/>
        </w:rPr>
        <w:t xml:space="preserve"> </w:t>
      </w:r>
      <w:r>
        <w:rPr>
          <w:rtl/>
          <w:cs/>
          <w:lang w:val="ar_AE" w:bidi="ar_AE"/>
        </w:rPr>
        <w:t>القرابين والذبائح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ذراع</w:t>
      </w:r>
      <w:r>
        <w:rPr>
          <w:rtl/>
          <w:cs/>
          <w:lang w:val="ar_AE" w:bidi="ar_AE"/>
        </w:rPr>
      </w:r>
    </w:p>
    <w:p>
      <w:pPr>
        <w:bidi/>
      </w:pPr>
      <w:r>
        <w:rPr>
          <w:rtl/>
          <w:cs/>
          <w:lang w:val="ar_AE" w:bidi="ar_AE"/>
        </w:rPr>
      </w:r>
      <w:r>
        <w:rPr>
          <w:rtl/>
          <w:cs/>
          <w:lang w:val="ar_AE" w:bidi="ar_AE"/>
        </w:rPr>
        <w:t xml:space="preserve">قياس طولي يكون حوالي 18 بوصة (46 سنتيمتر). وهو طول ساعد الرجل من الكوع إلى طرف إصبعه الأوسط. </w:t>
      </w:r>
      <w:r>
        <w:rPr>
          <w:i/>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ذَكَر الأيّل</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 (الغزلان)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ذهب</w:t>
      </w:r>
      <w:r>
        <w:rPr>
          <w:rtl/>
          <w:cs/>
          <w:lang w:val="ar_AE" w:bidi="ar_AE"/>
        </w:rPr>
      </w:r>
    </w:p>
    <w:p>
      <w:pPr>
        <w:bidi/>
      </w:pPr>
      <w:r>
        <w:rPr>
          <w:rtl/>
          <w:cs/>
          <w:lang w:val="ar_AE" w:bidi="ar_AE"/>
        </w:rPr>
      </w:r>
      <w:r>
        <w:rPr>
          <w:rtl/>
          <w:cs/>
          <w:lang w:val="ar_AE" w:bidi="ar_AE"/>
        </w:rPr>
        <w:t xml:space="preserve">عنصر معدني ناعم وأصفر اللون. انظر </w:t>
      </w:r>
      <w:r>
        <w:rPr>
          <w:rtl/>
          <w:cs/>
          <w:lang w:val="ar_AE" w:bidi="ar_AE"/>
        </w:rPr>
        <w:t>العملات؛</w:t>
      </w:r>
      <w:r>
        <w:rPr>
          <w:rtl/>
          <w:cs/>
          <w:lang w:val="ar_AE" w:bidi="ar_AE"/>
        </w:rPr>
        <w:t xml:space="preserve"> </w:t>
      </w:r>
      <w:r>
        <w:rPr>
          <w:rtl/>
          <w:cs/>
          <w:lang w:val="ar_AE" w:bidi="ar_AE"/>
        </w:rPr>
        <w:t>المعادن؛</w:t>
      </w:r>
      <w:r>
        <w:rPr>
          <w:rtl/>
          <w:cs/>
          <w:lang w:val="ar_AE" w:bidi="ar_AE"/>
        </w:rPr>
        <w:t xml:space="preserve"> </w:t>
      </w:r>
      <w:r>
        <w:rPr>
          <w:rtl/>
          <w:cs/>
          <w:lang w:val="ar_AE" w:bidi="ar_AE"/>
        </w:rPr>
        <w:t>النقود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ذهبي، العِجل الـ</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 xml:space="preserve">العِجل الذهبي.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ذَوَاتِ ٱلْأَوْتَارِ (نيجينه، نيجينوث)</w:t>
      </w:r>
      <w:r>
        <w:rPr>
          <w:rtl/>
          <w:cs/>
          <w:lang w:val="ar_AE" w:bidi="ar_AE"/>
        </w:rPr>
      </w:r>
    </w:p>
    <w:p>
      <w:pPr>
        <w:bidi/>
      </w:pPr>
      <w:r>
        <w:rPr>
          <w:rtl/>
          <w:cs/>
          <w:lang w:val="ar_AE" w:bidi="ar_AE"/>
        </w:rPr>
      </w:r>
      <w:r>
        <w:rPr>
          <w:rtl/>
          <w:cs/>
          <w:lang w:val="ar_AE" w:bidi="ar_AE"/>
        </w:rPr>
        <w:t xml:space="preserve">المصطلحات العبرية المذكورة في عناوين </w:t>
      </w:r>
      <w:r>
        <w:rPr>
          <w:rtl/>
          <w:cs/>
          <w:lang w:val="ar_AE" w:bidi="ar_AE"/>
        </w:rPr>
        <w:t>المزامير 4</w:t>
      </w:r>
      <w:r>
        <w:rPr>
          <w:rtl/>
          <w:cs/>
          <w:lang w:val="ar_AE" w:bidi="ar_AE"/>
        </w:rPr>
        <w:t xml:space="preserve">، </w:t>
      </w:r>
      <w:r>
        <w:rPr>
          <w:rtl/>
          <w:cs/>
          <w:lang w:val="ar_AE" w:bidi="ar_AE"/>
        </w:rPr>
        <w:t>6</w:t>
      </w:r>
      <w:r>
        <w:rPr>
          <w:rtl/>
          <w:cs/>
          <w:lang w:val="ar_AE" w:bidi="ar_AE"/>
        </w:rPr>
        <w:t xml:space="preserve">، </w:t>
      </w:r>
      <w:r>
        <w:rPr>
          <w:rtl/>
          <w:cs/>
          <w:lang w:val="ar_AE" w:bidi="ar_AE"/>
        </w:rPr>
        <w:t>54–55</w:t>
      </w:r>
      <w:r>
        <w:rPr>
          <w:rtl/>
          <w:cs/>
          <w:lang w:val="ar_AE" w:bidi="ar_AE"/>
        </w:rPr>
        <w:t xml:space="preserve">، </w:t>
      </w:r>
      <w:r>
        <w:rPr>
          <w:rtl/>
          <w:cs/>
          <w:lang w:val="ar_AE" w:bidi="ar_AE"/>
        </w:rPr>
        <w:t>61</w:t>
      </w:r>
      <w:r>
        <w:rPr>
          <w:rtl/>
          <w:cs/>
          <w:lang w:val="ar_AE" w:bidi="ar_AE"/>
        </w:rPr>
        <w:t xml:space="preserve">، </w:t>
      </w:r>
      <w:r>
        <w:rPr>
          <w:rtl/>
          <w:cs/>
          <w:lang w:val="ar_AE" w:bidi="ar_AE"/>
        </w:rPr>
        <w:t>67</w:t>
      </w:r>
      <w:r>
        <w:rPr>
          <w:rtl/>
          <w:cs/>
          <w:lang w:val="ar_AE" w:bidi="ar_AE"/>
        </w:rPr>
        <w:t xml:space="preserve"> و</w:t>
      </w:r>
      <w:r>
        <w:rPr>
          <w:rtl/>
          <w:cs/>
          <w:lang w:val="ar_AE" w:bidi="ar_AE"/>
        </w:rPr>
        <w:t>76</w:t>
      </w:r>
      <w:r>
        <w:rPr>
          <w:rtl/>
          <w:cs/>
          <w:lang w:val="ar_AE" w:bidi="ar_AE"/>
        </w:rPr>
        <w:t xml:space="preserve">؛ وهي إشارات موسيقية، تعني "الآلات الوترية"، تصف نوع من المصاحبة الموسيقية لأداء المزامير المحددة. </w:t>
      </w:r>
      <w:r>
        <w:rPr>
          <w:i/>
          <w:rtl/>
          <w:cs/>
          <w:lang w:val="ar_AE" w:bidi="ar_AE"/>
        </w:rPr>
        <w:t>انظر</w:t>
      </w:r>
      <w:r>
        <w:rPr>
          <w:rtl/>
          <w:cs/>
          <w:lang w:val="ar_AE" w:bidi="ar_AE"/>
        </w:rPr>
        <w:t xml:space="preserve">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ذَوَاتِ ٱلنَّفْخ (نهيلوث)</w:t>
      </w:r>
      <w:r>
        <w:rPr>
          <w:rtl/>
          <w:cs/>
          <w:lang w:val="ar_AE" w:bidi="ar_AE"/>
        </w:rPr>
      </w:r>
    </w:p>
    <w:p>
      <w:pPr>
        <w:bidi/>
      </w:pPr>
      <w:r>
        <w:rPr>
          <w:rtl/>
          <w:cs/>
          <w:lang w:val="ar_AE" w:bidi="ar_AE"/>
        </w:rPr>
      </w:r>
      <w:r>
        <w:rPr>
          <w:rtl/>
          <w:cs/>
          <w:lang w:val="ar_AE" w:bidi="ar_AE"/>
        </w:rPr>
        <w:t xml:space="preserve">المصطلح العبري في عنوان </w:t>
      </w:r>
      <w:r>
        <w:rPr>
          <w:rtl/>
          <w:cs/>
          <w:lang w:val="ar_AE" w:bidi="ar_AE"/>
        </w:rPr>
        <w:t>المزمور 5</w:t>
      </w:r>
      <w:r>
        <w:rPr>
          <w:rtl/>
          <w:cs/>
          <w:lang w:val="ar_AE" w:bidi="ar_AE"/>
        </w:rPr>
        <w:t xml:space="preserve">؛ وهي إشارة موسيقية تعني "النايات"، وتصف نوع المصاحبة الموسيقية لأداء المزمور. </w:t>
      </w:r>
      <w:r>
        <w:rPr>
          <w:i/>
          <w:rtl/>
          <w:cs/>
          <w:lang w:val="ar_AE" w:bidi="ar_AE"/>
        </w:rPr>
        <w:t>انظر</w:t>
      </w:r>
      <w:r>
        <w:rPr>
          <w:rtl/>
          <w:cs/>
          <w:lang w:val="ar_AE" w:bidi="ar_AE"/>
        </w:rPr>
        <w:t xml:space="preserve">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ذِي ذَهَب</w:t>
      </w:r>
      <w:r>
        <w:rPr>
          <w:rtl/>
          <w:cs/>
          <w:lang w:val="ar_AE" w:bidi="ar_AE"/>
        </w:rPr>
      </w:r>
    </w:p>
    <w:p>
      <w:pPr>
        <w:pStyle w:val="Heading2"/>
        <w:bidi/>
      </w:pPr>
      <w:r>
        <w:rPr>
          <w:rtl/>
          <w:cs/>
          <w:lang w:val="ar_AE" w:bidi="ar_AE"/>
        </w:rPr>
        <w:t>ذِي ذَهَب</w:t>
      </w:r>
    </w:p>
    <w:p>
      <w:pPr>
        <w:bidi/>
      </w:pPr>
      <w:r>
        <w:rPr>
          <w:rtl/>
          <w:cs/>
          <w:lang w:val="ar_AE" w:bidi="ar_AE"/>
        </w:rPr>
      </w:r>
      <w:r>
        <w:rPr>
          <w:rtl/>
          <w:cs/>
          <w:lang w:val="ar_AE" w:bidi="ar_AE"/>
        </w:rPr>
        <w:t>الاسم، المذكور مع فَارَان، وتوفَل، ولَابَان، وحَضَيْروت، يُقصد به تحديد موقع الخطاب الأخير لموسَى إلى إِسْرَائِيل (</w:t>
      </w:r>
      <w:r>
        <w:rPr>
          <w:rtl/>
          <w:cs/>
          <w:lang w:val="ar_AE" w:bidi="ar_AE"/>
        </w:rPr>
        <w:t>تثنية 1:1</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