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त्यौहार</w:t>
      </w:r>
      <w:r>
        <w:rPr>
          <w:lang w:val="hi_IN" w:bidi="hi_IN"/>
        </w:rPr>
      </w:r>
    </w:p>
    <w:p>
      <w:pPr/>
      <w:r>
        <w:rPr>
          <w:lang w:val="hi_IN" w:bidi="hi_IN"/>
        </w:rPr>
      </w:r>
      <w:r>
        <w:rPr>
          <w:i/>
          <w:lang w:val="hi_IN" w:bidi="hi_IN"/>
        </w:rPr>
        <w:t>देखें</w:t>
      </w:r>
      <w:r>
        <w:rPr>
          <w:lang w:val="hi_IN" w:bidi="hi_IN"/>
        </w:rPr>
        <w:t xml:space="preserve"> </w:t>
      </w:r>
      <w:r>
        <w:rPr>
          <w:lang w:val="hi_IN" w:bidi="hi_IN"/>
        </w:rPr>
        <w:t>इस्राएल के पर्व और त्यौहार</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