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Qesitah</w:t>
      </w:r>
      <w:r>
        <w:rPr>
          <w:lang w:val="en_US" w:bidi="en_US"/>
        </w:rPr>
      </w:r>
    </w:p>
    <w:p>
      <w:pPr/>
      <w:r>
        <w:rPr>
          <w:lang w:val="en_US" w:bidi="en_US"/>
        </w:rPr>
      </w:r>
      <w:r>
        <w:rPr>
          <w:lang w:val="en_US" w:bidi="en_US"/>
        </w:rPr>
        <w:t>Weight of unknown value (</w:t>
      </w:r>
      <w:hyperlink r:id="rId13">
        <w:r>
          <w:rPr>
            <w:lang w:val="en_US" w:bidi="en_US"/>
          </w:rPr>
          <w:rPr>
            <w:color w:val="0000EE"/>
            <w:u w:val="single"/>
          </w:rPr>
          <w:t>Gn 33:19</w:t>
        </w:r>
      </w:hyperlink>
      <w:r>
        <w:rPr>
          <w:lang w:val="en_US" w:bidi="en_US"/>
        </w:rPr>
        <w:t xml:space="preserve">; </w:t>
      </w:r>
      <w:hyperlink r:id="rId14">
        <w:r>
          <w:rPr>
            <w:lang w:val="en_US" w:bidi="en_US"/>
          </w:rPr>
          <w:rPr>
            <w:color w:val="0000EE"/>
            <w:u w:val="single"/>
          </w:rPr>
          <w:t>Jos 24:32</w:t>
        </w:r>
      </w:hyperlink>
      <w:r>
        <w:rPr>
          <w:lang w:val="en_US" w:bidi="en_US"/>
        </w:rPr>
        <w:t xml:space="preserve">; </w:t>
      </w:r>
      <w:hyperlink r:id="rId15">
        <w:r>
          <w:rPr>
            <w:lang w:val="en_US" w:bidi="en_US"/>
          </w:rPr>
          <w:rPr>
            <w:color w:val="0000EE"/>
            <w:u w:val="single"/>
          </w:rPr>
          <w:t>Jb 42:11</w:t>
        </w:r>
      </w:hyperlink>
      <w:r>
        <w:rPr>
          <w:lang w:val="en_US" w:bidi="en_US"/>
        </w:rPr>
        <w:t xml:space="preserve">, rsv mg). </w:t>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hyperlink r:id="rId16">
        <w:r>
          <w:rPr>
            <w:lang w:val="en_US" w:bidi="en_US"/>
          </w:rPr>
          <w:rPr>
            <w:color w:val="0000EE"/>
            <w:u w:val="single"/>
          </w:rPr>
          <w:t>Exodus 16:13</w:t>
        </w:r>
      </w:hyperlink>
      <w:r>
        <w:rPr>
          <w:lang w:val="en_US" w:bidi="en_US"/>
        </w:rPr>
        <w:t xml:space="preserve">; </w:t>
      </w:r>
      <w:hyperlink r:id="rId17">
        <w:r>
          <w:rPr>
            <w:lang w:val="en_US" w:bidi="en_US"/>
          </w:rPr>
          <w:rPr>
            <w:color w:val="0000EE"/>
            <w:u w:val="single"/>
          </w:rPr>
          <w:t>Numbers 11:31–32</w:t>
        </w:r>
      </w:hyperlink>
      <w:r>
        <w:rPr>
          <w:lang w:val="en_US" w:bidi="en_US"/>
        </w:rPr>
        <w:t xml:space="preserve">; </w:t>
      </w:r>
      <w:hyperlink r:id="rId18">
        <w:r>
          <w:rPr>
            <w:lang w:val="en_US" w:bidi="en_US"/>
          </w:rPr>
          <w:rPr>
            <w:color w:val="0000EE"/>
            <w:u w:val="single"/>
          </w:rPr>
          <w:t>Psalm 105:40</w:t>
        </w:r>
      </w:hyperlink>
      <w:r>
        <w:rPr>
          <w:lang w:val="en_US" w:bidi="en_US"/>
        </w:rPr>
        <w:t>). The second time, they were likely flying along the Gulf of Aqaba and were blown off course by an east wind (</w:t>
      </w:r>
      <w:hyperlink r:id="rId19">
        <w:r>
          <w:rPr>
            <w:lang w:val="en_US" w:bidi="en_US"/>
          </w:rPr>
          <w:rPr>
            <w:color w:val="0000EE"/>
            <w:u w:val="single"/>
          </w:rPr>
          <w:t>Numbers 11:31</w:t>
        </w:r>
      </w:hyperlink>
      <w:r>
        <w:rPr>
          <w:lang w:val="en_US" w:bidi="en_US"/>
        </w:rPr>
        <w:t xml:space="preserve">; </w:t>
      </w:r>
      <w:hyperlink r:id="rId20">
        <w:r>
          <w:rPr>
            <w:lang w:val="en_US" w:bidi="en_US"/>
          </w:rPr>
          <w:rPr>
            <w:color w:val="0000EE"/>
            <w:u w:val="single"/>
          </w:rPr>
          <w:t>Psalm 78:26–28</w:t>
        </w:r>
      </w:hyperlink>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hyperlink r:id="rId17">
        <w:r>
          <w:rPr>
            <w:lang w:val="en_US" w:bidi="en_US"/>
          </w:rPr>
          <w:rPr>
            <w:color w:val="0000EE"/>
            <w:u w:val="single"/>
          </w:rPr>
          <w:t>Numbers 11:31–32</w:t>
        </w:r>
      </w:hyperlink>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Christian who joined the apostle Paul in sending greetings to the church in Rome (</w:t>
      </w:r>
      <w:hyperlink r:id="rId21">
        <w:r>
          <w:rPr>
            <w:lang w:val="en_US" w:bidi="en_US"/>
          </w:rPr>
          <w:rPr>
            <w:color w:val="0000EE"/>
            <w:u w:val="single"/>
          </w:rPr>
          <w:t>Rom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hyperlink r:id="rId22">
        <w:r>
          <w:rPr>
            <w:lang w:val="en_US" w:bidi="en_US"/>
          </w:rPr>
          <w:rPr>
            <w:color w:val="0000EE"/>
            <w:u w:val="single"/>
          </w:rPr>
          <w:t>Acts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hyperlink r:id="rId23">
        <w:r>
          <w:rPr>
            <w:lang w:val="en_US" w:bidi="en_US"/>
          </w:rPr>
          <w:rPr>
            <w:color w:val="0000EE"/>
            <w:u w:val="single"/>
          </w:rPr>
          <w:t>1 Kings 10:1</w:t>
        </w:r>
      </w:hyperlink>
      <w:r>
        <w:rPr>
          <w:lang w:val="en_US" w:bidi="en_US"/>
        </w:rPr>
        <w:t xml:space="preserve">; </w:t>
      </w:r>
      <w:hyperlink r:id="rId24">
        <w:r>
          <w:rPr>
            <w:lang w:val="en_US" w:bidi="en_US"/>
          </w:rPr>
          <w:rPr>
            <w:color w:val="0000EE"/>
            <w:u w:val="single"/>
          </w:rPr>
          <w:t>Matthew 12:42</w:t>
        </w:r>
      </w:hyperlink>
      <w:r>
        <w:rPr>
          <w:lang w:val="en_US" w:bidi="en_US"/>
        </w:rPr>
        <w:t xml:space="preserve">; </w:t>
      </w:r>
      <w:hyperlink r:id="rId25">
        <w:r>
          <w:rPr>
            <w:lang w:val="en_US" w:bidi="en_US"/>
          </w:rPr>
          <w:rPr>
            <w:color w:val="0000EE"/>
            <w:u w:val="single"/>
          </w:rPr>
          <w:t>Luke 11:31</w:t>
        </w:r>
      </w:hyperlink>
      <w:r>
        <w:rPr>
          <w:lang w:val="en_US" w:bidi="en_US"/>
        </w:rPr>
        <w:t xml:space="preserve">). She arrived with a large retinue and camels bearing gold, jewels, and spices. Candace, queen of Ethiopia, is mentioned in </w:t>
      </w:r>
      <w:hyperlink r:id="rId26">
        <w:r>
          <w:rPr>
            <w:lang w:val="en_US" w:bidi="en_US"/>
          </w:rPr>
          <w:rPr>
            <w:color w:val="0000EE"/>
            <w:u w:val="single"/>
          </w:rPr>
          <w:t>Acts 8:27</w:t>
        </w:r>
      </w:hyperlink>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hyperlink r:id="rId27">
        <w:r>
          <w:rPr>
            <w:lang w:val="en_US" w:bidi="en_US"/>
          </w:rPr>
          <w:rPr>
            <w:color w:val="0000EE"/>
            <w:u w:val="single"/>
          </w:rPr>
          <w:t>2 Kings 11:3</w:t>
        </w:r>
      </w:hyperlink>
      <w:r>
        <w:rPr>
          <w:lang w:val="en_US" w:bidi="en_US"/>
        </w:rPr>
        <w:t>). Also, Salome Alexandra succeeded her husband, Alexander Janneus, as ruler from 76 to 67 BC. A queen consort usually played a minor role. Two exceptions are Bathsheba (</w:t>
      </w:r>
      <w:hyperlink r:id="rId28">
        <w:r>
          <w:rPr>
            <w:lang w:val="en_US" w:bidi="en_US"/>
          </w:rPr>
          <w:rPr>
            <w:color w:val="0000EE"/>
            <w:u w:val="single"/>
          </w:rPr>
          <w:t>1 Kings 1:15–31</w:t>
        </w:r>
      </w:hyperlink>
      <w:r>
        <w:rPr>
          <w:lang w:val="en_US" w:bidi="en_US"/>
        </w:rPr>
        <w:t>) and Jezebel (</w:t>
      </w:r>
      <w:hyperlink r:id="rId29">
        <w:r>
          <w:rPr>
            <w:lang w:val="en_US" w:bidi="en_US"/>
          </w:rPr>
          <w:rPr>
            <w:color w:val="0000EE"/>
            <w:u w:val="single"/>
          </w:rPr>
          <w:t>1 Kings 21:1–29</w:t>
        </w:r>
      </w:hyperlink>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hyperlink r:id="rId30">
        <w:r>
          <w:rPr>
            <w:lang w:val="en_US" w:bidi="en_US"/>
          </w:rPr>
          <w:rPr>
            <w:color w:val="0000EE"/>
            <w:u w:val="single"/>
          </w:rPr>
          <w:t>Exodus 20:12</w:t>
        </w:r>
      </w:hyperlink>
      <w:r>
        <w:rPr>
          <w:lang w:val="en_US" w:bidi="en_US"/>
        </w:rPr>
        <w:t>). Her requests were unlikely to be denied (</w:t>
      </w:r>
      <w:hyperlink r:id="rId31">
        <w:r>
          <w:rPr>
            <w:lang w:val="en_US" w:bidi="en_US"/>
          </w:rPr>
          <w:rPr>
            <w:color w:val="0000EE"/>
            <w:u w:val="single"/>
          </w:rPr>
          <w:t>1 Kings 2:20</w:t>
        </w:r>
      </w:hyperlink>
      <w:r>
        <w:rPr>
          <w:lang w:val="en_US" w:bidi="en_US"/>
        </w:rPr>
        <w:t>). As the king's mother, she was unique. His wives shared their position with others. Maacah, queen mother of Abijam, even retained her authority during much of her grandson’s reign (</w:t>
      </w:r>
      <w:hyperlink r:id="rId32">
        <w:r>
          <w:rPr>
            <w:lang w:val="en_US" w:bidi="en_US"/>
          </w:rPr>
          <w:rPr>
            <w:color w:val="0000EE"/>
            <w:u w:val="single"/>
          </w:rPr>
          <w:t>1 Kings 15:2, 10, 13</w:t>
        </w:r>
      </w:hyperlink>
      <w:r>
        <w:rPr>
          <w:lang w:val="en_US" w:bidi="en_US"/>
        </w:rPr>
        <w:t xml:space="preserve">; </w:t>
      </w:r>
      <w:hyperlink r:id="rId33">
        <w:r>
          <w:rPr>
            <w:lang w:val="en_US" w:bidi="en_US"/>
          </w:rPr>
          <w:rPr>
            <w:color w:val="0000EE"/>
            <w:u w:val="single"/>
          </w:rPr>
          <w:t>2 Chronicles 15:16</w:t>
        </w:r>
      </w:hyperlink>
      <w:r>
        <w:rPr>
          <w:lang w:val="en_US" w:bidi="en_US"/>
        </w:rPr>
        <w:t>). The queen mother was crowned (</w:t>
      </w:r>
      <w:hyperlink r:id="rId34">
        <w:r>
          <w:rPr>
            <w:lang w:val="en_US" w:bidi="en_US"/>
          </w:rPr>
          <w:rPr>
            <w:color w:val="0000EE"/>
            <w:u w:val="single"/>
          </w:rPr>
          <w:t>Jeremiah 13:18</w:t>
        </w:r>
      </w:hyperlink>
      <w:r>
        <w:rPr>
          <w:lang w:val="en_US" w:bidi="en_US"/>
        </w:rPr>
        <w:t>). Bathsheba, now queen, was powerful enough to sit at King Solomon's right hand (</w:t>
      </w:r>
      <w:hyperlink r:id="rId35">
        <w:r>
          <w:rPr>
            <w:lang w:val="en_US" w:bidi="en_US"/>
          </w:rPr>
          <w:rPr>
            <w:color w:val="0000EE"/>
            <w:u w:val="single"/>
          </w:rPr>
          <w:t>1 Kings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hyperlink r:id="rId36">
        <w:r>
          <w:rPr>
            <w:lang w:val="en_US" w:bidi="en_US"/>
          </w:rPr>
          <w:rPr>
            <w:color w:val="0000EE"/>
            <w:u w:val="single"/>
          </w:rPr>
          <w:t>Jer 7:18</w:t>
        </w:r>
      </w:hyperlink>
      <w:r>
        <w:rPr>
          <w:lang w:val="en_US" w:bidi="en_US"/>
        </w:rPr>
        <w:t xml:space="preserve">; </w:t>
      </w:r>
      <w:hyperlink r:id="rId37">
        <w:r>
          <w:rPr>
            <w:lang w:val="en_US" w:bidi="en_US"/>
          </w:rPr>
          <w:rPr>
            <w:color w:val="0000EE"/>
            <w:u w:val="single"/>
          </w:rPr>
          <w:t>44:17–19, 25</w:t>
        </w:r>
      </w:hyperlink>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lang w:val="en_US" w:bidi="en_US"/>
          </w:rPr>
          <w:rPr>
            <w:color w:val="0000EE"/>
            <w:u w:val="single"/>
          </w:rPr>
          <w:t>44:25–28</w:t>
        </w:r>
      </w:hyperlink>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w:t>
      </w:r>
      <w:r>
        <w:rPr>
          <w:i/>
          <w:lang w:val="en_US" w:bidi="en_US"/>
        </w:rPr>
        <w:t>apples</w:t>
      </w:r>
      <w:r>
        <w:rPr>
          <w:lang w:val="en_US" w:bidi="en_US"/>
        </w:rPr>
        <w:t xml:space="preserve">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hyperlink r:id="rId39">
        <w:r>
          <w:rPr>
            <w:lang w:val="en_US" w:bidi="en_US"/>
          </w:rPr>
          <w:rPr>
            <w:color w:val="0000EE"/>
            <w:u w:val="single"/>
          </w:rPr>
          <w:t>Luke 2:2</w:t>
        </w:r>
      </w:hyperlink>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hyperlink r:id="rId39">
        <w:r>
          <w:rPr>
            <w:lang w:val="en_US" w:bidi="en_US"/>
          </w:rPr>
          <w:rPr>
            <w:color w:val="0000EE"/>
            <w:u w:val="single"/>
          </w:rPr>
          <w:t>Luke 2:2</w:t>
        </w:r>
      </w:hyperlink>
      <w:r>
        <w:rPr>
          <w:lang w:val="en_US" w:bidi="en_US"/>
        </w:rPr>
        <w:t>). Matthew says it was during the reign of King Herod the Great (</w:t>
      </w:r>
      <w:hyperlink r:id="rId40">
        <w:r>
          <w:rPr>
            <w:lang w:val="en_US" w:bidi="en_US"/>
          </w:rPr>
          <w:rPr>
            <w:color w:val="0000EE"/>
            <w:u w:val="single"/>
          </w:rPr>
          <w:t>Matthew 2:1</w:t>
        </w:r>
      </w:hyperlink>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hyperlink r:id="rId41">
        <w:r>
          <w:rPr>
            <w:lang w:val="en_US" w:bidi="en_US"/>
          </w:rPr>
          <w:rPr>
            <w:color w:val="0000EE"/>
            <w:u w:val="single"/>
          </w:rPr>
          <w:t>Acts 5:37</w:t>
        </w:r>
      </w:hyperlink>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hyperlink r:id="rId42">
        <w:r>
          <w:rPr>
            <w:lang w:val="en_US" w:bidi="en_US"/>
          </w:rPr>
          <w:rPr>
            <w:color w:val="0000EE"/>
            <w:u w:val="single"/>
          </w:rPr>
          <w:t>2 Chronicles 26:10</w:t>
        </w:r>
      </w:hyperlink>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lang w:val="en_US" w:bidi="en_US"/>
          </w:rPr>
          <w:rPr>
            <w:color w:val="0000EE"/>
            <w:u w:val="single"/>
          </w:rPr>
          <w:t>Deuteronomy 18:18</w:t>
        </w:r>
      </w:hyperlink>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