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r>
        <w:rPr>
          <w:lang w:val="id_ID" w:bidi="id_ID"/>
        </w:rPr>
        <w:t>Kisah 2:8–11</w:t>
      </w:r>
      <w:r>
        <w:rPr>
          <w:lang w:val="id_ID" w:bidi="id_ID"/>
        </w:rPr>
        <w:t xml:space="preserve">, para pendengar di Yerusalem dapat memahami mereka, karena mereka menyampaikan Injil dalam bahasa para pendengar. (Ayat </w:t>
      </w:r>
      <w:r>
        <w:rPr>
          <w:lang w:val="id_ID" w:bidi="id_ID"/>
        </w:rPr>
        <w:t>9–11</w:t>
      </w:r>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r>
        <w:rPr>
          <w:lang w:val="id_ID" w:bidi="id_ID"/>
        </w:rPr>
        <w:t>Kisah 10:46</w:t>
      </w:r>
      <w:r>
        <w:rPr>
          <w:lang w:val="id_ID" w:bidi="id_ID"/>
        </w:rPr>
        <w:t xml:space="preserve">; </w:t>
      </w:r>
      <w:r>
        <w:rPr>
          <w:lang w:val="id_ID" w:bidi="id_ID"/>
        </w:rPr>
        <w:t>19:6</w:t>
      </w:r>
      <w:r>
        <w:rPr>
          <w:lang w:val="id_ID" w:bidi="id_ID"/>
        </w:rPr>
        <w:t xml:space="preserve">). Namun tidak semua berbicara dalam bahasa roh ketika mereka menerima Roh (lihat </w:t>
      </w:r>
      <w:r>
        <w:rPr>
          <w:lang w:val="id_ID" w:bidi="id_ID"/>
        </w:rPr>
        <w:t>Kisah 8:15–17</w:t>
      </w:r>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r>
        <w:rPr>
          <w:lang w:val="id_ID" w:bidi="id_ID"/>
        </w:rPr>
        <w:t>1Kor. 12:13</w:t>
      </w:r>
      <w:r>
        <w:rPr>
          <w:lang w:val="id_ID" w:bidi="id_ID"/>
        </w:rPr>
        <w:t xml:space="preserve">). Bukti sejati dari pekerjaan Roh Kudus adalah “buah Roh” sebagaimana didefinisikan dalam </w:t>
      </w:r>
      <w:r>
        <w:rPr>
          <w:lang w:val="id_ID" w:bidi="id_ID"/>
        </w:rPr>
        <w:t>Gal. 5:22–23</w:t>
      </w:r>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r>
        <w:rPr>
          <w:lang w:val="id_ID" w:bidi="id_ID"/>
        </w:rPr>
        <w:t>1Kor. 14:28</w:t>
      </w:r>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r>
        <w:rPr>
          <w:lang w:val="id_ID" w:bidi="id_ID"/>
        </w:rPr>
        <w:t>1Kor. 14:27–33</w:t>
      </w:r>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r>
        <w:rPr>
          <w:lang w:val="id_ID" w:bidi="id_ID"/>
        </w:rPr>
        <w:t>1Kor. 12:10</w:t>
      </w:r>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r>
        <w:rPr>
          <w:lang w:val="id_ID" w:bidi="id_ID"/>
        </w:rPr>
        <w:t>1Kor. 14:13</w:t>
      </w:r>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r>
        <w:rPr>
          <w:lang w:val="id_ID" w:bidi="id_ID"/>
        </w:rPr>
        <w:t>1Kor. 12:10</w:t>
      </w:r>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r>
        <w:rPr>
          <w:lang w:val="id_ID" w:bidi="id_ID"/>
        </w:rPr>
        <w:t>1Kor. 12:31</w:t>
      </w:r>
      <w:r>
        <w:rPr>
          <w:lang w:val="id_ID" w:bidi="id_ID"/>
        </w:rPr>
        <w:t xml:space="preserve">; </w:t>
      </w:r>
      <w:r>
        <w:rPr>
          <w:lang w:val="id_ID" w:bidi="id_ID"/>
        </w:rPr>
        <w:t>14:1, 5</w:t>
      </w:r>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r>
        <w:rPr>
          <w:lang w:val="id_ID" w:bidi="id_ID"/>
        </w:rPr>
        <w:t>Kisah 1:23</w:t>
      </w:r>
      <w:r>
        <w:rPr>
          <w:lang w:val="id_ID" w:bidi="id_ID"/>
        </w:rPr>
        <w:t xml:space="preserve">; </w:t>
      </w:r>
      <w:r>
        <w:rPr>
          <w:lang w:val="id_ID" w:bidi="id_ID"/>
        </w:rPr>
        <w:t>15:22</w:t>
      </w:r>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r>
        <w:rPr>
          <w:lang w:val="id_ID" w:bidi="id_ID"/>
        </w:rPr>
        <w:t>Mat. 10:2–4</w:t>
      </w:r>
      <w:r>
        <w:rPr>
          <w:lang w:val="id_ID" w:bidi="id_ID"/>
        </w:rPr>
        <w:t xml:space="preserve">; </w:t>
      </w:r>
      <w:r>
        <w:rPr>
          <w:lang w:val="id_ID" w:bidi="id_ID"/>
        </w:rPr>
        <w:t>Mrk. 3:16–19</w:t>
      </w:r>
      <w:r>
        <w:rPr>
          <w:lang w:val="id_ID" w:bidi="id_ID"/>
        </w:rPr>
        <w:t xml:space="preserve">; </w:t>
      </w:r>
      <w:r>
        <w:rPr>
          <w:lang w:val="id_ID" w:bidi="id_ID"/>
        </w:rPr>
        <w:t>Luk. 6:14–16</w:t>
      </w:r>
      <w:r>
        <w:rPr>
          <w:lang w:val="id_ID" w:bidi="id_ID"/>
        </w:rPr>
        <w:t xml:space="preserve">; </w:t>
      </w:r>
      <w:r>
        <w:rPr>
          <w:lang w:val="id_ID" w:bidi="id_ID"/>
        </w:rPr>
        <w:t>Kisah 1:13</w:t>
      </w:r>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r>
        <w:rPr>
          <w:lang w:val="id_ID" w:bidi="id_ID"/>
        </w:rPr>
        <w:t>Yoh. 1:45–50</w:t>
      </w:r>
      <w:r>
        <w:rPr>
          <w:lang w:val="id_ID" w:bidi="id_ID"/>
        </w:rPr>
        <w:t>). Natanael ini dibawa oleh Filipus kepada Yesus dan tampaknya memiliki hubungan dengan beberapa murid (</w:t>
      </w:r>
      <w:r>
        <w:rPr>
          <w:lang w:val="id_ID" w:bidi="id_ID"/>
        </w:rPr>
        <w:t>Yoh. 21:2</w:t>
      </w:r>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