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उत्तरी सीरिया में एक शहर, कलने के लिए वैकल्पिक नाम, </w:t>
      </w:r>
      <w:hyperlink r:id="rId13">
        <w:r>
          <w:rPr>
            <w:lang w:val="hi_IN" w:bidi="hi_IN"/>
          </w:rPr>
          <w:rPr>
            <w:color w:val="0000EE"/>
            <w:u w:val="single"/>
          </w:rPr>
          <w:t>यहेजकेल 27:23</w:t>
        </w:r>
      </w:hyperlink>
      <w:r>
        <w:rPr>
          <w:lang w:val="hi_IN" w:bidi="hi_IN"/>
        </w:rPr>
        <w:t xml:space="preserve"> में उल्लिखित है। </w:t>
      </w:r>
      <w:r>
        <w:rPr>
          <w:i/>
          <w:lang w:val="hi_IN" w:bidi="hi_IN"/>
        </w:rPr>
        <w:t>देखें</w:t>
      </w:r>
      <w:r>
        <w:rPr>
          <w:lang w:val="hi_IN" w:bidi="hi_IN"/>
        </w:rPr>
        <w:t xml:space="preserve"> </w:t>
      </w:r>
      <w:r>
        <w:rPr>
          <w:lang w:val="hi_IN" w:bidi="hi_IN"/>
        </w:rPr>
        <w:t>कलने #2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