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陳設餅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陳設餅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放置在會幕或聖所中的特別桌子上的餅，後來在聖殿中也有。舊約中有兩個其它術語用來描述「陳設餅（bread of the Presence）」，意思是擺在耶和華面前的餅（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出25:23、30</w:t>
        </w:r>
      </w:hyperlink>
      <w:r>
        <w:rPr>
          <w:lang w:val="zh_TW" w:bidi="zh_TW"/>
        </w:rPr>
        <w:t>，</w:t>
      </w:r>
      <w:hyperlink r:id="rId16">
        <w:r>
          <w:rPr>
            <w:lang w:val="zh_TW" w:bidi="zh_TW"/>
          </w:rPr>
          <w:rPr>
            <w:color w:val="0000EE"/>
            <w:u w:val="single"/>
          </w:rPr>
          <w:t>35:13</w:t>
        </w:r>
      </w:hyperlink>
      <w:r>
        <w:rPr>
          <w:lang w:val="zh_TW" w:bidi="zh_TW"/>
        </w:rPr>
        <w:t>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39:36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王上7:48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代下4:19</w:t>
        </w:r>
      </w:hyperlink>
      <w:r>
        <w:rPr>
          <w:lang w:val="zh_TW" w:bidi="zh_TW"/>
        </w:rPr>
        <w:t>）。「陳設餅（showbread）」一詞指的是將餅排列在桌子上的方式（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代上9:32</w:t>
        </w:r>
      </w:hyperlink>
      <w:r>
        <w:rPr>
          <w:lang w:val="zh_TW" w:bidi="zh_TW"/>
        </w:rPr>
        <w:t>，</w:t>
      </w:r>
      <w:hyperlink r:id="rId21">
        <w:r>
          <w:rPr>
            <w:lang w:val="zh_TW" w:bidi="zh_TW"/>
          </w:rPr>
          <w:rPr>
            <w:color w:val="0000EE"/>
            <w:u w:val="single"/>
          </w:rPr>
          <w:t>23:29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28:16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代下2:4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13:11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29:18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雖然陳設餅的桌子、香壇和金燈台不在至聖所內，但它們仍被認為是在神的面前。作為擺在神面前的供物，這些餅被認為是聖潔的，只有祭司才能吃。在以色列歷史的後期，提供陳設餅以及其它聖殿服務的經費，來自於每位公民繳納的三分之一舍客勒的稅款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尼10:32–33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陳設餅由12個非常大的餅組成，每個餅由五分之一伊法的細麵製成。由於一伊法略多於一蒲式耳（bushel），製作這12個餅需要兩個半蒲式耳（30.3升）的精細小麥粉。餅上撒上乳香，排列成兩行，互相倚靠，放置在陳設餅的桌子上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利24:5–9</w:t>
        </w:r>
      </w:hyperlink>
      <w:r>
        <w:rPr>
          <w:lang w:val="zh_TW" w:bidi="zh_TW"/>
        </w:rPr>
        <w:t>）。這樣排列的餅成為「火祭獻給耶和華」。這些餅每週在安息日更換一次。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在新約聖經中，提到的一次事件中出現了陳設餅。當大衛逃避掃羅王時，會幕在挪伯。大衛去找祭司亞希米勒尋求食物（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撒上21:1–6</w:t>
        </w:r>
      </w:hyperlink>
      <w:r>
        <w:rPr>
          <w:lang w:val="zh_TW" w:bidi="zh_TW"/>
        </w:rPr>
        <w:t>）。亞希米勒只有陳設餅，他同意與大衛的手下分享，但前提是他們在吃之前已經保持了一段時間的性潔淨。耶穌後來提到這件事，與祂自己供應跟隨祂之人所需的事工相似（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太12:1–8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可2:25–26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路6:1–5</w:t>
        </w:r>
      </w:hyperlink>
      <w:r>
        <w:rPr>
          <w:lang w:val="zh_TW" w:bidi="zh_TW"/>
        </w:rPr>
        <w:t>）。作為神的受膏者，大衛和他的手下被允許吃這聖餅。同樣，耶穌是神的受膏者，也在安息日規定之外為他人提供所需。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會幕</w:t>
      </w:r>
      <w:r>
        <w:rPr>
          <w:lang w:val="zh_TW" w:bidi="zh_TW"/>
        </w:rPr>
        <w:t>；</w:t>
      </w:r>
      <w:r>
        <w:rPr>
          <w:lang w:val="zh_TW" w:bidi="zh_TW"/>
        </w:rPr>
        <w:t>聖殿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xod25:23" TargetMode="External"/><Relationship Id="rId16" Type="http://schemas.openxmlformats.org/officeDocument/2006/relationships/hyperlink" Target="https://ref.ly/Exod35:13" TargetMode="External"/><Relationship Id="rId17" Type="http://schemas.openxmlformats.org/officeDocument/2006/relationships/hyperlink" Target="https://ref.ly/Exod39:36" TargetMode="External"/><Relationship Id="rId18" Type="http://schemas.openxmlformats.org/officeDocument/2006/relationships/hyperlink" Target="https://ref.ly/1Kgs7:48" TargetMode="External"/><Relationship Id="rId19" Type="http://schemas.openxmlformats.org/officeDocument/2006/relationships/hyperlink" Target="https://ref.ly/2Chr4:19" TargetMode="External"/><Relationship Id="rId20" Type="http://schemas.openxmlformats.org/officeDocument/2006/relationships/hyperlink" Target="https://ref.ly/1Chr9:32" TargetMode="External"/><Relationship Id="rId21" Type="http://schemas.openxmlformats.org/officeDocument/2006/relationships/hyperlink" Target="https://ref.ly/1Chr23:29" TargetMode="External"/><Relationship Id="rId22" Type="http://schemas.openxmlformats.org/officeDocument/2006/relationships/hyperlink" Target="https://ref.ly/1Chr28:16" TargetMode="External"/><Relationship Id="rId23" Type="http://schemas.openxmlformats.org/officeDocument/2006/relationships/hyperlink" Target="https://ref.ly/2Chr2:4" TargetMode="External"/><Relationship Id="rId24" Type="http://schemas.openxmlformats.org/officeDocument/2006/relationships/hyperlink" Target="https://ref.ly/2Chr13:11" TargetMode="External"/><Relationship Id="rId25" Type="http://schemas.openxmlformats.org/officeDocument/2006/relationships/hyperlink" Target="https://ref.ly/2Chr29:18" TargetMode="External"/><Relationship Id="rId26" Type="http://schemas.openxmlformats.org/officeDocument/2006/relationships/hyperlink" Target="https://ref.ly/Neh10:32-Neh10:33" TargetMode="External"/><Relationship Id="rId27" Type="http://schemas.openxmlformats.org/officeDocument/2006/relationships/hyperlink" Target="https://ref.ly/Lev24:5-Lev24:9" TargetMode="External"/><Relationship Id="rId28" Type="http://schemas.openxmlformats.org/officeDocument/2006/relationships/hyperlink" Target="https://ref.ly/1Sam21:1-1Sam21:6" TargetMode="External"/><Relationship Id="rId29" Type="http://schemas.openxmlformats.org/officeDocument/2006/relationships/hyperlink" Target="https://ref.ly/Matt12:1-Matt12:8" TargetMode="External"/><Relationship Id="rId30" Type="http://schemas.openxmlformats.org/officeDocument/2006/relationships/hyperlink" Target="https://ref.ly/Mark2:25-Mark2:26" TargetMode="External"/><Relationship Id="rId31" Type="http://schemas.openxmlformats.org/officeDocument/2006/relationships/hyperlink" Target="https://ref.ly/Luke6:1-Luke6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