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賜福、祝福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賜福、祝福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宣告神對一群聚集在一起的人的恩惠。</w:t>
      </w:r>
    </w:p>
    <w:p>
      <w:pPr/>
      <w:r>
        <w:rPr>
          <w:lang w:val="zh_TW" w:bidi="zh_TW"/>
        </w:rPr>
      </w:r>
      <w:r>
        <w:rPr>
          <w:lang w:val="zh_TW" w:bidi="zh_TW"/>
        </w:rPr>
        <w:t>在東正教、羅馬天主教和大多數新教教會的敬拜儀式中（例如聖餐禮），通常會以神職人員的祝福作為結束。這種宣告（在羅馬天主教、東正教和聖公會教會中稱為「祝福（blessing）」，在大多數新教教會中稱為「祝禱（benediction）」）有聖經的根據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創27:27</w:t>
        </w:r>
      </w:hyperlink>
      <w:r>
        <w:rPr>
          <w:lang w:val="zh_TW" w:bidi="zh_TW"/>
        </w:rPr>
        <w:t>–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29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民6:22</w:t>
        </w:r>
      </w:hyperlink>
      <w:r>
        <w:rPr>
          <w:lang w:val="zh_TW" w:bidi="zh_TW"/>
        </w:rPr>
        <w:t>–</w:t>
      </w:r>
      <w:hyperlink r:id="rId16">
        <w:r>
          <w:rPr>
            <w:lang w:val="zh_TW" w:bidi="zh_TW"/>
          </w:rPr>
          <w:rPr>
            <w:color w:val="0000EE"/>
            <w:u w:val="single"/>
          </w:rPr>
          <w:t>27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路24:50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林後13:11、14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腓4:7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帖後2:16</w:t>
        </w:r>
      </w:hyperlink>
      <w:r>
        <w:rPr>
          <w:lang w:val="zh_TW" w:bidi="zh_TW"/>
        </w:rPr>
        <w:t>–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來13:20</w:t>
        </w:r>
      </w:hyperlink>
      <w:r>
        <w:rPr>
          <w:lang w:val="zh_TW" w:bidi="zh_TW"/>
        </w:rPr>
        <w:t>–</w:t>
      </w:r>
      <w:hyperlink r:id="rId21">
        <w:r>
          <w:rPr>
            <w:lang w:val="zh_TW" w:bidi="zh_TW"/>
          </w:rPr>
          <w:rPr>
            <w:color w:val="0000EE"/>
            <w:u w:val="single"/>
          </w:rPr>
          <w:t>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祝禱或祝福被視為儀式性地結束崇拜，但它實際上是一種重要的神恩宣告。由具有聖經權柄的神職人員賜予忠心的信徒。藉此，基督徒確信聖父的恩典、聖子的慈愛以及聖靈的交通與他們同在。</w:t>
      </w:r>
    </w:p>
    <w:p>
      <w:pPr/>
      <w:r>
        <w:rPr>
          <w:lang w:val="zh_TW" w:bidi="zh_TW"/>
        </w:rPr>
      </w:r>
      <w:r>
        <w:rPr>
          <w:lang w:val="zh_TW" w:bidi="zh_TW"/>
        </w:rPr>
        <w:t>「祝福」一詞也用於感謝神賜食物和飲料的行為（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太14:19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可8:7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路24:30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八福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7:27-Gen27:29" TargetMode="External"/><Relationship Id="rId16" Type="http://schemas.openxmlformats.org/officeDocument/2006/relationships/hyperlink" Target="https://ref.ly/Num6:22-Num6:27" TargetMode="External"/><Relationship Id="rId17" Type="http://schemas.openxmlformats.org/officeDocument/2006/relationships/hyperlink" Target="https://ref.ly/Luke24:50" TargetMode="External"/><Relationship Id="rId18" Type="http://schemas.openxmlformats.org/officeDocument/2006/relationships/hyperlink" Target="https://ref.ly/2Cor13:11,2Cor13:14" TargetMode="External"/><Relationship Id="rId19" Type="http://schemas.openxmlformats.org/officeDocument/2006/relationships/hyperlink" Target="https://ref.ly/Phil4:7" TargetMode="External"/><Relationship Id="rId20" Type="http://schemas.openxmlformats.org/officeDocument/2006/relationships/hyperlink" Target="https://ref.ly/2Thess2:16-2Thess2:17" TargetMode="External"/><Relationship Id="rId21" Type="http://schemas.openxmlformats.org/officeDocument/2006/relationships/hyperlink" Target="https://ref.ly/Heb13:20-Heb13:21" TargetMode="External"/><Relationship Id="rId22" Type="http://schemas.openxmlformats.org/officeDocument/2006/relationships/hyperlink" Target="https://ref.ly/Matt14:19" TargetMode="External"/><Relationship Id="rId23" Type="http://schemas.openxmlformats.org/officeDocument/2006/relationships/hyperlink" Target="https://ref.ly/Mark8:7" TargetMode="External"/><Relationship Id="rId24" Type="http://schemas.openxmlformats.org/officeDocument/2006/relationships/hyperlink" Target="https://ref.ly/Luke24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