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保羅寫給帖撒羅尼迦教會的第二封信。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日期、起源與寫作對象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目的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內容</w:t>
      </w:r>
    </w:p>
    <w:p>
      <w:pPr>
        <w:pStyle w:val="Heading3"/>
      </w:pPr>
      <w:r>
        <w:rPr>
          <w:lang w:val="zh_TW" w:bidi="zh_TW"/>
        </w:rPr>
        <w:t>作者簡介</w:t>
      </w:r>
    </w:p>
    <w:p>
      <w:pPr/>
      <w:r>
        <w:rPr>
          <w:lang w:val="zh_TW" w:bidi="zh_TW"/>
        </w:rPr>
      </w:r>
      <w:r>
        <w:rPr>
          <w:lang w:val="zh_TW" w:bidi="zh_TW"/>
        </w:rPr>
        <w:t>與帖撒羅尼迦前書一樣，這封信以保羅、西拉和提摩太的名字開始；並且像前書一樣，這封信經常使用複數代名詞「我們」和「我們的」，但也有使用單數代名詞「我」（例如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帖後2:5</w:t>
        </w:r>
      </w:hyperlink>
      <w:r>
        <w:rPr>
          <w:lang w:val="zh_TW" w:bidi="zh_TW"/>
        </w:rPr>
        <w:t>）。信的結尾寫道：「</w:t>
      </w:r>
      <w:r>
        <w:rPr>
          <w:lang w:val="zh_TW" w:bidi="zh_TW"/>
        </w:rPr>
        <w:t>我－ 保羅親筆問你們安。凡我的信都以此為記，我的筆跡就是這樣</w:t>
      </w:r>
      <w:r>
        <w:rPr>
          <w:lang w:val="zh_TW" w:bidi="zh_TW"/>
        </w:rPr>
        <w:t>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有些學者質疑這封書信是否出自保羅之手，主要原因在於這書關於未來的教導，與帖撒羅尼迦前書的教導有所不同。根據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帖撒羅尼迦後書三章17節</w:t>
        </w:r>
      </w:hyperlink>
      <w:r>
        <w:rPr>
          <w:lang w:val="zh_TW" w:bidi="zh_TW"/>
        </w:rPr>
        <w:t>的說法，第一封信必須被視為偽造。然而，事實並非如此，早期教會從未質疑這兩封信是否出由保羅所寫。</w:t>
      </w:r>
    </w:p>
    <w:p>
      <w:pPr>
        <w:pStyle w:val="Heading3"/>
      </w:pPr>
      <w:r>
        <w:rPr>
          <w:lang w:val="zh_TW" w:bidi="zh_TW"/>
        </w:rPr>
        <w:t>日期、起源與寫作對象</w:t>
      </w:r>
    </w:p>
    <w:p>
      <w:pPr/>
      <w:r>
        <w:rPr>
          <w:lang w:val="zh_TW" w:bidi="zh_TW"/>
        </w:rPr>
      </w:r>
      <w:r>
        <w:rPr>
          <w:lang w:val="zh_TW" w:bidi="zh_TW"/>
        </w:rPr>
        <w:t>與帖撒羅尼迦前書相同，這封信的第一節便說這是寫給「帖撒羅尼迦的教會」。與前書不同的是，這封信沒有提供關於保羅和他同工行蹤的個人細節。因此，沒有直接證據確定這封信的成書日期和地點。</w:t>
      </w:r>
    </w:p>
    <w:p>
      <w:pPr/>
      <w:r>
        <w:rPr>
          <w:lang w:val="zh_TW" w:bidi="zh_TW"/>
        </w:rPr>
      </w:r>
      <w:r>
        <w:rPr>
          <w:lang w:val="zh_TW" w:bidi="zh_TW"/>
        </w:rPr>
        <w:t>由於這封書的教導與帖撒羅尼迦前書不同，因此有人質疑此信是否為保羅所寫，並且提出了幾種有關日期和寫作對象的推測：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這封信是在帖撒羅尼迦前書寫成許久之後才寫的。然而，這種可能性不大，因為西拉和提摩太仍然與保羅同在。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這封信的寫作時間早於帖撒羅尼迦前書。然而，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二章15節</w:t>
        </w:r>
      </w:hyperlink>
      <w:r>
        <w:rPr>
          <w:lang w:val="zh_TW" w:bidi="zh_TW"/>
        </w:rPr>
        <w:t>提到一封先前寫給帖撒羅尼迦的信。而且，從第二世紀開始，早期教會確實稱這封信為帖撒羅尼迦後書。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這封信的寫作對象是帖撒羅尼迦的猶太基督徒，而帖撒羅尼迦前書則是寫給外邦基督徒的。然而，這種說法極不可能，因為這位使徒一向十分重視基督徒在同一地區應當合一（例如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林前1–3</w:t>
        </w:r>
      </w:hyperlink>
      <w:r>
        <w:rPr>
          <w:lang w:val="zh_TW" w:bidi="zh_TW"/>
        </w:rPr>
        <w:t>），並特別重視猶太信徒與外邦信徒的合一（見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弗2:11–22</w:t>
        </w:r>
      </w:hyperlink>
      <w:r>
        <w:rPr>
          <w:lang w:val="zh_TW" w:bidi="zh_TW"/>
        </w:rPr>
        <w:t>），所以他不可能這樣做。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這封信是寫給別處的基督徒（庇哩亞和腓立比），後來傳到帖撒羅尼迦的基督徒手中。然而，沒有任何證據顯示這封信最初是寫給其它地方的基督徒，而非帖撒羅尼迦的信徒。</w:t>
      </w:r>
    </w:p>
    <w:p>
      <w:pPr/>
      <w:r>
        <w:rPr>
          <w:lang w:val="zh_TW" w:bidi="zh_TW"/>
        </w:rPr>
      </w:r>
      <w:r>
        <w:rPr>
          <w:lang w:val="zh_TW" w:bidi="zh_TW"/>
        </w:rPr>
        <w:t>寫這封信時，</w:t>
      </w:r>
      <w:r>
        <w:rPr>
          <w:lang w:val="zh_TW" w:bidi="zh_TW"/>
        </w:rPr>
        <w:t>保羅身邊的同工與寫帖撒羅尼迦前書時相同</w:t>
      </w:r>
      <w:r>
        <w:rPr>
          <w:lang w:val="zh_TW" w:bidi="zh_TW"/>
        </w:rPr>
        <w:t>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帖後1:1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這表明，保羅在寫完前書後不久，聽到了帖撒羅尼迦基督徒面臨的新問題，出於對他們的關心，就寫了這第二封信。</w:t>
      </w:r>
    </w:p>
    <w:p>
      <w:pPr>
        <w:pStyle w:val="Heading3"/>
      </w:pP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使徒保羅寫這封信時，心中有三個主要的關注。</w:t>
      </w:r>
    </w:p>
    <w:p>
      <w:pPr/>
      <w:r>
        <w:rPr>
          <w:lang w:val="zh_TW" w:bidi="zh_TW"/>
        </w:rPr>
      </w:r>
      <w:r>
        <w:rPr>
          <w:lang w:val="zh_TW" w:bidi="zh_TW"/>
        </w:rPr>
        <w:t>首先，與他所有書信一樣，他希望鼓勵讀者在信仰上站立得穩（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2:15）</w:t>
        </w:r>
      </w:hyperlink>
      <w:r>
        <w:rPr>
          <w:lang w:val="zh_TW" w:bidi="zh_TW"/>
        </w:rPr>
        <w:t>。他感謝神在他們生命中的工作（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1:3，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2:13</w:t>
        </w:r>
      </w:hyperlink>
      <w:r>
        <w:rPr>
          <w:lang w:val="zh_TW" w:bidi="zh_TW"/>
        </w:rPr>
        <w:t>），這工作表現在他們的信心、愛心，以及在逼迫中堅忍的態度（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）。保羅向他們保證，神終將施行公義審判。信徒的責任是以生命榮耀耶穌的名；當主再來時，衪將在忠心的子民中得榮耀（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5–12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其次，教會中流傳著錯誤的教導，甚至有人假冒保羅的名義，宣稱</w:t>
      </w:r>
      <w:r>
        <w:rPr>
          <w:lang w:val="zh_TW" w:bidi="zh_TW"/>
        </w:rPr>
        <w:t>主的日子現在到了</w:t>
      </w:r>
      <w:r>
        <w:rPr>
          <w:lang w:val="zh_TW" w:bidi="zh_TW"/>
        </w:rPr>
        <w:t>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）。這位使徒駁斥這種教導，並指出在基督再來之前必須發生一些特定的事情。他提到，一個被稱為「</w:t>
      </w:r>
      <w:r>
        <w:rPr>
          <w:lang w:val="zh_TW" w:bidi="zh_TW"/>
        </w:rPr>
        <w:t>大罪人</w:t>
      </w:r>
      <w:r>
        <w:rPr>
          <w:lang w:val="zh_TW" w:bidi="zh_TW"/>
        </w:rPr>
        <w:t>」或「</w:t>
      </w:r>
      <w:r>
        <w:rPr>
          <w:lang w:val="zh_TW" w:bidi="zh_TW"/>
        </w:rPr>
        <w:t>沉淪之子</w:t>
      </w:r>
      <w:r>
        <w:rPr>
          <w:lang w:val="zh_TW" w:bidi="zh_TW"/>
        </w:rPr>
        <w:t>」的人將會顯現，這個人將否定一切真正的敬拜，行神蹟奇事，甚至自稱為神。目前，仍有一種力量在抑制牠。然而，到了適當的時候，「大罪人」將被揭露。然後，當主再來時，「大罪人」將被征服和摧毀。這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1–12</w:t>
        </w:r>
      </w:hyperlink>
      <w:r>
        <w:rPr>
          <w:lang w:val="zh_TW" w:bidi="zh_TW"/>
        </w:rPr>
        <w:t>節）與福音書中關於敵基督的描述類似，牠將假冒基督，以神蹟奇事欺騙人（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太24:5、23–26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可13:5–6、20–23</w:t>
        </w:r>
      </w:hyperlink>
      <w:r>
        <w:rPr>
          <w:lang w:val="zh_TW" w:bidi="zh_TW"/>
        </w:rPr>
        <w:t>）。在帖撒羅尼迦前書中，保羅強調主再來的時間是沒有人知道的，因此信徒必須隨時準備好迎接衪。在這裡，為了反駁主已經再來的觀念，保羅強調基督再來前必然發生的事件。耶穌在講論未來時，也同時強調這兩個方面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太24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可13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最後，基督徒群體中的懶惰問題仍然存在，甚至可能有所加劇（參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帖前4:11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）。保羅再次提醒他們，他與同工們的榜樣——他們親自工作賺取生活費，而不是依賴他們的福音對象。保羅提出了一個簡單的原則：「</w:t>
      </w:r>
      <w:r>
        <w:rPr>
          <w:lang w:val="zh_TW" w:bidi="zh_TW"/>
        </w:rPr>
        <w:t>若有人不肯做工，就不可吃飯</w:t>
      </w:r>
      <w:r>
        <w:rPr>
          <w:lang w:val="zh_TW" w:bidi="zh_TW"/>
        </w:rPr>
        <w:t>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帖後3:10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內容</w:t>
      </w:r>
    </w:p>
    <w:p>
      <w:pPr>
        <w:pStyle w:val="Heading4"/>
      </w:pPr>
      <w:r>
        <w:rPr>
          <w:lang w:val="zh_TW" w:bidi="zh_TW"/>
        </w:rPr>
        <w:t>為他們的基督徒生活感恩（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1:3–4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因為帖撒羅尼迦人的信心增長，彼此之間的愛心加增，並且在逼迫中展現忍耐，所以保羅讚美神。</w:t>
      </w:r>
    </w:p>
    <w:p>
      <w:pPr>
        <w:pStyle w:val="Heading4"/>
      </w:pPr>
      <w:r>
        <w:rPr>
          <w:lang w:val="zh_TW" w:bidi="zh_TW"/>
        </w:rPr>
        <w:t>逼迫者與被逼迫者的角色逆轉（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1:5–10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當時，帖撒羅尼迦的基督徒正遭受苦難，但逼迫他們的人將在主耶穌帶著「</w:t>
      </w:r>
      <w:r>
        <w:rPr>
          <w:lang w:val="zh_TW" w:bidi="zh_TW"/>
        </w:rPr>
        <w:t>同他有能力的天使</w:t>
      </w:r>
      <w:r>
        <w:rPr>
          <w:lang w:val="zh_TW" w:bidi="zh_TW"/>
        </w:rPr>
        <w:t>」降臨時，面對神公義的審判。</w:t>
      </w:r>
      <w:r>
        <w:rPr>
          <w:lang w:val="zh_TW" w:bidi="zh_TW"/>
        </w:rPr>
        <w:t>那些拒絕神和福音救恩的人，將</w:t>
      </w:r>
      <w:r>
        <w:rPr>
          <w:lang w:val="zh_TW" w:bidi="zh_TW"/>
        </w:rPr>
        <w:t>「</w:t>
      </w:r>
      <w:r>
        <w:rPr>
          <w:lang w:val="zh_TW" w:bidi="zh_TW"/>
        </w:rPr>
        <w:t>要受刑罰，就是永遠沉淪</w:t>
      </w:r>
      <w:r>
        <w:rPr>
          <w:lang w:val="zh_TW" w:bidi="zh_TW"/>
        </w:rPr>
        <w:t>」。祂的子民將</w:t>
      </w:r>
      <w:r>
        <w:rPr>
          <w:lang w:val="zh_TW" w:bidi="zh_TW"/>
        </w:rPr>
        <w:t>經歷</w:t>
      </w:r>
      <w:r>
        <w:rPr>
          <w:lang w:val="zh_TW" w:bidi="zh_TW"/>
        </w:rPr>
        <w:t>祂再來的榮耀，並意識到他們的堅持所信和受苦並非徒</w:t>
      </w:r>
      <w:r>
        <w:rPr>
          <w:lang w:val="zh_TW" w:bidi="zh_TW"/>
        </w:rPr>
        <w:t>然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禱告主耶穌得榮耀（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1:11–12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這是保羅為帖撒羅尼迦基督徒的禱告——願他們過著配得上呼召的生活，實現他們的決心，並藉著神的恩典，使基督的名字在他們身上得榮耀。</w:t>
      </w:r>
    </w:p>
    <w:p>
      <w:pPr>
        <w:pStyle w:val="Heading4"/>
      </w:pPr>
      <w:r>
        <w:rPr>
          <w:lang w:val="zh_TW" w:bidi="zh_TW"/>
        </w:rPr>
        <w:t>在基督再來之前必須發生的事（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2:1–12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在這個段落，保羅駁斥那錯誤教導說</w:t>
      </w:r>
      <w:r>
        <w:rPr>
          <w:lang w:val="zh_TW" w:bidi="zh_TW"/>
        </w:rPr>
        <w:t>主的日子現在到了</w:t>
      </w:r>
      <w:r>
        <w:rPr>
          <w:lang w:val="zh_TW" w:bidi="zh_TW"/>
        </w:rPr>
        <w:t>，強調在此之前，「</w:t>
      </w:r>
      <w:r>
        <w:rPr>
          <w:lang w:val="zh_TW" w:bidi="zh_TW"/>
        </w:rPr>
        <w:t>那大罪人</w:t>
      </w:r>
      <w:r>
        <w:rPr>
          <w:lang w:val="zh_TW" w:bidi="zh_TW"/>
        </w:rPr>
        <w:t>」必須被揭示，也就是所謂的敵基督（不過需要注意的是，新約中也提到「</w:t>
      </w:r>
      <w:r>
        <w:rPr>
          <w:lang w:val="zh_TW" w:bidi="zh_TW"/>
        </w:rPr>
        <w:t>好些敵基督</w:t>
      </w:r>
      <w:r>
        <w:rPr>
          <w:lang w:val="zh_TW" w:bidi="zh_TW"/>
        </w:rPr>
        <w:t>」和「</w:t>
      </w:r>
      <w:r>
        <w:rPr>
          <w:lang w:val="zh_TW" w:bidi="zh_TW"/>
        </w:rPr>
        <w:t>那</w:t>
      </w:r>
      <w:r>
        <w:rPr>
          <w:lang w:val="zh_TW" w:bidi="zh_TW"/>
        </w:rPr>
        <w:t>敵基督者的靈」——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約一2:18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4:3</w:t>
        </w:r>
      </w:hyperlink>
      <w:r>
        <w:rPr>
          <w:lang w:val="zh_TW" w:bidi="zh_TW"/>
        </w:rPr>
        <w:t>）。保羅說：「</w:t>
      </w:r>
      <w:r>
        <w:rPr>
          <w:lang w:val="zh_TW" w:bidi="zh_TW"/>
        </w:rPr>
        <w:t>因為那日子以前，必有離道反教的事，並有那大罪人，就是沉淪之子，顯露出來</w:t>
      </w:r>
      <w:r>
        <w:rPr>
          <w:lang w:val="zh_TW" w:bidi="zh_TW"/>
        </w:rPr>
        <w:t>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帖後2:3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目前，不法的</w:t>
      </w:r>
      <w:r>
        <w:rPr>
          <w:lang w:val="zh_TW" w:bidi="zh_TW"/>
        </w:rPr>
        <w:t>隱意正</w:t>
      </w:r>
      <w:r>
        <w:rPr>
          <w:lang w:val="zh_TW" w:bidi="zh_TW"/>
        </w:rPr>
        <w:t>被</w:t>
      </w:r>
      <w:r>
        <w:rPr>
          <w:lang w:val="zh_TW" w:bidi="zh_TW"/>
        </w:rPr>
        <w:t>攔阻</w:t>
      </w:r>
      <w:r>
        <w:rPr>
          <w:lang w:val="zh_TW" w:bidi="zh_TW"/>
        </w:rPr>
        <w:t>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6–7</w:t>
        </w:r>
      </w:hyperlink>
      <w:r>
        <w:rPr>
          <w:lang w:val="zh_TW" w:bidi="zh_TW"/>
        </w:rPr>
        <w:t>節）；但在未來——就是在主再來之前，這種</w:t>
      </w:r>
      <w:r>
        <w:rPr>
          <w:lang w:val="zh_TW" w:bidi="zh_TW"/>
        </w:rPr>
        <w:t>攔阻</w:t>
      </w:r>
      <w:r>
        <w:rPr>
          <w:lang w:val="zh_TW" w:bidi="zh_TW"/>
        </w:rPr>
        <w:t>將被解除。換句話說，邪惡將徹底爆發。基督徒必須預備好面對極端邪惡的顯現，這種顯現會伴隨著「</w:t>
      </w:r>
      <w:r>
        <w:rPr>
          <w:lang w:val="zh_TW" w:bidi="zh_TW"/>
        </w:rPr>
        <w:t>一切虛假的奇事</w:t>
      </w:r>
      <w:r>
        <w:rPr>
          <w:lang w:val="zh_TW" w:bidi="zh_TW"/>
        </w:rPr>
        <w:t>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節），許多人將因此被欺騙。基督的再來將帶來邪惡的終結，並審判那些敵擋真理、樂於不義之人。</w:t>
      </w:r>
    </w:p>
    <w:p>
      <w:pPr>
        <w:pStyle w:val="Heading4"/>
      </w:pPr>
      <w:r>
        <w:rPr>
          <w:lang w:val="zh_TW" w:bidi="zh_TW"/>
        </w:rPr>
        <w:t>更新的感恩、鼓勵和禱告（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2:13–3:5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保羅討論邪惡力量對人們生活的影響之後，他感謝神的靈在帖撒羅尼迦基督徒生活中工作。他勉勵他們持守自己所教導的一切，無論是親身教導還是以書信傳遞的信息。保羅的禱告是求這位賜安慰與盼望的神，使他們在一切善行與</w:t>
      </w:r>
      <w:r>
        <w:rPr>
          <w:lang w:val="zh_TW" w:bidi="zh_TW"/>
        </w:rPr>
        <w:t>善言</w:t>
      </w:r>
      <w:r>
        <w:rPr>
          <w:lang w:val="zh_TW" w:bidi="zh_TW"/>
        </w:rPr>
        <w:t>上</w:t>
      </w:r>
      <w:r>
        <w:rPr>
          <w:lang w:val="zh_TW" w:bidi="zh_TW"/>
        </w:rPr>
        <w:t>堅固</w:t>
      </w:r>
      <w:r>
        <w:rPr>
          <w:lang w:val="zh_TW" w:bidi="zh_TW"/>
        </w:rPr>
        <w:t>他們。他也表達自己需要他們的禱告，希望神能繼續使他所傳講的道興旺，並保守他脫離惡人的手。又求神保守帖撒羅尼迦的基督徒，讓他們可以確信神的信實。保羅為他們禱告，願他們在所學之道上堅定不移，被引導進入神的愛與基督所賜的忍耐之中。</w:t>
      </w:r>
    </w:p>
    <w:p>
      <w:pPr>
        <w:pStyle w:val="Heading4"/>
      </w:pPr>
      <w:r>
        <w:rPr>
          <w:b/>
          <w:lang w:val="zh_TW" w:bidi="zh_TW"/>
        </w:rPr>
        <w:t>警告不守規矩與懶惰的人</w:t>
      </w:r>
      <w:r>
        <w:rPr>
          <w:lang w:val="zh_TW" w:bidi="zh_TW"/>
        </w:rPr>
        <w:t>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3:6–15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保羅寫作的另一個特別目的，是強調基督徒的生活不應懶惰。他不僅這樣教導，也以自己的生活作為榜樣。基督徒應該「</w:t>
      </w:r>
      <w:r>
        <w:rPr>
          <w:lang w:val="zh_TW" w:bidi="zh_TW"/>
        </w:rPr>
        <w:t>安靜做工，吃自己的飯」</w:t>
      </w:r>
      <w:r>
        <w:rPr>
          <w:lang w:val="zh_TW" w:bidi="zh_TW"/>
        </w:rPr>
        <w:t>，並且「</w:t>
      </w:r>
      <w:r>
        <w:rPr>
          <w:lang w:val="zh_TW" w:bidi="zh_TW"/>
        </w:rPr>
        <w:t>行善不可喪志</w:t>
      </w:r>
      <w:r>
        <w:rPr>
          <w:lang w:val="zh_TW" w:bidi="zh_TW"/>
        </w:rPr>
        <w:t>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12–13</w:t>
        </w:r>
      </w:hyperlink>
      <w:r>
        <w:rPr>
          <w:lang w:val="zh_TW" w:bidi="zh_TW"/>
        </w:rPr>
        <w:t>節）。基督徒不應與拒絕這教導的人來往，但應當以弟兄的身份勸戒，而不是將他們視為敵人。</w:t>
      </w:r>
    </w:p>
    <w:p>
      <w:pPr>
        <w:pStyle w:val="Heading4"/>
      </w:pPr>
      <w:r>
        <w:rPr>
          <w:lang w:val="zh_TW" w:bidi="zh_TW"/>
        </w:rPr>
        <w:t>結論（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3:16–18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保羅以禱告求恩典與平安，並親筆署名，為書信畫下句點。他在第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節提到親筆寫信，這很可能是指在此之前，他一直由他人代筆，而這最後的部分則由他親自寫下（參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林前16:21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西4:18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末世論</w:t>
      </w:r>
      <w:r>
        <w:rPr>
          <w:lang w:val="zh_TW" w:bidi="zh_TW"/>
        </w:rPr>
        <w:t>，</w:t>
      </w:r>
      <w:r>
        <w:rPr>
          <w:lang w:val="zh_TW" w:bidi="zh_TW"/>
        </w:rPr>
        <w:t>使徒保羅</w:t>
      </w:r>
      <w:r>
        <w:rPr>
          <w:lang w:val="zh_TW" w:bidi="zh_TW"/>
        </w:rPr>
        <w:t>，</w:t>
      </w:r>
      <w:r>
        <w:rPr>
          <w:lang w:val="zh_TW" w:bidi="zh_TW"/>
        </w:rPr>
        <w:t>基督的再來</w:t>
      </w:r>
      <w:r>
        <w:rPr>
          <w:lang w:val="zh_TW" w:bidi="zh_TW"/>
        </w:rPr>
        <w:t>，</w:t>
      </w:r>
      <w:r>
        <w:rPr>
          <w:lang w:val="zh_TW" w:bidi="zh_TW"/>
        </w:rPr>
        <w:t>帖撒羅尼迦前書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5" TargetMode="External"/><Relationship Id="rId16" Type="http://schemas.openxmlformats.org/officeDocument/2006/relationships/hyperlink" Target="https://ref.ly/2Thess3:17" TargetMode="External"/><Relationship Id="rId17" Type="http://schemas.openxmlformats.org/officeDocument/2006/relationships/hyperlink" Target="https://ref.ly/2Thess2:15" TargetMode="External"/><Relationship Id="rId18" Type="http://schemas.openxmlformats.org/officeDocument/2006/relationships/hyperlink" Target="https://ref.ly/1Cor1:1-1Cor3:23" TargetMode="External"/><Relationship Id="rId19" Type="http://schemas.openxmlformats.org/officeDocument/2006/relationships/hyperlink" Target="https://ref.ly/Eph2:11-Eph2:22" TargetMode="External"/><Relationship Id="rId20" Type="http://schemas.openxmlformats.org/officeDocument/2006/relationships/hyperlink" Target="https://ref.ly/2Thess1:1" TargetMode="External"/><Relationship Id="rId21" Type="http://schemas.openxmlformats.org/officeDocument/2006/relationships/hyperlink" Target="https://ref.ly/2Thess1:3" TargetMode="External"/><Relationship Id="rId22" Type="http://schemas.openxmlformats.org/officeDocument/2006/relationships/hyperlink" Target="https://ref.ly/2Thess2:13" TargetMode="External"/><Relationship Id="rId23" Type="http://schemas.openxmlformats.org/officeDocument/2006/relationships/hyperlink" Target="https://ref.ly/2Thess1:4" TargetMode="External"/><Relationship Id="rId24" Type="http://schemas.openxmlformats.org/officeDocument/2006/relationships/hyperlink" Target="https://ref.ly/2Thess1:5-2Thess1:12" TargetMode="External"/><Relationship Id="rId25" Type="http://schemas.openxmlformats.org/officeDocument/2006/relationships/hyperlink" Target="https://ref.ly/2Thess2:2" TargetMode="External"/><Relationship Id="rId26" Type="http://schemas.openxmlformats.org/officeDocument/2006/relationships/hyperlink" Target="https://ref.ly/2Thess2:1-2Thess2:12" TargetMode="External"/><Relationship Id="rId27" Type="http://schemas.openxmlformats.org/officeDocument/2006/relationships/hyperlink" Target="https://ref.ly/Matt24:5,Matt24:23-Matt24:26" TargetMode="External"/><Relationship Id="rId28" Type="http://schemas.openxmlformats.org/officeDocument/2006/relationships/hyperlink" Target="https://ref.ly/Mark13:5-Mark13:6,Mark13:20-Mark13:23" TargetMode="External"/><Relationship Id="rId29" Type="http://schemas.openxmlformats.org/officeDocument/2006/relationships/hyperlink" Target="https://ref.ly/Matt24:1-Matt24:51" TargetMode="External"/><Relationship Id="rId30" Type="http://schemas.openxmlformats.org/officeDocument/2006/relationships/hyperlink" Target="https://ref.ly/Mark13:1-Mark13:37" TargetMode="External"/><Relationship Id="rId31" Type="http://schemas.openxmlformats.org/officeDocument/2006/relationships/hyperlink" Target="https://ref.ly/Luke21:1-Luke21:38" TargetMode="External"/><Relationship Id="rId32" Type="http://schemas.openxmlformats.org/officeDocument/2006/relationships/hyperlink" Target="https://ref.ly/1Thess4:11" TargetMode="External"/><Relationship Id="rId33" Type="http://schemas.openxmlformats.org/officeDocument/2006/relationships/hyperlink" Target="https://ref.ly/1Thess5:14" TargetMode="External"/><Relationship Id="rId34" Type="http://schemas.openxmlformats.org/officeDocument/2006/relationships/hyperlink" Target="https://ref.ly/2Thess3:10" TargetMode="External"/><Relationship Id="rId35" Type="http://schemas.openxmlformats.org/officeDocument/2006/relationships/hyperlink" Target="https://ref.ly/2Thess1:3-2Thess1:4" TargetMode="External"/><Relationship Id="rId36" Type="http://schemas.openxmlformats.org/officeDocument/2006/relationships/hyperlink" Target="https://ref.ly/2Thess1:5-2Thess1:10" TargetMode="External"/><Relationship Id="rId37" Type="http://schemas.openxmlformats.org/officeDocument/2006/relationships/hyperlink" Target="https://ref.ly/2Thess1:11-2Thess1:12" TargetMode="External"/><Relationship Id="rId38" Type="http://schemas.openxmlformats.org/officeDocument/2006/relationships/hyperlink" Target="https://ref.ly/1John2:18" TargetMode="External"/><Relationship Id="rId39" Type="http://schemas.openxmlformats.org/officeDocument/2006/relationships/hyperlink" Target="https://ref.ly/1John4:3" TargetMode="External"/><Relationship Id="rId40" Type="http://schemas.openxmlformats.org/officeDocument/2006/relationships/hyperlink" Target="https://ref.ly/2Thess2:3" TargetMode="External"/><Relationship Id="rId41" Type="http://schemas.openxmlformats.org/officeDocument/2006/relationships/hyperlink" Target="https://ref.ly/2Thess2:6-2Thess2:7" TargetMode="External"/><Relationship Id="rId42" Type="http://schemas.openxmlformats.org/officeDocument/2006/relationships/hyperlink" Target="https://ref.ly/2Thess2:9" TargetMode="External"/><Relationship Id="rId43" Type="http://schemas.openxmlformats.org/officeDocument/2006/relationships/hyperlink" Target="https://ref.ly/2Thess2:13-2Thess3:5" TargetMode="External"/><Relationship Id="rId44" Type="http://schemas.openxmlformats.org/officeDocument/2006/relationships/hyperlink" Target="https://ref.ly/2Thess3:6-2Thess3:15" TargetMode="External"/><Relationship Id="rId45" Type="http://schemas.openxmlformats.org/officeDocument/2006/relationships/hyperlink" Target="https://ref.ly/2Thess3:12-2Thess3:13" TargetMode="External"/><Relationship Id="rId46" Type="http://schemas.openxmlformats.org/officeDocument/2006/relationships/hyperlink" Target="https://ref.ly/2Thess3:16-2Thess3:18" TargetMode="External"/><Relationship Id="rId47" Type="http://schemas.openxmlformats.org/officeDocument/2006/relationships/hyperlink" Target="https://ref.ly/1Cor16:21" TargetMode="External"/><Relationship Id="rId48" Type="http://schemas.openxmlformats.org/officeDocument/2006/relationships/hyperlink" Target="https://ref.ly/Col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