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ث</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الثروة</w:t>
      </w:r>
      <w:r>
        <w:rPr>
          <w:rtl/>
          <w:cs/>
          <w:lang w:val="ar_AE" w:bidi="ar_AE"/>
        </w:rPr>
      </w:r>
    </w:p>
    <w:p>
      <w:pPr>
        <w:bidi/>
      </w:pPr>
      <w:r>
        <w:rPr>
          <w:rtl/>
          <w:cs/>
          <w:lang w:val="ar_AE" w:bidi="ar_AE"/>
        </w:rPr>
      </w:r>
      <w:r>
        <w:rPr>
          <w:rtl/>
          <w:cs/>
          <w:lang w:val="ar_AE" w:bidi="ar_AE"/>
        </w:rPr>
        <w:t>الوفرة، عادةً من النقود أو السلع الماديَّة، التي يُعبَّر عن قيمتها عادةً بصيغة من وحدات مفهومة مثل العملة الوطنية. إنه مرادف فعليًا للغنى، وقد يشير كلاهما إلى العائلة أو الأصدقاء أو حتى الصفات الأخلاقية.</w:t>
      </w:r>
    </w:p>
    <w:p>
      <w:pPr>
        <w:bidi/>
      </w:pPr>
      <w:r>
        <w:rPr>
          <w:rtl/>
          <w:cs/>
          <w:lang w:val="ar_AE" w:bidi="ar_AE"/>
        </w:rPr>
      </w:r>
      <w:r>
        <w:rPr>
          <w:rtl/>
          <w:cs/>
          <w:lang w:val="ar_AE" w:bidi="ar_AE"/>
        </w:rPr>
        <w:t>في العهد القديم تُعد ثروات الأرض علامة فضل من الله (</w:t>
      </w:r>
      <w:r>
        <w:rPr>
          <w:rtl/>
          <w:cs/>
          <w:lang w:val="ar_AE" w:bidi="ar_AE"/>
        </w:rPr>
        <w:t>مزمور ١١٢: ٣</w:t>
      </w:r>
      <w:r>
        <w:rPr>
          <w:rtl/>
          <w:cs/>
          <w:lang w:val="ar_AE" w:bidi="ar_AE"/>
        </w:rPr>
        <w:t>)، كما أنه يعطي قوة لاكتساب الثروة (</w:t>
      </w:r>
      <w:r>
        <w:rPr>
          <w:rtl/>
          <w:cs/>
          <w:lang w:val="ar_AE" w:bidi="ar_AE"/>
        </w:rPr>
        <w:t>تثنية ٨: ١٨</w:t>
      </w:r>
      <w:r>
        <w:rPr>
          <w:rtl/>
          <w:cs/>
          <w:lang w:val="ar_AE" w:bidi="ar_AE"/>
        </w:rPr>
        <w:t>). واشتهر أيوب بكل من تقواه وثروته (</w:t>
      </w:r>
      <w:r>
        <w:rPr>
          <w:rtl/>
          <w:cs/>
          <w:lang w:val="ar_AE" w:bidi="ar_AE"/>
        </w:rPr>
        <w:t>أيوب ١: ١–٣</w:t>
      </w:r>
      <w:r>
        <w:rPr>
          <w:rtl/>
          <w:cs/>
          <w:lang w:val="ar_AE" w:bidi="ar_AE"/>
        </w:rPr>
        <w:t>). ربما كان سليمان أغنى إنسان على الإطلاق؛ فقد منحه الله "الغنى والممتلكات والكرامة" لأن سليمان طلب الحكمة والتمييز بدلاً من الأشياء الماديَّة (</w:t>
      </w:r>
      <w:r>
        <w:rPr>
          <w:rtl/>
          <w:cs/>
          <w:lang w:val="ar_AE" w:bidi="ar_AE"/>
        </w:rPr>
        <w:t>١ ملوك ٣: ١٠–١٣</w:t>
      </w:r>
      <w:r>
        <w:rPr>
          <w:rtl/>
          <w:cs/>
          <w:lang w:val="ar_AE" w:bidi="ar_AE"/>
        </w:rPr>
        <w:t xml:space="preserve">؛ </w:t>
      </w:r>
      <w:r>
        <w:rPr>
          <w:rtl/>
          <w:cs/>
          <w:lang w:val="ar_AE" w:bidi="ar_AE"/>
        </w:rPr>
        <w:t>٢ أخبار الأيام ١: ١١–١٢</w:t>
      </w:r>
      <w:r>
        <w:rPr>
          <w:rtl/>
          <w:cs/>
          <w:lang w:val="ar_AE" w:bidi="ar_AE"/>
        </w:rPr>
        <w:t>). لكن الكتاب المقدس يوضح أن حياة الإنسان لا تتألَّف في وفرة ممتلكاته (</w:t>
      </w:r>
      <w:r>
        <w:rPr>
          <w:rtl/>
          <w:cs/>
          <w:lang w:val="ar_AE" w:bidi="ar_AE"/>
        </w:rPr>
        <w:t>لوقا ١٢: ١٥</w:t>
      </w:r>
      <w:r>
        <w:rPr>
          <w:rtl/>
          <w:cs/>
          <w:lang w:val="ar_AE" w:bidi="ar_AE"/>
        </w:rPr>
        <w:t>).</w:t>
      </w:r>
    </w:p>
    <w:p>
      <w:pPr>
        <w:bidi/>
      </w:pPr>
      <w:r>
        <w:rPr>
          <w:rtl/>
          <w:cs/>
          <w:lang w:val="ar_AE" w:bidi="ar_AE"/>
        </w:rPr>
      </w:r>
      <w:r>
        <w:rPr>
          <w:rtl/>
          <w:cs/>
          <w:lang w:val="ar_AE" w:bidi="ar_AE"/>
        </w:rPr>
        <w:t>في العهد الجديد غالبًا ما يُنظر إلى الأثرياء على أنهم بلا إله - على سبيل المثال، الفلاح الغني (</w:t>
      </w:r>
      <w:r>
        <w:rPr>
          <w:rtl/>
          <w:cs/>
          <w:lang w:val="ar_AE" w:bidi="ar_AE"/>
        </w:rPr>
        <w:t>لوقا ١٢: ١٦–٢١</w:t>
      </w:r>
      <w:r>
        <w:rPr>
          <w:rtl/>
          <w:cs/>
          <w:lang w:val="ar_AE" w:bidi="ar_AE"/>
        </w:rPr>
        <w:t>) والرجل الغني الذي أهمل المستعطي لعازر (</w:t>
      </w:r>
      <w:r>
        <w:rPr>
          <w:rtl/>
          <w:cs/>
          <w:lang w:val="ar_AE" w:bidi="ar_AE"/>
        </w:rPr>
        <w:t>١٦: ١٩–٣١</w:t>
      </w:r>
      <w:r>
        <w:rPr>
          <w:rtl/>
          <w:cs/>
          <w:lang w:val="ar_AE" w:bidi="ar_AE"/>
        </w:rPr>
        <w:t>). يُدان الأثرياء لظلمهم وطمعهم (</w:t>
      </w:r>
      <w:r>
        <w:rPr>
          <w:rtl/>
          <w:cs/>
          <w:lang w:val="ar_AE" w:bidi="ar_AE"/>
        </w:rPr>
        <w:t>يعقوب ٥: ١–٦</w:t>
      </w:r>
      <w:r>
        <w:rPr>
          <w:rtl/>
          <w:cs/>
          <w:lang w:val="ar_AE" w:bidi="ar_AE"/>
        </w:rPr>
        <w:t xml:space="preserve">). إن </w:t>
      </w:r>
      <w:r>
        <w:rPr>
          <w:rtl/>
          <w:cs/>
          <w:lang w:val="ar_AE" w:bidi="ar_AE"/>
        </w:rPr>
        <w:t>لوقا ٦: ٢٤</w:t>
      </w:r>
      <w:r>
        <w:rPr>
          <w:rtl/>
          <w:cs/>
          <w:lang w:val="ar_AE" w:bidi="ar_AE"/>
        </w:rPr>
        <w:t xml:space="preserve"> تنطق بالويل على الأغنياء، كما أن الأناجيل الثلاثة تتحدث عن أخطار الغنى (</w:t>
      </w:r>
      <w:r>
        <w:rPr>
          <w:rtl/>
          <w:cs/>
          <w:lang w:val="ar_AE" w:bidi="ar_AE"/>
        </w:rPr>
        <w:t>متى ١٣: ٢٢</w:t>
      </w:r>
      <w:r>
        <w:rPr>
          <w:rtl/>
          <w:cs/>
          <w:lang w:val="ar_AE" w:bidi="ar_AE"/>
        </w:rPr>
        <w:t xml:space="preserve">؛ </w:t>
      </w:r>
      <w:r>
        <w:rPr>
          <w:rtl/>
          <w:cs/>
          <w:lang w:val="ar_AE" w:bidi="ar_AE"/>
        </w:rPr>
        <w:t>مَرقُس ٤: ١٩</w:t>
      </w:r>
      <w:r>
        <w:rPr>
          <w:rtl/>
          <w:cs/>
          <w:lang w:val="ar_AE" w:bidi="ar_AE"/>
        </w:rPr>
        <w:t xml:space="preserve">؛ </w:t>
      </w:r>
      <w:r>
        <w:rPr>
          <w:rtl/>
          <w:cs/>
          <w:lang w:val="ar_AE" w:bidi="ar_AE"/>
        </w:rPr>
        <w:t>لوقا ٨: ١٤</w:t>
      </w:r>
      <w:r>
        <w:rPr>
          <w:rtl/>
          <w:cs/>
          <w:lang w:val="ar_AE" w:bidi="ar_AE"/>
        </w:rPr>
        <w:t>). لكن ليس كل الأغنياء كانوا أشرارًا. دُفِنَ الرب يسوع في قبر رجل غني من الرامة، يُدعى يوسف (</w:t>
      </w:r>
      <w:r>
        <w:rPr>
          <w:rtl/>
          <w:cs/>
          <w:lang w:val="ar_AE" w:bidi="ar_AE"/>
        </w:rPr>
        <w:t>متى ٢٧: ٥٧</w:t>
      </w:r>
      <w:r>
        <w:rPr>
          <w:rtl/>
          <w:cs/>
          <w:lang w:val="ar_AE" w:bidi="ar_AE"/>
        </w:rPr>
        <w:t>). كان نيقوديموس، الذي قدم بسخاء لدفن الرب يسوع (</w:t>
      </w:r>
      <w:r>
        <w:rPr>
          <w:rtl/>
          <w:cs/>
          <w:lang w:val="ar_AE" w:bidi="ar_AE"/>
        </w:rPr>
        <w:t>يوحنَّا ١٩: ٣٩</w:t>
      </w:r>
      <w:r>
        <w:rPr>
          <w:rtl/>
          <w:cs/>
          <w:lang w:val="ar_AE" w:bidi="ar_AE"/>
        </w:rPr>
        <w:t>)، "حاكمًا لليهود" (</w:t>
      </w:r>
      <w:r>
        <w:rPr>
          <w:rtl/>
          <w:cs/>
          <w:lang w:val="ar_AE" w:bidi="ar_AE"/>
        </w:rPr>
        <w:t>٣: ١</w:t>
      </w:r>
      <w:r>
        <w:rPr>
          <w:rtl/>
          <w:cs/>
          <w:lang w:val="ar_AE" w:bidi="ar_AE"/>
        </w:rPr>
        <w:t>) وعلى الأرجح كان غنيًا.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محبة المال</w:t>
      </w:r>
      <w:r>
        <w:rPr>
          <w:rtl/>
          <w:cs/>
          <w:lang w:val="ar_AE" w:bidi="ar_AE"/>
        </w:rPr>
        <w:t xml:space="preserve">؛ </w:t>
      </w:r>
      <w:r>
        <w:rPr>
          <w:rtl/>
          <w:cs/>
          <w:lang w:val="ar_AE" w:bidi="ar_AE"/>
        </w:rPr>
        <w:t>المال</w:t>
      </w:r>
      <w:r>
        <w:rPr>
          <w:rtl/>
          <w:cs/>
          <w:lang w:val="ar_AE" w:bidi="ar_AE"/>
        </w:rPr>
        <w:t xml:space="preserve">؛ </w:t>
      </w:r>
      <w:r>
        <w:rPr>
          <w:rtl/>
          <w:cs/>
          <w:lang w:val="ar_AE" w:bidi="ar_AE"/>
        </w:rPr>
        <w:t>الغني</w:t>
      </w:r>
      <w:r>
        <w:rPr>
          <w:rtl/>
          <w:cs/>
          <w:lang w:val="ar_AE" w:bidi="ar_AE"/>
        </w:rPr>
        <w:t xml:space="preserve"> </w:t>
      </w:r>
      <w:r>
        <w:rPr>
          <w:rtl/>
          <w:cs/>
          <w:lang w:val="ar_AE" w:bidi="ar_AE"/>
        </w:rPr>
        <w:t>والفقير</w:t>
      </w:r>
      <w:r>
        <w:rPr>
          <w:rtl/>
          <w:cs/>
          <w:lang w:val="ar_AE" w:bidi="ar_AE"/>
        </w:rPr>
        <w:t xml:space="preserve">؛ </w:t>
      </w:r>
      <w:r>
        <w:rPr>
          <w:rtl/>
          <w:cs/>
          <w:lang w:val="ar_AE" w:bidi="ar_AE"/>
        </w:rPr>
        <w:t>الأجور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الثريا</w:t>
      </w:r>
      <w:r>
        <w:rPr>
          <w:rtl/>
          <w:cs/>
          <w:lang w:val="ar_AE" w:bidi="ar_AE"/>
        </w:rPr>
      </w:r>
    </w:p>
    <w:p>
      <w:pPr>
        <w:bidi/>
      </w:pPr>
      <w:r>
        <w:rPr>
          <w:rtl/>
          <w:cs/>
          <w:lang w:val="ar_AE" w:bidi="ar_AE"/>
        </w:rPr>
      </w:r>
      <w:r>
        <w:rPr>
          <w:rtl/>
          <w:cs/>
          <w:lang w:val="ar_AE" w:bidi="ar_AE"/>
        </w:rPr>
        <w:t>اسم عنقود نجمي في السماء الشرقية، يتكوَّن من ستة نجوم ساطعة والعديد من النجوم الأخرى الأقل وضوحًا. التصوير التلسكوبي أظهر هذه النجوم وكأنها متصلة معًا بخيوط مادية. وقد طُرِح على أيوب سؤال يعكس هذه الظاهرة: "</w:t>
      </w:r>
      <w:r>
        <w:rPr>
          <w:rtl/>
          <w:cs/>
          <w:lang w:val="ar_AE" w:bidi="ar_AE"/>
        </w:rPr>
        <w:t>هَلْ تَرْبِطُ أَنْتَ عُقْدَ ٱلثُّرَيَّا، أَوْ تَفُكُّ رُبُطَ ٱلْجَبَّارِ؟</w:t>
      </w:r>
      <w:r>
        <w:rPr>
          <w:rtl/>
          <w:cs/>
          <w:lang w:val="ar_AE" w:bidi="ar_AE"/>
        </w:rPr>
        <w:t>" (</w:t>
      </w:r>
      <w:r>
        <w:rPr>
          <w:rtl/>
          <w:cs/>
          <w:lang w:val="ar_AE" w:bidi="ar_AE"/>
        </w:rPr>
        <w:t>أيوب 38: 31</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الجبار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الثورة اليهوديَّة الأولى</w:t>
      </w:r>
      <w:r>
        <w:rPr>
          <w:rtl/>
          <w:cs/>
          <w:lang w:val="ar_AE" w:bidi="ar_AE"/>
        </w:rPr>
      </w:r>
    </w:p>
    <w:p>
      <w:pPr>
        <w:bidi/>
      </w:pPr>
      <w:r>
        <w:rPr>
          <w:rtl/>
          <w:cs/>
          <w:lang w:val="ar_AE" w:bidi="ar_AE"/>
        </w:rPr>
      </w:r>
      <w:r>
        <w:rPr>
          <w:rtl/>
          <w:cs/>
          <w:lang w:val="ar_AE" w:bidi="ar_AE"/>
        </w:rPr>
        <w:t xml:space="preserve">انتفاضة في عامي ٦٦–٧٠ م، حدثتْ نتيجةً لوجود سلسلة من الحُكام الرومان غير الفعالين في اليهوديَّة. بعد آخر ملوك اليهود، أغريباس الأول (هيرودس المذكور في </w:t>
      </w:r>
      <w:r>
        <w:rPr>
          <w:rtl/>
          <w:cs/>
          <w:lang w:val="ar_AE" w:bidi="ar_AE"/>
        </w:rPr>
        <w:t>أعمال الرسل ١٢</w:t>
      </w:r>
      <w:r>
        <w:rPr>
          <w:rtl/>
          <w:cs/>
          <w:lang w:val="ar_AE" w:bidi="ar_AE"/>
        </w:rPr>
        <w:t>)، الذي مات في عام ٤٤ م، كانت السنوات العشرون التالية مليئة بالاضطهاد والإهانة لليهود في فلسطين. لكي تصبح الاضطرابات ثورةً لا يوجد احتياج سوى لسبب آخر. قدَّمَ فلورس، الوالي الروماني المُعَيَّن في عام ٦٤ م، السبب الآخير. لقد استفزَ اليهود ودفعهم إلى انتفاضة في عام ٦٦ عندما طالبَ مالًا من خزانة الهيكل. تحت حكمه، كان الجنود الرومان يذبحون وينهبون اليهود.</w:t>
      </w:r>
    </w:p>
    <w:p>
      <w:pPr>
        <w:bidi/>
      </w:pPr>
      <w:r>
        <w:rPr>
          <w:rtl/>
          <w:cs/>
          <w:lang w:val="ar_AE" w:bidi="ar_AE"/>
        </w:rPr>
      </w:r>
      <w:r>
        <w:rPr>
          <w:rtl/>
          <w:cs/>
          <w:lang w:val="ar_AE" w:bidi="ar_AE"/>
        </w:rPr>
        <w:t>انتشرَ التمرُّد سريعًا في جميع أنحاء فلسطين، ورافقه صراعٌ عام بين اليهود والأمم في عدة مدن في شرق البحر الأبيض المتوسط. إن الغيورين هم من قادوا الثورة في فلسطين، وهم مجموعة يهوديَّة أرادت منذ فترة طويلة أن يَرحَل الرومان عن فلسطين. بعد انتصار يهودي أولي عند مَعبر بيت حورون، أرسلَ الإمبراطور نيرون أكثر قادته اقتدارًا، ڤاسبسيان، لتوجيه عملية معاقبة المُتمرَّدين.</w:t>
      </w:r>
    </w:p>
    <w:p>
      <w:pPr>
        <w:bidi/>
      </w:pPr>
      <w:r>
        <w:rPr>
          <w:rtl/>
          <w:cs/>
          <w:lang w:val="ar_AE" w:bidi="ar_AE"/>
        </w:rPr>
      </w:r>
      <w:r>
        <w:rPr>
          <w:rtl/>
          <w:cs/>
          <w:lang w:val="ar_AE" w:bidi="ar_AE"/>
        </w:rPr>
        <w:t>بحلول نهاية عام ٦٧ م، عاد كل الجليل والأراضي الشمالية الأخرى تحت الحُكم الروماني. في عامي ٦٧ و٦٨ م، لم تَترُك باقي العمليات في السامرة واليهوديَّة سوى أربعة حصون تحت السيطرة اليهوديَّة. عند هذه النقطة، تباطأتْ الحملة الرومانيَّة. انتحرَ نيرون في عام ٦٨ م. بعد ثلاثة أباطرة لم يَحكموا طويلًا، سيطرَ الجنرال ڤاسبسيان على الإمبراطوريَّة في عام ٦٩ م. أخذَ تيطُس ابنه زمام قيادة القوات في فلسطين وحاصر أورشليم في عام ٧٠ م.</w:t>
      </w:r>
    </w:p>
    <w:p>
      <w:pPr>
        <w:bidi/>
      </w:pPr>
      <w:r>
        <w:rPr>
          <w:rtl/>
          <w:cs/>
          <w:lang w:val="ar_AE" w:bidi="ar_AE"/>
        </w:rPr>
      </w:r>
      <w:r>
        <w:rPr>
          <w:rtl/>
          <w:cs/>
          <w:lang w:val="ar_AE" w:bidi="ar_AE"/>
        </w:rPr>
        <w:t>ربما كان اليهود في العاصمة أكثر استعدادًا لو أنهم استغلوا الاضطراب في روما لتعزيز موقفهم وَحَلِّ النزاعات بين المجموعات اليهوديَّة المُتحاربة. بدلًا من ذلك، أجبرهم وصول تيطس مع ثمانين ألف جندي على توحيد صفوفهم للدفاع الأخير عن المدينة.</w:t>
      </w:r>
    </w:p>
    <w:p>
      <w:pPr>
        <w:bidi/>
      </w:pPr>
      <w:r>
        <w:rPr>
          <w:rtl/>
          <w:cs/>
          <w:lang w:val="ar_AE" w:bidi="ar_AE"/>
        </w:rPr>
      </w:r>
      <w:r>
        <w:rPr>
          <w:rtl/>
          <w:cs/>
          <w:lang w:val="ar_AE" w:bidi="ar_AE"/>
        </w:rPr>
        <w:t>استمرَ حصارُ المدينة مدة خمسة أشهر. قاتلتْ أورشليم ببطولة ضد الرومان المتقدمين نحوها، مما جعلَ غَزو المدينة بطيئًا. جاءت لحظةٌ مأساويَّة في التاريخ اليهودي في وقت مبكر من شهر أغسطس من عام ٧٠ م، عندما لم تُقَدَّم الذبائح الصباحيَّة والمسائيَّة في الهيكل، أول مرة منذ قرون. حوالي يوم ٢٩ أغسطس، تحت ظروف غير واضحة حتى الآن، أُحرِقَ القُدس ودُمِّرَ الهيكل. حَقَّق هذا نبوءة يسوع (</w:t>
      </w:r>
      <w:r>
        <w:rPr>
          <w:rtl/>
          <w:cs/>
          <w:lang w:val="ar_AE" w:bidi="ar_AE"/>
        </w:rPr>
        <w:t>متى ٢٤: ١، ٢</w:t>
      </w:r>
      <w:r>
        <w:rPr>
          <w:rtl/>
          <w:cs/>
          <w:lang w:val="ar_AE" w:bidi="ar_AE"/>
        </w:rPr>
        <w:t xml:space="preserve">؛ </w:t>
      </w:r>
      <w:r>
        <w:rPr>
          <w:rtl/>
          <w:cs/>
          <w:lang w:val="ar_AE" w:bidi="ar_AE"/>
        </w:rPr>
        <w:t>مرقس ١٣: ١، ٢</w:t>
      </w:r>
      <w:r>
        <w:rPr>
          <w:rtl/>
          <w:cs/>
          <w:lang w:val="ar_AE" w:bidi="ar_AE"/>
        </w:rPr>
        <w:t xml:space="preserve">؛ </w:t>
      </w:r>
      <w:r>
        <w:rPr>
          <w:rtl/>
          <w:cs/>
          <w:lang w:val="ar_AE" w:bidi="ar_AE"/>
        </w:rPr>
        <w:t>لوقا ١٩: ٤٣، ٤٤</w:t>
      </w:r>
      <w:r>
        <w:rPr>
          <w:rtl/>
          <w:cs/>
          <w:lang w:val="ar_AE" w:bidi="ar_AE"/>
        </w:rPr>
        <w:t xml:space="preserve">؛ </w:t>
      </w:r>
      <w:r>
        <w:rPr>
          <w:rtl/>
          <w:cs/>
          <w:lang w:val="ar_AE" w:bidi="ar_AE"/>
        </w:rPr>
        <w:t>٢١: ٥–٧</w:t>
      </w:r>
      <w:r>
        <w:rPr>
          <w:rtl/>
          <w:cs/>
          <w:lang w:val="ar_AE" w:bidi="ar_AE"/>
        </w:rPr>
        <w:t>). استمرت بعض المقاومة مدة شهر آخر، لكن بحلول نهاية شهر سبتمبر، كان الصراع قد انتهى في المدينة المُدمَّرة. في الإجمال، ربما قُتِلَ مليون يهوديًا وأُسِر ٩٠٠ ألف شخصًا في أثناء الثورة.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أورشليم</w:t>
      </w:r>
      <w:r>
        <w:rPr>
          <w:rtl/>
          <w:cs/>
          <w:lang w:val="ar_AE" w:bidi="ar_AE"/>
        </w:rPr>
        <w:t xml:space="preserve">؛ </w:t>
      </w:r>
      <w:r>
        <w:rPr>
          <w:rtl/>
          <w:cs/>
          <w:lang w:val="ar_AE" w:bidi="ar_AE"/>
        </w:rPr>
        <w:t>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الثورة اليهودية الثانية</w:t>
      </w:r>
      <w:r>
        <w:rPr>
          <w:rtl/>
          <w:cs/>
          <w:lang w:val="ar_AE" w:bidi="ar_AE"/>
        </w:rPr>
      </w:r>
    </w:p>
    <w:p>
      <w:pPr>
        <w:bidi/>
      </w:pPr>
      <w:r>
        <w:rPr>
          <w:rtl/>
          <w:cs/>
          <w:lang w:val="ar_AE" w:bidi="ar_AE"/>
        </w:rPr>
      </w:r>
      <w:r>
        <w:rPr>
          <w:rtl/>
          <w:cs/>
          <w:lang w:val="ar_AE" w:bidi="ar_AE"/>
        </w:rPr>
        <w:t>ثورة يهودية سميت باسم قائدها، بار كوخبا. استمرت من عام 131 إلى 135 ميلادي. وقد نشبت لسببين:</w:t>
      </w:r>
    </w:p>
    <w:p>
      <w:pPr>
        <w:pStyle w:val="ListNumber"/>
        <w:numPr>
          <w:ilvl w:val="0"/>
          <w:numId w:val="14"/>
        </w:numPr>
        <w:bidi/>
        <w:spacing w:line="240" w:lineRule="auto"/>
        <w:ind w:left="720"/>
      </w:pPr>
      <w:r>
        <w:rPr>
          <w:rtl/>
          <w:cs/>
          <w:lang w:val="ar_AE" w:bidi="ar_AE"/>
        </w:rPr>
      </w:r>
      <w:r>
        <w:rPr>
          <w:rtl/>
          <w:cs/>
          <w:lang w:val="ar_AE" w:bidi="ar_AE"/>
        </w:rPr>
        <w:t>جعل الإمبراطور هادريان الختان جريمة يعاقب عليها بالإعدام.</w:t>
      </w:r>
    </w:p>
    <w:p>
      <w:pPr>
        <w:pStyle w:val="ListNumber"/>
        <w:bidi/>
        <w:spacing w:line="240" w:lineRule="auto"/>
        <w:ind w:left="720"/>
      </w:pPr>
      <w:r>
        <w:rPr>
          <w:rtl/>
          <w:cs/>
          <w:lang w:val="ar_AE" w:bidi="ar_AE"/>
        </w:rPr>
      </w:r>
      <w:r>
        <w:rPr>
          <w:rtl/>
          <w:cs/>
          <w:lang w:val="ar_AE" w:bidi="ar_AE"/>
        </w:rPr>
        <w:t>قرر إعادة بناء أورشليم وإقامة مزار لزفس على أنقاض موقع الهيكل. أثار هذا غضب الشعب اليهودي.</w:t>
      </w:r>
    </w:p>
    <w:p>
      <w:pPr>
        <w:bidi/>
      </w:pPr>
      <w:r>
        <w:rPr>
          <w:rtl/>
          <w:cs/>
          <w:lang w:val="ar_AE" w:bidi="ar_AE"/>
        </w:rPr>
      </w:r>
      <w:r>
        <w:rPr>
          <w:rtl/>
          <w:cs/>
          <w:lang w:val="ar_AE" w:bidi="ar_AE"/>
        </w:rPr>
        <w:t>اسم بار-كوخبا يعني "ابن النجم". كان يُعتقد أنه "النجم [الذي] سيخرج من يَعْقوبَ" (</w:t>
      </w:r>
      <w:r>
        <w:rPr>
          <w:rtl/>
          <w:cs/>
          <w:lang w:val="ar_AE" w:bidi="ar_AE"/>
        </w:rPr>
        <w:t>عدد 24:17</w:t>
      </w:r>
      <w:r>
        <w:rPr>
          <w:rtl/>
          <w:cs/>
          <w:lang w:val="ar_AE" w:bidi="ar_AE"/>
        </w:rPr>
        <w:t>). أعلن العديد من اليهود أن بار-كوخبا هو المَسِيَّا (المخلص أو القائد المختار الذي كان العديد من اليهود ينتظرونه). استخدم بار-كوخبا الهجمات المفاجئة لمحاربة الرومان. هذا النوع من القتال أدى إلى خسائر كبيرة لكل من اليهود والرومان. وأخيرًا، هزم القائد الروماني يولِيوس سيفيروس المقاومة اليهودية.</w:t>
      </w:r>
    </w:p>
    <w:p>
      <w:pPr>
        <w:bidi/>
      </w:pPr>
      <w:r>
        <w:rPr>
          <w:rtl/>
          <w:cs/>
          <w:lang w:val="ar_AE" w:bidi="ar_AE"/>
        </w:rPr>
      </w:r>
      <w:r>
        <w:rPr>
          <w:rtl/>
          <w:cs/>
          <w:lang w:val="ar_AE" w:bidi="ar_AE"/>
        </w:rPr>
        <w:t>أعاد هادريان بناء أورشليم وأعاد تسميتها إيليا كابيتولينا. أعاد توطينها بالوثنيين ومنع اليهود من دخولها وإلا سيتم قتلهم.</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بار كوخبا، بار كوكبا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ثاؤفيلُس</w:t>
      </w:r>
      <w:r>
        <w:rPr>
          <w:rtl/>
          <w:cs/>
          <w:lang w:val="ar_AE" w:bidi="ar_AE"/>
        </w:rPr>
      </w:r>
    </w:p>
    <w:p>
      <w:pPr>
        <w:bidi/>
      </w:pPr>
      <w:r>
        <w:rPr>
          <w:rtl/>
          <w:cs/>
          <w:lang w:val="ar_AE" w:bidi="ar_AE"/>
        </w:rPr>
      </w:r>
      <w:r>
        <w:rPr>
          <w:rtl/>
          <w:cs/>
          <w:lang w:val="ar_AE" w:bidi="ar_AE"/>
        </w:rPr>
        <w:t>1. الشخص المُرسَل إليه بشارة لوقا وأعمال الرسل (</w:t>
      </w:r>
      <w:r>
        <w:rPr>
          <w:rtl/>
          <w:cs/>
          <w:lang w:val="ar_AE" w:bidi="ar_AE"/>
        </w:rPr>
        <w:t>لوقا 1: 3؛</w:t>
      </w:r>
      <w:r>
        <w:rPr>
          <w:rtl/>
          <w:cs/>
          <w:lang w:val="ar_AE" w:bidi="ar_AE"/>
        </w:rPr>
        <w:t xml:space="preserve"> </w:t>
      </w:r>
      <w:r>
        <w:rPr>
          <w:rtl/>
          <w:cs/>
          <w:lang w:val="ar_AE" w:bidi="ar_AE"/>
        </w:rPr>
        <w:t>أعمال الرسل 1: 1</w:t>
      </w:r>
      <w:r>
        <w:rPr>
          <w:rtl/>
          <w:cs/>
          <w:lang w:val="ar_AE" w:bidi="ar_AE"/>
        </w:rPr>
        <w:t>). بما أن ثاؤفيلُس يمكن ترجمته إلى "محب الله" أو "حبيب الله"، فقد اقترح الكثيرون أن ثاؤفيلُس هو لقب وليس اسمًا حقيقيًا وأنه يشير إلى الجمهور العام للبشارة والسفر. ومع ذلك، فإن استخدام مثل هذه الألقاب العامة يتعارض مع الممارسة العادية للعهد الجديد. علاوة على ذلك، فإن الصفة "العزيز" تشير عمومًا إلى فرد، خاصةً شخص ذو مرتبة عالية. خاطب بولس فستوس بـ "العزيز"، وخاطب كلوديوس ليسياس وتيرتلس فيلكس باللقب عينه (</w:t>
      </w:r>
      <w:r>
        <w:rPr>
          <w:rtl/>
          <w:cs/>
          <w:lang w:val="ar_AE" w:bidi="ar_AE"/>
        </w:rPr>
        <w:t>أعمال الرسل 23: 26؛</w:t>
      </w:r>
      <w:r>
        <w:rPr>
          <w:rtl/>
          <w:cs/>
          <w:lang w:val="ar_AE" w:bidi="ar_AE"/>
        </w:rPr>
        <w:t xml:space="preserve"> </w:t>
      </w:r>
      <w:r>
        <w:rPr>
          <w:rtl/>
          <w:cs/>
          <w:lang w:val="ar_AE" w:bidi="ar_AE"/>
        </w:rPr>
        <w:t>24: 2–3؛</w:t>
      </w:r>
      <w:r>
        <w:rPr>
          <w:rtl/>
          <w:cs/>
          <w:lang w:val="ar_AE" w:bidi="ar_AE"/>
        </w:rPr>
        <w:t xml:space="preserve"> </w:t>
      </w:r>
      <w:r>
        <w:rPr>
          <w:rtl/>
          <w:cs/>
          <w:lang w:val="ar_AE" w:bidi="ar_AE"/>
        </w:rPr>
        <w:t>26: 25</w:t>
      </w:r>
      <w:r>
        <w:rPr>
          <w:rtl/>
          <w:cs/>
          <w:lang w:val="ar_AE" w:bidi="ar_AE"/>
        </w:rPr>
        <w:t>). على الرغم من أن ثاؤفيلُس قد يكون له مكانة نبيلة، من الصعب التكهن بما قد تكون وظيفته.</w:t>
      </w:r>
    </w:p>
    <w:p>
      <w:pPr>
        <w:bidi/>
      </w:pPr>
      <w:r>
        <w:rPr>
          <w:rtl/>
          <w:cs/>
          <w:lang w:val="ar_AE" w:bidi="ar_AE"/>
        </w:rPr>
      </w:r>
      <w:r>
        <w:rPr>
          <w:rtl/>
          <w:cs/>
          <w:lang w:val="ar_AE" w:bidi="ar_AE"/>
        </w:rPr>
        <w:t>2. رئيس كهنة كان ابن حَنَّان، وصهر قيافا، وأخو يوناثان. عينه الحاكم الروماني فيتيليوس رئيسًا للكهنة خلفًا ليوناثان في عام 37 ميلادي. خدم حتى عزله هيرودس أغريباس في عام 41 ميلادي، وكان على الأرجح رئيس الكهنة الذي أعطى بولس السلطة لاضطهاد المسيحيين. لم يُذكر باسمه في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ثالوث</w:t>
      </w:r>
      <w:r>
        <w:rPr>
          <w:rtl/>
          <w:cs/>
          <w:lang w:val="ar_AE" w:bidi="ar_AE"/>
        </w:rPr>
      </w:r>
    </w:p>
    <w:p>
      <w:pPr>
        <w:bidi/>
      </w:pPr>
      <w:r>
        <w:rPr>
          <w:rtl/>
          <w:cs/>
          <w:lang w:val="ar_AE" w:bidi="ar_AE"/>
        </w:rPr>
      </w:r>
      <w:r>
        <w:rPr>
          <w:rtl/>
          <w:cs/>
          <w:lang w:val="ar_AE" w:bidi="ar_AE"/>
        </w:rPr>
        <w:t>هو مصطلح يشير إلى الأقانيم الثلاثة في الله: الآب، والابن، والروح القدس.</w:t>
      </w:r>
    </w:p>
    <w:p>
      <w:pPr>
        <w:bidi/>
      </w:pPr>
      <w:r>
        <w:rPr>
          <w:rtl/>
          <w:cs/>
          <w:lang w:val="ar_AE" w:bidi="ar_AE"/>
        </w:rPr>
      </w:r>
      <w:r>
        <w:rPr>
          <w:rtl/>
          <w:cs/>
          <w:lang w:val="ar_AE" w:bidi="ar_AE"/>
        </w:rPr>
        <w:t xml:space="preserve">كلمة "الثالوث" لا تظهر في الكتاب المقدس؛ ولكن قد تم استخدامها من قِبَل العلماء لوصف الأقانيم الثلاثة لله. ففي جميع أنحاء الكتاب المقدس، يتم تقديم الله كآب، وابن، وروح—ليس ثلاثة "آلهة" بل ثلاث شخصيات أو أقانيم للإله الواحد والأوحد (انظر، على سبيل المثال، </w:t>
      </w:r>
      <w:r>
        <w:rPr>
          <w:rtl/>
          <w:cs/>
          <w:lang w:val="ar_AE" w:bidi="ar_AE"/>
        </w:rPr>
        <w:t>مت 28:19</w:t>
      </w:r>
      <w:r>
        <w:rPr>
          <w:rtl/>
          <w:cs/>
          <w:lang w:val="ar_AE" w:bidi="ar_AE"/>
        </w:rPr>
        <w:t xml:space="preserve">; </w:t>
      </w:r>
      <w:r>
        <w:rPr>
          <w:rtl/>
          <w:cs/>
          <w:lang w:val="ar_AE" w:bidi="ar_AE"/>
        </w:rPr>
        <w:t>1 كو 16:23–24</w:t>
      </w:r>
      <w:r>
        <w:rPr>
          <w:rtl/>
          <w:cs/>
          <w:lang w:val="ar_AE" w:bidi="ar_AE"/>
        </w:rPr>
        <w:t xml:space="preserve">; </w:t>
      </w:r>
      <w:r>
        <w:rPr>
          <w:rtl/>
          <w:cs/>
          <w:lang w:val="ar_AE" w:bidi="ar_AE"/>
        </w:rPr>
        <w:t>2 كو 13:13</w:t>
      </w:r>
      <w:r>
        <w:rPr>
          <w:rtl/>
          <w:cs/>
          <w:lang w:val="ar_AE" w:bidi="ar_AE"/>
        </w:rPr>
        <w:t xml:space="preserve">). وتُقدم الكتب المُقَدَّسة الآب كمصدر الخلق، ومانح الحياة، وإله كل الكون (انظر </w:t>
      </w:r>
      <w:r>
        <w:rPr>
          <w:rtl/>
          <w:cs/>
          <w:lang w:val="ar_AE" w:bidi="ar_AE"/>
        </w:rPr>
        <w:t>يو 5:26</w:t>
      </w:r>
      <w:r>
        <w:rPr>
          <w:rtl/>
          <w:cs/>
          <w:lang w:val="ar_AE" w:bidi="ar_AE"/>
        </w:rPr>
        <w:t xml:space="preserve">; </w:t>
      </w:r>
      <w:r>
        <w:rPr>
          <w:rtl/>
          <w:cs/>
          <w:lang w:val="ar_AE" w:bidi="ar_AE"/>
        </w:rPr>
        <w:t>1 كو 8:6</w:t>
      </w:r>
      <w:r>
        <w:rPr>
          <w:rtl/>
          <w:cs/>
          <w:lang w:val="ar_AE" w:bidi="ar_AE"/>
        </w:rPr>
        <w:t xml:space="preserve">; </w:t>
      </w:r>
      <w:r>
        <w:rPr>
          <w:rtl/>
          <w:cs/>
          <w:lang w:val="ar_AE" w:bidi="ar_AE"/>
        </w:rPr>
        <w:t>أف 3:14–15</w:t>
      </w:r>
      <w:r>
        <w:rPr>
          <w:rtl/>
          <w:cs/>
          <w:lang w:val="ar_AE" w:bidi="ar_AE"/>
        </w:rPr>
        <w:t xml:space="preserve">). والابن يُقدَّم كصورة الله غير المرئي، التعبير الدقيق لجوهره وطبيعته، والمسيَّا-المُخَلِّص (انظر </w:t>
      </w:r>
      <w:r>
        <w:rPr>
          <w:rtl/>
          <w:cs/>
          <w:lang w:val="ar_AE" w:bidi="ar_AE"/>
        </w:rPr>
        <w:t>في 2:5–6</w:t>
      </w:r>
      <w:r>
        <w:rPr>
          <w:rtl/>
          <w:cs/>
          <w:lang w:val="ar_AE" w:bidi="ar_AE"/>
        </w:rPr>
        <w:t xml:space="preserve">; </w:t>
      </w:r>
      <w:r>
        <w:rPr>
          <w:rtl/>
          <w:cs/>
          <w:lang w:val="ar_AE" w:bidi="ar_AE"/>
        </w:rPr>
        <w:t>كو 1:14–16</w:t>
      </w:r>
      <w:r>
        <w:rPr>
          <w:rtl/>
          <w:cs/>
          <w:lang w:val="ar_AE" w:bidi="ar_AE"/>
        </w:rPr>
        <w:t xml:space="preserve">; </w:t>
      </w:r>
      <w:r>
        <w:rPr>
          <w:rtl/>
          <w:cs/>
          <w:lang w:val="ar_AE" w:bidi="ar_AE"/>
        </w:rPr>
        <w:t>عب 1:1–3</w:t>
      </w:r>
      <w:r>
        <w:rPr>
          <w:rtl/>
          <w:cs/>
          <w:lang w:val="ar_AE" w:bidi="ar_AE"/>
        </w:rPr>
        <w:t xml:space="preserve">). والروح هو الله العامل، الله الذي يصل إلى الناس—يؤثر عليهم، يجددهم، يملأهم، ويرشدهم (انظر </w:t>
      </w:r>
      <w:r>
        <w:rPr>
          <w:rtl/>
          <w:cs/>
          <w:lang w:val="ar_AE" w:bidi="ar_AE"/>
        </w:rPr>
        <w:t>يو 14:26</w:t>
      </w:r>
      <w:r>
        <w:rPr>
          <w:rtl/>
          <w:cs/>
          <w:lang w:val="ar_AE" w:bidi="ar_AE"/>
        </w:rPr>
        <w:t xml:space="preserve">; </w:t>
      </w:r>
      <w:r>
        <w:rPr>
          <w:rtl/>
          <w:cs/>
          <w:lang w:val="ar_AE" w:bidi="ar_AE"/>
        </w:rPr>
        <w:t>15:26</w:t>
      </w:r>
      <w:r>
        <w:rPr>
          <w:rtl/>
          <w:cs/>
          <w:lang w:val="ar_AE" w:bidi="ar_AE"/>
        </w:rPr>
        <w:t xml:space="preserve">; </w:t>
      </w:r>
      <w:r>
        <w:rPr>
          <w:rtl/>
          <w:cs/>
          <w:lang w:val="ar_AE" w:bidi="ar_AE"/>
        </w:rPr>
        <w:t>غل 4:6</w:t>
      </w:r>
      <w:r>
        <w:rPr>
          <w:rtl/>
          <w:cs/>
          <w:lang w:val="ar_AE" w:bidi="ar_AE"/>
        </w:rPr>
        <w:t xml:space="preserve">; </w:t>
      </w:r>
      <w:r>
        <w:rPr>
          <w:rtl/>
          <w:cs/>
          <w:lang w:val="ar_AE" w:bidi="ar_AE"/>
        </w:rPr>
        <w:t>أف 2:18</w:t>
      </w:r>
      <w:r>
        <w:rPr>
          <w:rtl/>
          <w:cs/>
          <w:lang w:val="ar_AE" w:bidi="ar_AE"/>
        </w:rPr>
        <w:t xml:space="preserve">). هؤلاء الثلاثة هم وحدة ثلاثية، يسكنون في بعضهم البعض ويعملون معًا لتحقيق التصميم الإلهي في الكون (انظر </w:t>
      </w:r>
      <w:r>
        <w:rPr>
          <w:rtl/>
          <w:cs/>
          <w:lang w:val="ar_AE" w:bidi="ar_AE"/>
        </w:rPr>
        <w:t>يو 16:13–15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الله، أسماء (الآب)</w:t>
      </w:r>
      <w:r>
        <w:rPr>
          <w:rtl/>
          <w:cs/>
          <w:lang w:val="ar_AE" w:bidi="ar_AE"/>
        </w:rPr>
        <w:t xml:space="preserve">; </w:t>
      </w:r>
      <w:r>
        <w:rPr>
          <w:rtl/>
          <w:cs/>
          <w:lang w:val="ar_AE" w:bidi="ar_AE"/>
        </w:rPr>
        <w:t>ابن الله</w:t>
      </w:r>
      <w:r>
        <w:rPr>
          <w:rtl/>
          <w:cs/>
          <w:lang w:val="ar_AE" w:bidi="ar_AE"/>
        </w:rPr>
        <w:t xml:space="preserve">; </w:t>
      </w:r>
      <w:r>
        <w:rPr>
          <w:rtl/>
          <w:cs/>
          <w:lang w:val="ar_AE" w:bidi="ar_AE"/>
        </w:rPr>
        <w:t>الروح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ثَامَارَ (اسم مكان)</w:t>
      </w:r>
      <w:r>
        <w:rPr>
          <w:rtl/>
          <w:cs/>
          <w:lang w:val="ar_AE" w:bidi="ar_AE"/>
        </w:rPr>
      </w:r>
    </w:p>
    <w:p>
      <w:pPr>
        <w:pStyle w:val="Heading2"/>
        <w:bidi/>
      </w:pPr>
      <w:r>
        <w:rPr>
          <w:rtl/>
          <w:cs/>
          <w:lang w:val="ar_AE" w:bidi="ar_AE"/>
        </w:rPr>
        <w:t xml:space="preserve">ثَامَارَ </w:t>
      </w:r>
      <w:r>
        <w:rPr>
          <w:rtl/>
          <w:cs/>
          <w:lang w:val="ar_AE" w:bidi="ar_AE"/>
        </w:rPr>
        <w:t>(اسم مكان)</w:t>
      </w:r>
    </w:p>
    <w:p>
      <w:pPr>
        <w:bidi/>
      </w:pPr>
      <w:r>
        <w:rPr>
          <w:rtl/>
          <w:cs/>
          <w:lang w:val="ar_AE" w:bidi="ar_AE"/>
        </w:rPr>
      </w:r>
      <w:r>
        <w:rPr>
          <w:rtl/>
          <w:cs/>
          <w:lang w:val="ar_AE" w:bidi="ar_AE"/>
        </w:rPr>
        <w:t>مدينة تقع جنوب غرب البحر الميت في سبط يهوذا (</w:t>
      </w:r>
      <w:r>
        <w:rPr>
          <w:rtl/>
          <w:cs/>
          <w:lang w:val="ar_AE" w:bidi="ar_AE"/>
        </w:rPr>
        <w:t>حزقيال 47: 19؛</w:t>
      </w:r>
      <w:r>
        <w:rPr>
          <w:rtl/>
          <w:cs/>
          <w:lang w:val="ar_AE" w:bidi="ar_AE"/>
        </w:rPr>
        <w:t xml:space="preserve"> </w:t>
      </w:r>
      <w:r>
        <w:rPr>
          <w:rtl/>
          <w:cs/>
          <w:lang w:val="ar_AE" w:bidi="ar_AE"/>
        </w:rPr>
        <w:t>48: 28</w:t>
      </w:r>
      <w:r>
        <w:rPr>
          <w:rtl/>
          <w:cs/>
          <w:lang w:val="ar_AE" w:bidi="ar_AE"/>
        </w:rPr>
        <w:t xml:space="preserve">). ذُكِرت مدينة ثامار في بعض المخطوطات العبرية لنص </w:t>
      </w:r>
      <w:r>
        <w:rPr>
          <w:rtl/>
          <w:cs/>
          <w:lang w:val="ar_AE" w:bidi="ar_AE"/>
        </w:rPr>
        <w:t>1ملوك 9:18</w:t>
      </w:r>
      <w:r>
        <w:rPr>
          <w:rtl/>
          <w:cs/>
          <w:lang w:val="ar_AE" w:bidi="ar_AE"/>
        </w:rPr>
        <w:t xml:space="preserve"> (بدلًا من "</w:t>
      </w:r>
      <w:r>
        <w:rPr>
          <w:rtl/>
          <w:cs/>
          <w:lang w:val="ar_AE" w:bidi="ar_AE"/>
        </w:rPr>
        <w:t xml:space="preserve">تَدْمُرَ" في الترجمة العربية البستاني-فاندايك) باعتبارها أحد </w:t>
      </w:r>
      <w:r>
        <w:rPr>
          <w:rtl/>
          <w:cs/>
          <w:lang w:val="ar_AE" w:bidi="ar_AE"/>
        </w:rPr>
        <w:t>الأماكن التي بناها سليمان في أثناء حملته لتعزيز قوة وعظمة الإمبراطورية اليهودية. وربما جرى تحصين هذه المدينة بعناية لحماية الطريق التجاري المهم الواقع بين ميناء إيلات وجنوب شبه الجزيرة العربية.</w:t>
      </w:r>
    </w:p>
    <w:p>
      <w:pPr>
        <w:bidi/>
      </w:pPr>
      <w:r>
        <w:rPr>
          <w:rtl/>
          <w:cs/>
          <w:lang w:val="ar_AE" w:bidi="ar_AE"/>
        </w:rPr>
      </w:r>
      <w:r>
        <w:rPr>
          <w:rtl/>
          <w:cs/>
          <w:lang w:val="ar_AE" w:bidi="ar_AE"/>
        </w:rPr>
        <w:t xml:space="preserve">انظر أيضًا </w:t>
      </w:r>
      <w:r>
        <w:rPr>
          <w:rtl/>
          <w:cs/>
          <w:lang w:val="ar_AE" w:bidi="ar_AE"/>
        </w:rPr>
        <w:t>تدمر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ثامار (تامار)</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ثامار، زوجة الابن البكر ليهوذا، في </w:t>
      </w:r>
      <w:r>
        <w:rPr>
          <w:rtl/>
          <w:cs/>
          <w:lang w:val="ar_AE" w:bidi="ar_AE"/>
        </w:rPr>
        <w:t>متى 1:3</w:t>
      </w:r>
      <w:r>
        <w:rPr>
          <w:rtl/>
          <w:cs/>
          <w:lang w:val="ar_AE" w:bidi="ar_AE"/>
        </w:rPr>
        <w:t xml:space="preserve">. </w:t>
      </w:r>
      <w:r>
        <w:rPr>
          <w:i/>
          <w:rtl/>
          <w:cs/>
          <w:lang w:val="ar_AE" w:bidi="ar_AE"/>
        </w:rPr>
        <w:t>انظر</w:t>
      </w:r>
      <w:r>
        <w:rPr>
          <w:rtl/>
          <w:cs/>
          <w:lang w:val="ar_AE" w:bidi="ar_AE"/>
        </w:rPr>
        <w:t xml:space="preserve"> </w:t>
      </w:r>
      <w:r>
        <w:rPr>
          <w:rtl/>
          <w:cs/>
          <w:lang w:val="ar_AE" w:bidi="ar_AE"/>
        </w:rPr>
        <w:t>ثامار (الشخص)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ثامار (شخص)</w:t>
      </w:r>
      <w:r>
        <w:rPr>
          <w:rtl/>
          <w:cs/>
          <w:lang w:val="ar_AE" w:bidi="ar_AE"/>
        </w:rPr>
      </w:r>
    </w:p>
    <w:p>
      <w:pPr>
        <w:bidi/>
      </w:pPr>
      <w:r>
        <w:rPr>
          <w:rtl/>
          <w:cs/>
          <w:lang w:val="ar_AE" w:bidi="ar_AE"/>
        </w:rPr>
      </w:r>
      <w:r>
        <w:rPr>
          <w:rtl/>
          <w:cs/>
          <w:lang w:val="ar_AE" w:bidi="ar_AE"/>
        </w:rPr>
        <w:t>1. هي زوجة عير، الابن البكر ليهوذا من امرأته الكنعانية. ولاحقًا، كأرملة، أنجبت ثامار ليهوذا ابنين اسمهما فارص وزارح (</w:t>
      </w:r>
      <w:r>
        <w:rPr>
          <w:rtl/>
          <w:cs/>
          <w:lang w:val="ar_AE" w:bidi="ar_AE"/>
        </w:rPr>
        <w:t>تك 38:6–24</w:t>
      </w:r>
      <w:r>
        <w:rPr>
          <w:rtl/>
          <w:cs/>
          <w:lang w:val="ar_AE" w:bidi="ar_AE"/>
        </w:rPr>
        <w:t xml:space="preserve">; </w:t>
      </w:r>
      <w:r>
        <w:rPr>
          <w:rtl/>
          <w:cs/>
          <w:lang w:val="ar_AE" w:bidi="ar_AE"/>
        </w:rPr>
        <w:t>1 أخ 2:4</w:t>
      </w:r>
      <w:r>
        <w:rPr>
          <w:rtl/>
          <w:cs/>
          <w:lang w:val="ar_AE" w:bidi="ar_AE"/>
        </w:rPr>
        <w:t>). وقد حافظت ثامار على نسل يهوذا من خلال فارص (</w:t>
      </w:r>
      <w:r>
        <w:rPr>
          <w:rtl/>
          <w:cs/>
          <w:lang w:val="ar_AE" w:bidi="ar_AE"/>
        </w:rPr>
        <w:t>را 4:12</w:t>
      </w:r>
      <w:r>
        <w:rPr>
          <w:rtl/>
          <w:cs/>
          <w:lang w:val="ar_AE" w:bidi="ar_AE"/>
        </w:rPr>
        <w:t>)، وتم تسجيل اسمها في سلسلة نسب المسيح (</w:t>
      </w:r>
      <w:r>
        <w:rPr>
          <w:rtl/>
          <w:cs/>
          <w:lang w:val="ar_AE" w:bidi="ar_AE"/>
        </w:rPr>
        <w:t>مت 1:3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w:t>
      </w:r>
    </w:p>
    <w:p>
      <w:pPr>
        <w:bidi/>
      </w:pPr>
      <w:r>
        <w:rPr>
          <w:rtl/>
          <w:cs/>
          <w:lang w:val="ar_AE" w:bidi="ar_AE"/>
        </w:rPr>
      </w:r>
      <w:r>
        <w:rPr>
          <w:rtl/>
          <w:cs/>
          <w:lang w:val="ar_AE" w:bidi="ar_AE"/>
        </w:rPr>
        <w:t>2. أخت أبشالوم وابنة داود من زوجته معكة الجشورية. لكن من خلال الخداع، تم الاعتداء على ثامار من قبل أمنون، أخيها غير الشقيق. وانتقامًا لذلك، فقد قتل أبشالوم، أخوها الشقيق، أمنون في بعل حاصور (</w:t>
      </w:r>
      <w:r>
        <w:rPr>
          <w:rtl/>
          <w:cs/>
          <w:lang w:val="ar_AE" w:bidi="ar_AE"/>
        </w:rPr>
        <w:t>2 صم 13</w:t>
      </w:r>
      <w:r>
        <w:rPr>
          <w:rtl/>
          <w:cs/>
          <w:lang w:val="ar_AE" w:bidi="ar_AE"/>
        </w:rPr>
        <w:t xml:space="preserve">; </w:t>
      </w:r>
      <w:r>
        <w:rPr>
          <w:rtl/>
          <w:cs/>
          <w:lang w:val="ar_AE" w:bidi="ar_AE"/>
        </w:rPr>
        <w:t>1 أخ 3:9</w:t>
      </w:r>
      <w:r>
        <w:rPr>
          <w:rtl/>
          <w:cs/>
          <w:lang w:val="ar_AE" w:bidi="ar_AE"/>
        </w:rPr>
        <w:t>).</w:t>
      </w:r>
    </w:p>
    <w:p>
      <w:pPr>
        <w:bidi/>
      </w:pPr>
      <w:r>
        <w:rPr>
          <w:rtl/>
          <w:cs/>
          <w:lang w:val="ar_AE" w:bidi="ar_AE"/>
        </w:rPr>
      </w:r>
      <w:r>
        <w:rPr>
          <w:rtl/>
          <w:cs/>
          <w:lang w:val="ar_AE" w:bidi="ar_AE"/>
        </w:rPr>
        <w:t>3. ابنة أبشالوم التي كانت مشهورة بجمالها (</w:t>
      </w:r>
      <w:r>
        <w:rPr>
          <w:rtl/>
          <w:cs/>
          <w:lang w:val="ar_AE" w:bidi="ar_AE"/>
        </w:rPr>
        <w:t>2 صم 14:27</w:t>
      </w:r>
      <w:r>
        <w:rPr>
          <w:rtl/>
          <w:cs/>
          <w:lang w:val="ar_AE" w:bidi="ar_AE"/>
        </w:rPr>
        <w:t xml:space="preserve">). وربما هي التي تزوجت من أوريئيل الجبعوني وأصبحت أم معكة. </w:t>
      </w:r>
      <w:r>
        <w:rPr>
          <w:i/>
          <w:rtl/>
          <w:cs/>
          <w:lang w:val="ar_AE" w:bidi="ar_AE"/>
        </w:rPr>
        <w:t>انظر</w:t>
      </w:r>
      <w:r>
        <w:rPr>
          <w:rtl/>
          <w:cs/>
          <w:lang w:val="ar_AE" w:bidi="ar_AE"/>
        </w:rPr>
        <w:t xml:space="preserve"> </w:t>
      </w:r>
      <w:r>
        <w:rPr>
          <w:rtl/>
          <w:cs/>
          <w:lang w:val="ar_AE" w:bidi="ar_AE"/>
        </w:rPr>
        <w:t>معكة، معشة (شخص)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ثرشيش</w:t>
      </w:r>
      <w:r>
        <w:rPr>
          <w:rtl/>
          <w:cs/>
          <w:lang w:val="ar_AE" w:bidi="ar_AE"/>
        </w:rPr>
      </w:r>
    </w:p>
    <w:p>
      <w:pPr>
        <w:pStyle w:val="Heading2"/>
        <w:bidi/>
      </w:pPr>
      <w:r>
        <w:rPr>
          <w:rtl/>
          <w:cs/>
          <w:lang w:val="ar_AE" w:bidi="ar_AE"/>
        </w:rPr>
        <w:t>تَرْشِيش</w:t>
      </w:r>
      <w:r>
        <w:rPr>
          <w:rtl/>
          <w:cs/>
          <w:lang w:val="ar_AE" w:bidi="ar_AE"/>
        </w:rPr>
        <w:t>*</w:t>
      </w:r>
    </w:p>
    <w:p>
      <w:pPr>
        <w:bidi/>
      </w:pPr>
      <w:r>
        <w:rPr>
          <w:rtl/>
          <w:cs/>
          <w:lang w:val="ar_AE" w:bidi="ar_AE"/>
        </w:rPr>
      </w:r>
      <w:r>
        <w:rPr>
          <w:rtl/>
          <w:cs/>
          <w:lang w:val="ar_AE" w:bidi="ar_AE"/>
        </w:rPr>
        <w:t xml:space="preserve">1. تهجئة بديلة في نسخة الملك جيمس لترشيش، وهي مدينة وميناء، في </w:t>
      </w:r>
      <w:r>
        <w:rPr>
          <w:rtl/>
          <w:cs/>
          <w:lang w:val="ar_AE" w:bidi="ar_AE"/>
        </w:rPr>
        <w:t>1 ملوك 10:22</w:t>
      </w:r>
      <w:r>
        <w:rPr>
          <w:rtl/>
          <w:cs/>
          <w:lang w:val="ar_AE" w:bidi="ar_AE"/>
        </w:rPr>
        <w:t xml:space="preserve"> و</w:t>
      </w:r>
      <w:r>
        <w:rPr>
          <w:rtl/>
          <w:cs/>
          <w:lang w:val="ar_AE" w:bidi="ar_AE"/>
        </w:rPr>
        <w:t>22:48</w:t>
      </w:r>
      <w:r>
        <w:rPr>
          <w:rtl/>
          <w:cs/>
          <w:lang w:val="ar_AE" w:bidi="ar_AE"/>
        </w:rPr>
        <w:t xml:space="preserve">. </w:t>
      </w:r>
      <w:r>
        <w:rPr>
          <w:i/>
          <w:rtl/>
          <w:cs/>
          <w:lang w:val="ar_AE" w:bidi="ar_AE"/>
        </w:rPr>
        <w:t>انظر</w:t>
      </w:r>
      <w:r>
        <w:rPr>
          <w:rtl/>
          <w:cs/>
          <w:lang w:val="ar_AE" w:bidi="ar_AE"/>
        </w:rPr>
        <w:t xml:space="preserve"> </w:t>
      </w:r>
      <w:r>
        <w:rPr>
          <w:rtl/>
          <w:cs/>
          <w:lang w:val="ar_AE" w:bidi="ar_AE"/>
        </w:rPr>
        <w:t>ترشيش (مكان)</w:t>
      </w:r>
      <w:r>
        <w:rPr>
          <w:rtl/>
          <w:cs/>
          <w:lang w:val="ar_AE" w:bidi="ar_AE"/>
        </w:rPr>
        <w:t>.</w:t>
      </w:r>
    </w:p>
    <w:p>
      <w:pPr>
        <w:bidi/>
      </w:pPr>
      <w:r>
        <w:rPr>
          <w:rtl/>
          <w:cs/>
          <w:lang w:val="ar_AE" w:bidi="ar_AE"/>
        </w:rPr>
      </w:r>
      <w:r>
        <w:rPr>
          <w:rtl/>
          <w:cs/>
          <w:lang w:val="ar_AE" w:bidi="ar_AE"/>
        </w:rPr>
        <w:t xml:space="preserve">2. تهجئة KJV لترشيش، ابن بلهان، في </w:t>
      </w:r>
      <w:r>
        <w:rPr>
          <w:rtl/>
          <w:cs/>
          <w:lang w:val="ar_AE" w:bidi="ar_AE"/>
        </w:rPr>
        <w:t>1 أخبار الأيام 7:10</w:t>
      </w:r>
      <w:r>
        <w:rPr>
          <w:rtl/>
          <w:cs/>
          <w:lang w:val="ar_AE" w:bidi="ar_AE"/>
        </w:rPr>
        <w:t xml:space="preserve">. </w:t>
      </w:r>
      <w:r>
        <w:rPr>
          <w:i/>
          <w:rtl/>
          <w:cs/>
          <w:lang w:val="ar_AE" w:bidi="ar_AE"/>
        </w:rPr>
        <w:t>انظر</w:t>
      </w:r>
      <w:r>
        <w:rPr>
          <w:rtl/>
          <w:cs/>
          <w:lang w:val="ar_AE" w:bidi="ar_AE"/>
        </w:rPr>
        <w:t xml:space="preserve"> </w:t>
      </w:r>
      <w:r>
        <w:rPr>
          <w:rtl/>
          <w:cs/>
          <w:lang w:val="ar_AE" w:bidi="ar_AE"/>
        </w:rPr>
        <w:t>ترشيش (الشخص)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ثعبان</w:t>
      </w:r>
      <w:r>
        <w:rPr>
          <w:rtl/>
          <w:cs/>
          <w:lang w:val="ar_AE" w:bidi="ar_AE"/>
        </w:rPr>
      </w:r>
    </w:p>
    <w:p>
      <w:pPr>
        <w:pStyle w:val="Heading2"/>
        <w:bidi/>
      </w:pPr>
      <w:r>
        <w:rPr>
          <w:b/>
          <w:rtl/>
          <w:cs/>
          <w:lang w:val="ar_AE" w:bidi="ar_AE"/>
        </w:rPr>
        <w:t>ثعبان</w:t>
      </w:r>
    </w:p>
    <w:p>
      <w:pPr>
        <w:bidi/>
      </w:pPr>
      <w:r>
        <w:rPr>
          <w:rtl/>
          <w:cs/>
          <w:lang w:val="ar_AE" w:bidi="ar_AE"/>
        </w:rPr>
      </w:r>
      <w:r>
        <w:rPr>
          <w:rtl/>
          <w:cs/>
          <w:lang w:val="ar_AE" w:bidi="ar_AE"/>
        </w:rPr>
        <w:t xml:space="preserve">انظر </w:t>
      </w:r>
      <w:r>
        <w:rPr>
          <w:rtl/>
          <w:cs/>
          <w:lang w:val="ar_AE" w:bidi="ar_AE"/>
        </w:rPr>
        <w:t>الحيوانات (الأفعى؛</w:t>
      </w:r>
      <w:r>
        <w:rPr>
          <w:rtl/>
          <w:cs/>
          <w:lang w:val="ar_AE" w:bidi="ar_AE"/>
        </w:rPr>
        <w:t xml:space="preserve"> </w:t>
      </w:r>
      <w:r>
        <w:rPr>
          <w:rtl/>
          <w:cs/>
          <w:lang w:val="ar_AE" w:bidi="ar_AE"/>
        </w:rPr>
        <w:t>الصِّلُّ؛</w:t>
      </w:r>
      <w:r>
        <w:rPr>
          <w:rtl/>
          <w:cs/>
          <w:lang w:val="ar_AE" w:bidi="ar_AE"/>
        </w:rPr>
        <w:t xml:space="preserve"> </w:t>
      </w:r>
      <w:r>
        <w:rPr>
          <w:rtl/>
          <w:cs/>
          <w:lang w:val="ar_AE" w:bidi="ar_AE"/>
        </w:rPr>
        <w:t>الحَيَّة)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ثَعلَب</w:t>
      </w:r>
      <w:r>
        <w:rPr>
          <w:rtl/>
          <w:cs/>
          <w:lang w:val="ar_AE" w:bidi="ar_AE"/>
        </w:rPr>
      </w:r>
    </w:p>
    <w:p>
      <w:pPr>
        <w:bidi/>
      </w:pPr>
      <w:r>
        <w:rPr>
          <w:rtl/>
          <w:cs/>
          <w:lang w:val="ar_AE" w:bidi="ar_AE"/>
        </w:rPr>
      </w:r>
      <w:r>
        <w:rPr>
          <w:rtl/>
          <w:cs/>
          <w:lang w:val="ar_AE" w:bidi="ar_AE"/>
        </w:rPr>
        <w:t>هو حيوان صغير من الثدييات، يعيش في البرية، ويأكل اللحوم، ويشبه الكلاب في شكله، وقد كانت هناك عدة أنواع منه تعيش في فلسطين في زمن الكتاب المقدس.</w:t>
      </w:r>
    </w:p>
    <w:p>
      <w:pPr>
        <w:pStyle w:val="Heading3"/>
        <w:bidi/>
      </w:pPr>
      <w:r>
        <w:rPr>
          <w:rtl/>
          <w:cs/>
          <w:lang w:val="ar_AE" w:bidi="ar_AE"/>
        </w:rPr>
        <w:t>أنواع الثعالب</w:t>
      </w:r>
    </w:p>
    <w:p>
      <w:pPr>
        <w:bidi/>
      </w:pPr>
      <w:r>
        <w:rPr>
          <w:rtl/>
          <w:cs/>
          <w:lang w:val="ar_AE" w:bidi="ar_AE"/>
        </w:rPr>
      </w:r>
      <w:r>
        <w:rPr>
          <w:rtl/>
          <w:cs/>
          <w:lang w:val="ar_AE" w:bidi="ar_AE"/>
        </w:rPr>
        <w:t>الثعلب الأحمر الذي يعيش في أرض فلسطين (</w:t>
      </w:r>
      <w:r>
        <w:rPr>
          <w:i/>
          <w:rtl/>
          <w:cs/>
          <w:lang w:val="ar_AE" w:bidi="ar_AE"/>
        </w:rPr>
        <w:t>Vulpes palaestinae</w:t>
      </w:r>
      <w:r>
        <w:rPr>
          <w:rtl/>
          <w:cs/>
          <w:lang w:val="ar_AE" w:bidi="ar_AE"/>
        </w:rPr>
        <w:t>) يشبه إلى حد كبير الثعلب الموجود في أمريكا الشمالية، لكنه أصغر حجمًا من الذئب. وهو حيوان ليلي ينشط ليلاً ويصطاد وحده دون جماعة. يتميز بذيل كثيف الشعر، يبلغ طوله نصف طول جسمه تقريبًا. ويتغذى على أنواع مختلفة من الطعام، منها:</w:t>
      </w:r>
    </w:p>
    <w:p>
      <w:pPr>
        <w:pStyle w:val="ListBullet"/>
        <w:bidi/>
        <w:spacing w:line="240" w:lineRule="auto"/>
        <w:ind w:left="720"/>
      </w:pPr>
      <w:r>
        <w:rPr>
          <w:rtl/>
          <w:cs/>
          <w:lang w:val="ar_AE" w:bidi="ar_AE"/>
        </w:rPr>
      </w:r>
      <w:r>
        <w:rPr>
          <w:rtl/>
          <w:cs/>
          <w:lang w:val="ar_AE" w:bidi="ar_AE"/>
        </w:rPr>
        <w:t>الفواكه</w:t>
      </w:r>
    </w:p>
    <w:p>
      <w:pPr>
        <w:pStyle w:val="ListBullet"/>
        <w:bidi/>
        <w:spacing w:line="240" w:lineRule="auto"/>
        <w:ind w:left="720"/>
      </w:pPr>
      <w:r>
        <w:rPr>
          <w:rtl/>
          <w:cs/>
          <w:lang w:val="ar_AE" w:bidi="ar_AE"/>
        </w:rPr>
      </w:r>
      <w:r>
        <w:rPr>
          <w:rtl/>
          <w:cs/>
          <w:lang w:val="ar_AE" w:bidi="ar_AE"/>
        </w:rPr>
        <w:t>النباتات</w:t>
      </w:r>
    </w:p>
    <w:p>
      <w:pPr>
        <w:pStyle w:val="ListBullet"/>
        <w:bidi/>
        <w:spacing w:line="240" w:lineRule="auto"/>
        <w:ind w:left="720"/>
      </w:pPr>
      <w:r>
        <w:rPr>
          <w:rtl/>
          <w:cs/>
          <w:lang w:val="ar_AE" w:bidi="ar_AE"/>
        </w:rPr>
      </w:r>
      <w:r>
        <w:rPr>
          <w:rtl/>
          <w:cs/>
          <w:lang w:val="ar_AE" w:bidi="ar_AE"/>
        </w:rPr>
        <w:t>الفئران</w:t>
      </w:r>
    </w:p>
    <w:p>
      <w:pPr>
        <w:pStyle w:val="ListBullet"/>
        <w:bidi/>
        <w:spacing w:line="240" w:lineRule="auto"/>
        <w:ind w:left="720"/>
      </w:pPr>
      <w:r>
        <w:rPr>
          <w:rtl/>
          <w:cs/>
          <w:lang w:val="ar_AE" w:bidi="ar_AE"/>
        </w:rPr>
      </w:r>
      <w:r>
        <w:rPr>
          <w:rtl/>
          <w:cs/>
          <w:lang w:val="ar_AE" w:bidi="ar_AE"/>
        </w:rPr>
        <w:t>الخنافس</w:t>
      </w:r>
    </w:p>
    <w:p>
      <w:pPr>
        <w:pStyle w:val="ListBullet"/>
        <w:bidi/>
        <w:spacing w:line="240" w:lineRule="auto"/>
        <w:ind w:left="720"/>
      </w:pPr>
      <w:r>
        <w:rPr>
          <w:rtl/>
          <w:cs/>
          <w:lang w:val="ar_AE" w:bidi="ar_AE"/>
        </w:rPr>
      </w:r>
      <w:r>
        <w:rPr>
          <w:rtl/>
          <w:cs/>
          <w:lang w:val="ar_AE" w:bidi="ar_AE"/>
        </w:rPr>
        <w:t>الطيور</w:t>
      </w:r>
    </w:p>
    <w:p>
      <w:pPr>
        <w:bidi/>
      </w:pPr>
      <w:r>
        <w:rPr>
          <w:rtl/>
          <w:cs/>
          <w:lang w:val="ar_AE" w:bidi="ar_AE"/>
        </w:rPr>
      </w:r>
      <w:r>
        <w:rPr>
          <w:rtl/>
          <w:cs/>
          <w:lang w:val="ar_AE" w:bidi="ar_AE"/>
        </w:rPr>
        <w:t>ورغم أن الثعلب يأكل أنواعًا متعددة من الطعام، إلا أنه لا يأكل الجيف. ويُعد العنب طعامه المفضل، لكن عادته في الحفر تسبب أضرارًا للكروم (</w:t>
      </w:r>
      <w:r>
        <w:rPr>
          <w:rtl/>
          <w:cs/>
          <w:lang w:val="ar_AE" w:bidi="ar_AE"/>
        </w:rPr>
        <w:t>نشيد الأمشاد 2:15</w:t>
      </w:r>
      <w:r>
        <w:rPr>
          <w:rtl/>
          <w:cs/>
          <w:lang w:val="ar_AE" w:bidi="ar_AE"/>
        </w:rPr>
        <w:t>). الثعلب ذكي ومعروف بمكره (</w:t>
      </w:r>
      <w:r>
        <w:rPr>
          <w:rtl/>
          <w:cs/>
          <w:lang w:val="ar_AE" w:bidi="ar_AE"/>
        </w:rPr>
        <w:t>لوقَا 13:32</w:t>
      </w:r>
      <w:r>
        <w:rPr>
          <w:rtl/>
          <w:cs/>
          <w:lang w:val="ar_AE" w:bidi="ar_AE"/>
        </w:rPr>
        <w:t>). لوهو حيوان قوي التحمل، يستطيع الركض بسرعة تصل إلى 48 كيلومترًا في الساعة. وفي زمن نحميا، استخدم المعارضون صورة الثعلب للسخرية من جهود اليهود في إعادة بناء سور أورشليم، مدّعين أن قفز ثعلب عليه يكفي لهدمه (</w:t>
      </w:r>
      <w:r>
        <w:rPr>
          <w:rtl/>
          <w:cs/>
          <w:lang w:val="ar_AE" w:bidi="ar_AE"/>
        </w:rPr>
        <w:t>نَحَمْيَا 4:3</w:t>
      </w:r>
      <w:r>
        <w:rPr>
          <w:rtl/>
          <w:cs/>
          <w:lang w:val="ar_AE" w:bidi="ar_AE"/>
        </w:rPr>
        <w:t>).</w:t>
      </w:r>
    </w:p>
    <w:p>
      <w:pPr>
        <w:bidi/>
      </w:pPr>
      <w:r>
        <w:rPr>
          <w:rtl/>
          <w:cs/>
          <w:lang w:val="ar_AE" w:bidi="ar_AE"/>
        </w:rPr>
      </w:r>
      <w:r>
        <w:rPr>
          <w:rtl/>
          <w:cs/>
          <w:lang w:val="ar_AE" w:bidi="ar_AE"/>
        </w:rPr>
        <w:t>الثعلب المصري (</w:t>
      </w:r>
      <w:r>
        <w:rPr>
          <w:i/>
          <w:rtl/>
          <w:cs/>
          <w:lang w:val="ar_AE" w:bidi="ar_AE"/>
        </w:rPr>
        <w:t>Vulpes niloticus</w:t>
      </w:r>
      <w:r>
        <w:rPr>
          <w:rtl/>
          <w:cs/>
          <w:lang w:val="ar_AE" w:bidi="ar_AE"/>
        </w:rPr>
        <w:t>) يعيش في وسط وجنوب أرض فلسطين. وهو أصغر حجمًا من الثعلب الأحمر المعروف. لونه من الأعلى مائل إلى البني الصدئ، أما بطنه فلونه أفتح. في الشمال، يعيش الثعلب السوري (</w:t>
      </w:r>
      <w:r>
        <w:rPr>
          <w:i/>
          <w:rtl/>
          <w:cs/>
          <w:lang w:val="ar_AE" w:bidi="ar_AE"/>
        </w:rPr>
        <w:t>Vulpes flavescens</w:t>
      </w:r>
      <w:r>
        <w:rPr>
          <w:rtl/>
          <w:cs/>
          <w:lang w:val="ar_AE" w:bidi="ar_AE"/>
        </w:rPr>
        <w:t>)، ويمتاز بلون ذهبي لامع يغطي فراءه.</w:t>
      </w:r>
    </w:p>
    <w:p>
      <w:pPr>
        <w:bidi/>
      </w:pPr>
      <w:r>
        <w:rPr>
          <w:rtl/>
          <w:cs/>
          <w:lang w:val="ar_AE" w:bidi="ar_AE"/>
        </w:rPr>
      </w:r>
      <w:r>
        <w:rPr>
          <w:rtl/>
          <w:cs/>
          <w:lang w:val="ar_AE" w:bidi="ar_AE"/>
        </w:rPr>
        <w:t xml:space="preserve">تذكر بعض الترجمات كلمة ثعلب في بعض الشواهد الكتابية في العهد القديم مثل </w:t>
      </w:r>
      <w:r>
        <w:rPr>
          <w:rtl/>
          <w:cs/>
          <w:lang w:val="ar_AE" w:bidi="ar_AE"/>
        </w:rPr>
        <w:t>مراثي 5:18</w:t>
      </w:r>
      <w:r>
        <w:rPr>
          <w:rtl/>
          <w:cs/>
          <w:lang w:val="ar_AE" w:bidi="ar_AE"/>
        </w:rPr>
        <w:t xml:space="preserve">، لكن من المرجح أن المقصود في الأصل هو ابن آوى </w:t>
      </w:r>
      <w:r>
        <w:rPr>
          <w:rtl/>
          <w:cs/>
          <w:lang w:val="ar_AE" w:bidi="ar_AE"/>
        </w:rPr>
        <w:t>مزمور 63:10</w:t>
      </w:r>
      <w:r>
        <w:rPr>
          <w:rtl/>
          <w:cs/>
          <w:lang w:val="ar_AE" w:bidi="ar_AE"/>
        </w:rPr>
        <w:t xml:space="preserve">. فابن آوى يختلف عن الثعلب، إذ إنه يعيش في مجموعات ويتغذى غالبًا على الجيف، بخلاف الثعلب الذي يصطاد بمفرده. انظر </w:t>
      </w:r>
      <w:r>
        <w:rPr>
          <w:rtl/>
          <w:cs/>
          <w:lang w:val="ar_AE" w:bidi="ar_AE"/>
        </w:rPr>
        <w:t>ابن آوى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ثلج، صَّقيع، جليد</w:t>
      </w:r>
      <w:r>
        <w:rPr>
          <w:rtl/>
          <w:cs/>
          <w:lang w:val="ar_AE" w:bidi="ar_AE"/>
        </w:rPr>
      </w:r>
    </w:p>
    <w:p>
      <w:pPr>
        <w:bidi/>
      </w:pPr>
      <w:r>
        <w:rPr>
          <w:rtl/>
          <w:cs/>
          <w:lang w:val="ar_AE" w:bidi="ar_AE"/>
        </w:rPr>
      </w:r>
      <w:r>
        <w:rPr>
          <w:rtl/>
          <w:cs/>
          <w:lang w:val="ar_AE" w:bidi="ar_AE"/>
        </w:rPr>
        <w:t>بخار الماء أو الندى المتجمِّد (</w:t>
      </w:r>
      <w:r>
        <w:rPr>
          <w:rtl/>
          <w:cs/>
          <w:lang w:val="ar_AE" w:bidi="ar_AE"/>
        </w:rPr>
        <w:t>مزمور 78: 47؛</w:t>
      </w:r>
      <w:r>
        <w:rPr>
          <w:rtl/>
          <w:cs/>
          <w:lang w:val="ar_AE" w:bidi="ar_AE"/>
        </w:rPr>
        <w:t xml:space="preserve"> </w:t>
      </w:r>
      <w:r>
        <w:rPr>
          <w:rtl/>
          <w:cs/>
          <w:lang w:val="ar_AE" w:bidi="ar_AE"/>
        </w:rPr>
        <w:t>147: 16؛</w:t>
      </w:r>
      <w:r>
        <w:rPr>
          <w:rtl/>
          <w:cs/>
          <w:lang w:val="ar_AE" w:bidi="ar_AE"/>
        </w:rPr>
        <w:t xml:space="preserve"> </w:t>
      </w:r>
      <w:r>
        <w:rPr>
          <w:rtl/>
          <w:cs/>
          <w:lang w:val="ar_AE" w:bidi="ar_AE"/>
        </w:rPr>
        <w:t>148: 8؛</w:t>
      </w:r>
      <w:r>
        <w:rPr>
          <w:rtl/>
          <w:cs/>
          <w:lang w:val="ar_AE" w:bidi="ar_AE"/>
        </w:rPr>
        <w:t xml:space="preserve"> </w:t>
      </w:r>
      <w:r>
        <w:rPr>
          <w:rtl/>
          <w:cs/>
          <w:lang w:val="ar_AE" w:bidi="ar_AE"/>
        </w:rPr>
        <w:t>إرميا 36: 30؛</w:t>
      </w:r>
      <w:r>
        <w:rPr>
          <w:rtl/>
          <w:cs/>
          <w:lang w:val="ar_AE" w:bidi="ar_AE"/>
        </w:rPr>
        <w:t xml:space="preserve"> </w:t>
      </w:r>
      <w:r>
        <w:rPr>
          <w:rtl/>
          <w:cs/>
          <w:lang w:val="ar_AE" w:bidi="ar_AE"/>
        </w:rPr>
        <w:t>زكريا 14: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ثَمَرُ ٱلرُّوحِ</w:t>
      </w:r>
      <w:r>
        <w:rPr>
          <w:rtl/>
          <w:cs/>
          <w:lang w:val="ar_AE" w:bidi="ar_AE"/>
        </w:rPr>
      </w:r>
    </w:p>
    <w:p>
      <w:pPr>
        <w:pStyle w:val="Heading2"/>
        <w:bidi/>
      </w:pPr>
      <w:r>
        <w:rPr>
          <w:rtl/>
          <w:cs/>
          <w:lang w:val="ar_AE" w:bidi="ar_AE"/>
        </w:rPr>
        <w:t>ثَمَرُ ٱلرُّوح</w:t>
      </w:r>
      <w:r>
        <w:rPr>
          <w:rtl/>
          <w:cs/>
          <w:lang w:val="ar_AE" w:bidi="ar_AE"/>
        </w:rPr>
        <w:t>*</w:t>
      </w:r>
    </w:p>
    <w:p>
      <w:pPr>
        <w:bidi/>
      </w:pPr>
      <w:r>
        <w:rPr>
          <w:rtl/>
          <w:cs/>
          <w:lang w:val="ar_AE" w:bidi="ar_AE"/>
        </w:rPr>
      </w:r>
      <w:r>
        <w:rPr>
          <w:rtl/>
          <w:cs/>
          <w:lang w:val="ar_AE" w:bidi="ar_AE"/>
        </w:rPr>
        <w:t xml:space="preserve">التعبير مأخوذ من </w:t>
      </w:r>
      <w:r>
        <w:rPr>
          <w:rtl/>
          <w:cs/>
          <w:lang w:val="ar_AE" w:bidi="ar_AE"/>
        </w:rPr>
        <w:t>غلاطية 5: 22–23</w:t>
      </w:r>
      <w:r>
        <w:rPr>
          <w:rtl/>
          <w:cs/>
          <w:lang w:val="ar_AE" w:bidi="ar_AE"/>
        </w:rPr>
        <w:t xml:space="preserve">. هذا الثمر كما هو مذكور هو البرهان الذي يدلل على ما يرجوه المرء من حياة يعيش فيها روح الله ويملكها. </w:t>
      </w:r>
      <w:r>
        <w:rPr>
          <w:rtl/>
          <w:cs/>
          <w:lang w:val="ar_AE" w:bidi="ar_AE"/>
        </w:rPr>
        <w:t>ثَمَرُ ٱلرُّوحِ</w:t>
      </w:r>
      <w:r>
        <w:rPr>
          <w:rtl/>
          <w:cs/>
          <w:lang w:val="ar_AE" w:bidi="ar_AE"/>
        </w:rPr>
        <w:t xml:space="preserve">، كما هو مذكور في </w:t>
      </w:r>
      <w:r>
        <w:rPr>
          <w:rtl/>
          <w:cs/>
          <w:lang w:val="ar_AE" w:bidi="ar_AE"/>
        </w:rPr>
        <w:t>غلاطية 5</w:t>
      </w:r>
      <w:r>
        <w:rPr>
          <w:rtl/>
          <w:cs/>
          <w:lang w:val="ar_AE" w:bidi="ar_AE"/>
        </w:rPr>
        <w:t xml:space="preserve">، هو محبة، فرح، سلام، طول الأناة، لطف، صلاح، إيمان، وداعة، تعفُّف. "المحبة" ليست بالضرورة هي العاطف، لكنها ذلك النوع من إنكار الذات وبذل النفس الذي ميز الله عندما أحب العالم حتى </w:t>
      </w:r>
      <w:r>
        <w:rPr>
          <w:i/>
          <w:rtl/>
          <w:cs/>
          <w:lang w:val="ar_AE" w:bidi="ar_AE"/>
        </w:rPr>
        <w:t>بذل</w:t>
      </w:r>
      <w:r>
        <w:rPr>
          <w:rtl/>
          <w:cs/>
          <w:lang w:val="ar_AE" w:bidi="ar_AE"/>
        </w:rPr>
        <w:t xml:space="preserve"> ابنه الوحيد (</w:t>
      </w:r>
      <w:r>
        <w:rPr>
          <w:rtl/>
          <w:cs/>
          <w:lang w:val="ar_AE" w:bidi="ar_AE"/>
        </w:rPr>
        <w:t>يوحنا 3: 16</w:t>
      </w:r>
      <w:r>
        <w:rPr>
          <w:rtl/>
          <w:cs/>
          <w:lang w:val="ar_AE" w:bidi="ar_AE"/>
        </w:rPr>
        <w:t>). "الصلاح" هو ترجمة لكلمة يونانية تشمل فكرة السخاء. أما كلمة "الإيمان" تشير عادة إلى الوثوق في شخص أو شيء ما. ومع ذلك، يمكن أن تشير الكلمة أيضًا إلى ما يسبب الثقة والإيمان، أي الأمانة والمصداقية. كلا المعنيين يُستخدمان هنا كدليل آخر على الحياة المنقادة بالروح. ثمرة أخرى، تُترجم في بعض الترجمات الإنجيليزية بمعنى "الاعتدال-القناعة"، هي الكلمة اليونانية التي تعني التعفُّف (ضبط النفس)، تلك القدرة على التحكُّم في النفس، ومراقبة المرء لذاته. فمن الجدير بالملاحظة أن يُقال إنَّ الروح هو المسؤول عن هذا الثمر. وبما أن هذه الصفات هي ثمر الروح، فمن البديهي ألّا ينتج الالتزام بالناموس وطاعته مثل هذا الثمر.</w:t>
      </w:r>
    </w:p>
    <w:p>
      <w:pPr>
        <w:bidi/>
      </w:pPr>
      <w:r>
        <w:rPr>
          <w:rtl/>
          <w:cs/>
          <w:lang w:val="ar_AE" w:bidi="ar_AE"/>
        </w:rPr>
      </w:r>
      <w:r>
        <w:rPr>
          <w:rtl/>
          <w:cs/>
          <w:lang w:val="ar_AE" w:bidi="ar_AE"/>
        </w:rPr>
        <w:t>تظهر هذه الثمرة في سياق رسالة غلاطية إذ يؤكد بولس على التحرر المسيحي من طاعة الناموس كوسيلة لنوال التبرير أمام الله. يحذر بولس المؤمنين في غلاطية، الذين كانوا عُرضة للعودة إلى الناموس، من أنَّ الختان الجسدي هو علامة خارجية على العودة إلى وسائل التبرير بحسب الناموس واستحالة محاولة الحصول على التبرير بهذه الطريقة (</w:t>
      </w:r>
      <w:r>
        <w:rPr>
          <w:rtl/>
          <w:cs/>
          <w:lang w:val="ar_AE" w:bidi="ar_AE"/>
        </w:rPr>
        <w:t>غلاطية 5: 3</w:t>
      </w:r>
      <w:r>
        <w:rPr>
          <w:rtl/>
          <w:cs/>
          <w:lang w:val="ar_AE" w:bidi="ar_AE"/>
        </w:rPr>
        <w:t xml:space="preserve">). ومع ذلك، لكي لا يسيء الغلاطيون تقدير حريتهم في المسيح، يحذر بولس من أنَّ هذه الحرية لا تعني تصريحًا بالخطية، أو فرصة لإشباع رغبات الجسد، بل فرصة للاستمرار كخدام مُحبين يخدمون بعضهم بعضًا (الآية </w:t>
      </w:r>
      <w:r>
        <w:rPr>
          <w:rtl/>
          <w:cs/>
          <w:lang w:val="ar_AE" w:bidi="ar_AE"/>
        </w:rPr>
        <w:t>13</w:t>
      </w:r>
      <w:r>
        <w:rPr>
          <w:rtl/>
          <w:cs/>
          <w:lang w:val="ar_AE" w:bidi="ar_AE"/>
        </w:rPr>
        <w:t xml:space="preserve">). الحياة بالروح تعني أنَّ الشخص لن يسلك بشهوات الجسد أو رغباته (الآية </w:t>
      </w:r>
      <w:r>
        <w:rPr>
          <w:rtl/>
          <w:cs/>
          <w:lang w:val="ar_AE" w:bidi="ar_AE"/>
        </w:rPr>
        <w:t>16</w:t>
      </w:r>
      <w:r>
        <w:rPr>
          <w:rtl/>
          <w:cs/>
          <w:lang w:val="ar_AE" w:bidi="ar_AE"/>
        </w:rPr>
        <w:t>). ثم يحدد بولس أعمال الجسد وثمار الروح. الشخص الذي يمتنع عن أعمال الجسد ويُظهر ثمر الروح في حياته سيكون محبًا، فرحًا، مسالمًا، صبورًا، لطيفًا، صالحًا، موثوقًا به، وديعًا، ومتعفِّفًا. لا يُقال أنَّ هذه عطايا الروح، بل هي نِعَم تُزيِّن الحياة التي تخضع لقيادة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ثمرة</w:t>
      </w:r>
      <w:r>
        <w:rPr>
          <w:rtl/>
          <w:cs/>
          <w:lang w:val="ar_AE" w:bidi="ar_AE"/>
        </w:rPr>
      </w:r>
    </w:p>
    <w:p>
      <w:pPr>
        <w:bidi/>
      </w:pPr>
      <w:r>
        <w:rPr>
          <w:rtl/>
          <w:cs/>
          <w:lang w:val="ar_AE" w:bidi="ar_AE"/>
        </w:rPr>
      </w:r>
      <w:r>
        <w:rPr>
          <w:rtl/>
          <w:cs/>
          <w:lang w:val="ar_AE" w:bidi="ar_AE"/>
        </w:rPr>
        <w:t xml:space="preserve">انظر </w:t>
      </w:r>
      <w:r>
        <w:rPr>
          <w:rtl/>
          <w:cs/>
          <w:lang w:val="ar_AE" w:bidi="ar_AE"/>
        </w:rPr>
        <w:t>الطعام وتجهيز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ثُمْنِيَّة</w:t>
      </w:r>
      <w:r>
        <w:rPr>
          <w:rtl/>
          <w:cs/>
          <w:lang w:val="ar_AE" w:bidi="ar_AE"/>
        </w:rPr>
      </w:r>
    </w:p>
    <w:p>
      <w:pPr>
        <w:pStyle w:val="Heading2"/>
        <w:bidi/>
      </w:pPr>
      <w:r>
        <w:rPr>
          <w:b/>
          <w:rtl/>
          <w:cs/>
          <w:lang w:val="ar_AE" w:bidi="ar_AE"/>
        </w:rPr>
        <w:t>ثُمْنِيَّة</w:t>
      </w:r>
    </w:p>
    <w:p>
      <w:pPr>
        <w:bidi/>
      </w:pPr>
      <w:r>
        <w:rPr>
          <w:rtl/>
          <w:cs/>
          <w:lang w:val="ar_AE" w:bidi="ar_AE"/>
        </w:rPr>
      </w:r>
      <w:r>
        <w:rPr>
          <w:rtl/>
          <w:cs/>
          <w:lang w:val="ar_AE" w:bidi="ar_AE"/>
        </w:rPr>
        <w:t xml:space="preserve">انظر </w:t>
      </w:r>
      <w:r>
        <w:rPr>
          <w:rtl/>
          <w:cs/>
          <w:lang w:val="ar_AE" w:bidi="ar_AE"/>
        </w:rPr>
        <w:t>الأوزان والمكاييل (كوينيكس)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ثُمْنِيَّةُ</w:t>
      </w:r>
      <w:r>
        <w:rPr>
          <w:rtl/>
          <w:cs/>
          <w:lang w:val="ar_AE" w:bidi="ar_AE"/>
        </w:rPr>
      </w:r>
    </w:p>
    <w:p>
      <w:pPr>
        <w:pStyle w:val="Heading2"/>
        <w:bidi/>
      </w:pPr>
      <w:r>
        <w:rPr>
          <w:rtl/>
          <w:cs/>
          <w:lang w:val="ar_AE" w:bidi="ar_AE"/>
        </w:rPr>
        <w:t>ثُمْنِيَّةُ</w:t>
      </w:r>
      <w:r>
        <w:rPr>
          <w:rtl/>
          <w:cs/>
          <w:lang w:val="ar_AE" w:bidi="ar_AE"/>
        </w:rPr>
        <w:t>*</w:t>
      </w:r>
    </w:p>
    <w:p>
      <w:pPr>
        <w:bidi/>
      </w:pPr>
      <w:r>
        <w:rPr>
          <w:rtl/>
          <w:cs/>
          <w:lang w:val="ar_AE" w:bidi="ar_AE"/>
        </w:rPr>
      </w:r>
      <w:r>
        <w:rPr>
          <w:rtl/>
          <w:cs/>
          <w:lang w:val="ar_AE" w:bidi="ar_AE"/>
        </w:rPr>
        <w:t>مقياس السلع الجافة يعادل أكثر قليلاً من ربع جالون (لتر واحد) (</w:t>
      </w:r>
      <w:r>
        <w:rPr>
          <w:rtl/>
          <w:cs/>
          <w:lang w:val="ar_AE" w:bidi="ar_AE"/>
        </w:rPr>
        <w:t>رؤيا 6:6</w:t>
      </w:r>
      <w:r>
        <w:rPr>
          <w:rtl/>
          <w:cs/>
          <w:lang w:val="ar_AE" w:bidi="ar_AE"/>
        </w:rPr>
        <w:t xml:space="preserve">). ترجمتا rsv و niv تقولان "ربع جالون".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ثُودَاسُ</w:t>
      </w:r>
      <w:r>
        <w:rPr>
          <w:rtl/>
          <w:cs/>
          <w:lang w:val="ar_AE" w:bidi="ar_AE"/>
        </w:rPr>
      </w:r>
    </w:p>
    <w:p>
      <w:pPr>
        <w:pStyle w:val="Heading2"/>
        <w:bidi/>
      </w:pPr>
      <w:r>
        <w:rPr>
          <w:rtl/>
          <w:cs/>
          <w:lang w:val="ar_AE" w:bidi="ar_AE"/>
        </w:rPr>
        <w:t>ثُودَاسُ</w:t>
      </w:r>
    </w:p>
    <w:p>
      <w:pPr>
        <w:bidi/>
      </w:pPr>
      <w:r>
        <w:rPr>
          <w:rtl/>
          <w:cs/>
          <w:lang w:val="ar_AE" w:bidi="ar_AE"/>
        </w:rPr>
      </w:r>
      <w:r>
        <w:rPr>
          <w:rtl/>
          <w:cs/>
          <w:lang w:val="ar_AE" w:bidi="ar_AE"/>
        </w:rPr>
        <w:t>متمرِّد أشار إليه غمالائيل في خطابه أمام مجمع السنهدرين كمثالٍ على أن المسحاء الكذبة سيسقطون دون تدخُّل من أحدٍ (</w:t>
      </w:r>
      <w:r>
        <w:rPr>
          <w:rtl/>
          <w:cs/>
          <w:lang w:val="ar_AE" w:bidi="ar_AE"/>
        </w:rPr>
        <w:t>أعمال الرسل 5:36</w:t>
      </w:r>
      <w:r>
        <w:rPr>
          <w:rtl/>
          <w:cs/>
          <w:lang w:val="ar_AE" w:bidi="ar_AE"/>
        </w:rPr>
        <w:t>). من الواضح أن ثوداس قاد تمردًا فاشلًا ضد روما قُتل فيه هو و</w:t>
      </w:r>
      <w:r>
        <w:rPr>
          <w:rtl/>
          <w:cs/>
          <w:lang w:val="ar_AE" w:bidi="ar_AE"/>
        </w:rPr>
        <w:t>أَرْبَعِمِئَةٍ</w:t>
      </w:r>
      <w:r>
        <w:rPr>
          <w:rtl/>
          <w:cs/>
          <w:lang w:val="ar_AE" w:bidi="ar_AE"/>
        </w:rPr>
        <w:t xml:space="preserve"> آخرون. تَكمُن معضلة زمنية في حقيقة أن يوسيفوس ذكر تمردًا قاده ثوداس في عهد كلوديوس يرجع تاريخه إلى عام 44م، وهو التاريخ الذي يأتي </w:t>
      </w:r>
      <w:r>
        <w:rPr>
          <w:b/>
          <w:rtl/>
          <w:cs/>
          <w:lang w:val="ar_AE" w:bidi="ar_AE"/>
        </w:rPr>
        <w:t xml:space="preserve">بعد </w:t>
      </w:r>
      <w:r>
        <w:rPr>
          <w:rtl/>
          <w:cs/>
          <w:lang w:val="ar_AE" w:bidi="ar_AE"/>
        </w:rPr>
        <w:t>خطاب غمالائيل بسبع إلى عشر سنوات. وفي حين أشار النقاد إلى هذا التناقض الظاهري كدليلٍ على أن لوقا (أو محرر لاحق) كان مخطئًا، توجد عدة حلول ممكنة أخرى. فربما كان الخطأ يَكمُن في تقرير يوسيفوس وليس لوقا، أو ربما يوجد شخصان مختلفان باسم ثوداس. فخلال السنوات الأخيرة من حكم هيرودس الكبير، وقعت عدة حركات تمرد، ربما أثار ثوداس إحداها. افتُرِض (دون أي دليل مباشر) أن سيمون، عبد هيرودس، ربما يكون قد اتخذ الاسم ثوداس عندما حصل على حريته، وأنه تمرَّد لاحقًا على هيرودس. وبينما تظل هوية ثوداس مجهولة، فإن هذه الحقيقة لا تشكِّك بالضرورة في الدقة التاريخية لرواية لوقا.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ثور</w:t>
      </w:r>
      <w:r>
        <w:rPr>
          <w:rtl/>
          <w:cs/>
          <w:lang w:val="ar_AE" w:bidi="ar_AE"/>
        </w:rPr>
      </w:r>
    </w:p>
    <w:p>
      <w:pPr>
        <w:bidi/>
      </w:pPr>
      <w:r>
        <w:rPr>
          <w:rtl/>
          <w:cs/>
          <w:lang w:val="ar_AE" w:bidi="ar_AE"/>
        </w:rPr>
      </w:r>
      <w:r>
        <w:rPr>
          <w:rtl/>
          <w:cs/>
          <w:lang w:val="ar_AE" w:bidi="ar_AE"/>
        </w:rPr>
        <w:t xml:space="preserve">هو الذكر، البالغ أو الصغير، لأي حيوان بقري، مثل البقر، والماشية. انظر </w:t>
      </w:r>
      <w:r>
        <w:rPr>
          <w:rtl/>
          <w:cs/>
          <w:lang w:val="ar_AE" w:bidi="ar_AE"/>
        </w:rPr>
        <w:t>الحيوانات (الماشية)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ثَوْر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(الماشية)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ثَور بَري</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ثوم</w:t>
      </w:r>
      <w:r>
        <w:rPr>
          <w:rtl/>
          <w:cs/>
          <w:lang w:val="ar_AE" w:bidi="ar_AE"/>
        </w:rPr>
      </w:r>
    </w:p>
    <w:p>
      <w:pPr>
        <w:bidi/>
      </w:pPr>
      <w:r>
        <w:rPr>
          <w:rtl/>
          <w:cs/>
          <w:lang w:val="ar_AE" w:bidi="ar_AE"/>
        </w:rPr>
      </w:r>
      <w:r>
        <w:rPr>
          <w:rtl/>
          <w:cs/>
          <w:lang w:val="ar_AE" w:bidi="ar_AE"/>
        </w:rPr>
        <w:t>عشب منتفخ يُزرع للاستخدام في الطهي (</w:t>
      </w:r>
      <w:r>
        <w:rPr>
          <w:rtl/>
          <w:cs/>
          <w:lang w:val="ar_AE" w:bidi="ar_AE"/>
        </w:rPr>
        <w:t>عدد 11:5</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الطعام وتحضيره</w:t>
      </w:r>
      <w:r>
        <w:rPr>
          <w:rtl/>
          <w:cs/>
          <w:lang w:val="ar_AE" w:bidi="ar_AE"/>
        </w:rPr>
        <w:t xml:space="preserve">؛ </w:t>
      </w:r>
      <w:r>
        <w:rPr>
          <w:rtl/>
          <w:cs/>
          <w:lang w:val="ar_AE" w:bidi="ar_AE"/>
        </w:rPr>
        <w:t>النباتات (البصل)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ثَيَاتِيرَا</w:t>
      </w:r>
      <w:r>
        <w:rPr>
          <w:rtl/>
          <w:cs/>
          <w:lang w:val="ar_AE" w:bidi="ar_AE"/>
        </w:rPr>
      </w:r>
    </w:p>
    <w:p>
      <w:pPr>
        <w:pStyle w:val="Heading2"/>
        <w:bidi/>
      </w:pPr>
      <w:r>
        <w:rPr>
          <w:rtl/>
          <w:cs/>
          <w:lang w:val="ar_AE" w:bidi="ar_AE"/>
        </w:rPr>
        <w:t>ثَيَاتِيرَا</w:t>
      </w:r>
    </w:p>
    <w:p>
      <w:pPr>
        <w:bidi/>
      </w:pPr>
      <w:r>
        <w:rPr>
          <w:rtl/>
          <w:cs/>
          <w:lang w:val="ar_AE" w:bidi="ar_AE"/>
        </w:rPr>
      </w:r>
      <w:r>
        <w:rPr>
          <w:rtl/>
          <w:cs/>
          <w:lang w:val="ar_AE" w:bidi="ar_AE"/>
        </w:rPr>
        <w:t>موقع لإحدى الكنائس السبع المحليّة في سفر الرؤيا. تأسست المدينة على يد مملكة ليديا ثم استولى عليها سلوقس، قائد في صفوف الإسكندر. ثم أصبحت مستوطنة حدودية لحماية مملكته من ليسيماخوس، منافسه في الغرب.</w:t>
      </w:r>
    </w:p>
    <w:p>
      <w:pPr>
        <w:bidi/>
      </w:pPr>
      <w:r>
        <w:rPr>
          <w:rtl/>
          <w:cs/>
          <w:lang w:val="ar_AE" w:bidi="ar_AE"/>
        </w:rPr>
      </w:r>
      <w:r>
        <w:rPr>
          <w:rtl/>
          <w:cs/>
          <w:lang w:val="ar_AE" w:bidi="ar_AE"/>
        </w:rPr>
        <w:t>بعد تأسيس مملكة بيرغاموم (282 ق.م.) أصبحت ثَيَاتِيرَا الحدود الفاصلة بين بيرغاموم والسوريين. كانت المدينة دون دفاعات طبيعية. لم تُشيَّد على تلٍ لذا كانت عُرضة للهجمات المتكررة. كانت قوة المدينة تعتمد بشكل كبير على موقعها الاستراتيجي وأيضًا على خصوبة المنطقة المحيطة بها. كان سكانها من نسل الجنود المقدونيين وحافظوا على الكثير من قدرات أسلافهم القتالية. كانوا مدافعين أقوياء عن المدينة.</w:t>
      </w:r>
    </w:p>
    <w:p>
      <w:pPr>
        <w:bidi/>
      </w:pPr>
      <w:r>
        <w:rPr>
          <w:rtl/>
          <w:cs/>
          <w:lang w:val="ar_AE" w:bidi="ar_AE"/>
        </w:rPr>
      </w:r>
      <w:r>
        <w:rPr>
          <w:rtl/>
          <w:cs/>
          <w:lang w:val="ar_AE" w:bidi="ar_AE"/>
        </w:rPr>
        <w:t>عندما هزمت روما أنطيوخوس عام 189 ق.م. انضمت ثَيَاتِيرَا إلى مملكة بيرغاموم، حليف روما. تبع ذلك السلام والازدهار. في ظل حكم الإمبراطور الروماني كلوديوس (41–54 م.) ارتقت ثَيَاتِيرَا إلى مكانة جديدة وسُمح لها بإصدار عملاتها الخاصة. زار الإمبراطور هادريان هذه المدينة خلال جولته في الشرق الأوسط (134 م.) ما يشير إلى أهمية ثَيَاتِيرَا في القرن الثاني الميلادي.</w:t>
      </w:r>
    </w:p>
    <w:p>
      <w:pPr>
        <w:bidi/>
      </w:pPr>
      <w:r>
        <w:rPr>
          <w:rtl/>
          <w:cs/>
          <w:lang w:val="ar_AE" w:bidi="ar_AE"/>
        </w:rPr>
      </w:r>
      <w:r>
        <w:rPr>
          <w:rtl/>
          <w:cs/>
          <w:lang w:val="ar_AE" w:bidi="ar_AE"/>
        </w:rPr>
        <w:t xml:space="preserve">جذب الازدهار العديد من اليهود إلى هذه المنطقة. كانت المنسوجات والدروع البرونزية من بين الأنشطة التجارية في المدينة. كان صانعو الدروع ينتمون لجماعات حِرفيّة، مثل صائغي الفضة في أفسس. أول امرأة معروفة تقبل المسيح </w:t>
      </w:r>
      <w:r>
        <w:rPr>
          <w:rtl/>
          <w:cs/>
          <w:lang w:val="ar_AE" w:bidi="ar_AE"/>
        </w:rPr>
        <w:t xml:space="preserve">في أوروبا كانت سيدة أعمال </w:t>
      </w:r>
      <w:r>
        <w:rPr>
          <w:rtl/>
          <w:cs/>
          <w:lang w:val="ar_AE" w:bidi="ar_AE"/>
        </w:rPr>
        <w:t>من ثَيَاتِيرَا اسمها</w:t>
      </w:r>
      <w:r>
        <w:rPr>
          <w:b/>
          <w:rtl/>
          <w:cs/>
          <w:lang w:val="ar_AE" w:bidi="ar_AE"/>
        </w:rPr>
        <w:t xml:space="preserve"> </w:t>
      </w:r>
      <w:r>
        <w:rPr>
          <w:rtl/>
          <w:cs/>
          <w:lang w:val="ar_AE" w:bidi="ar_AE"/>
        </w:rPr>
        <w:t>لِيدِيَّة</w:t>
      </w:r>
      <w:r>
        <w:rPr>
          <w:rtl/>
          <w:cs/>
          <w:lang w:val="ar_AE" w:bidi="ar_AE"/>
        </w:rPr>
        <w:t xml:space="preserve"> (</w:t>
      </w:r>
      <w:r>
        <w:rPr>
          <w:rtl/>
          <w:cs/>
          <w:lang w:val="ar_AE" w:bidi="ar_AE"/>
        </w:rPr>
        <w:t>أعمال 16: 14–15، 40</w:t>
      </w:r>
      <w:r>
        <w:rPr>
          <w:rtl/>
          <w:cs/>
          <w:lang w:val="ar_AE" w:bidi="ar_AE"/>
        </w:rPr>
        <w:t>). كانت تبيع الملابس الأرجوانية باهظة الثمن، وكانت تُصدِّرها من ثَيَاتِيرَا إلى مقدونيا. هنا كان الصبغ الأرجواني، المُستخرج من جذر الحناء، يُستخدم لإنتاج أقمشة أرخص بكثير لتنافس الملابس الأكثر تكلفة التي كانت تُصبغ بصبغة الموركس باهظة الثمن من فينيقيا.</w:t>
      </w:r>
    </w:p>
    <w:p>
      <w:pPr>
        <w:bidi/>
      </w:pPr>
      <w:r>
        <w:rPr>
          <w:rtl/>
          <w:cs/>
          <w:lang w:val="ar_AE" w:bidi="ar_AE"/>
        </w:rPr>
      </w:r>
      <w:r>
        <w:rPr>
          <w:rtl/>
          <w:cs/>
          <w:lang w:val="ar_AE" w:bidi="ar_AE"/>
        </w:rPr>
        <w:t xml:space="preserve">في الرسالة إلى الكنيسة في </w:t>
      </w:r>
      <w:r>
        <w:rPr>
          <w:rtl/>
          <w:cs/>
          <w:lang w:val="ar_AE" w:bidi="ar_AE"/>
        </w:rPr>
        <w:t>ثَيَاتِيرَا</w:t>
      </w:r>
      <w:r>
        <w:rPr>
          <w:rtl/>
          <w:cs/>
          <w:lang w:val="ar_AE" w:bidi="ar_AE"/>
        </w:rPr>
        <w:t>، يُمدَح الأعضاء لمحبتهم وإيمانهم وخدمتهم وصبرهم (</w:t>
      </w:r>
      <w:r>
        <w:rPr>
          <w:rtl/>
          <w:cs/>
          <w:lang w:val="ar_AE" w:bidi="ar_AE"/>
        </w:rPr>
        <w:t>رؤيا 2: 19</w:t>
      </w:r>
      <w:r>
        <w:rPr>
          <w:rtl/>
          <w:cs/>
          <w:lang w:val="ar_AE" w:bidi="ar_AE"/>
        </w:rPr>
        <w:t>). لكن لا يزال تأثير الوثنية قائمًا ويظهر هذا في التوبيخ الشديد لأولئك الذين يتهاونون مع البدعة التي كانت تتزعمها "</w:t>
      </w:r>
      <w:r>
        <w:rPr>
          <w:rtl/>
          <w:cs/>
          <w:lang w:val="ar_AE" w:bidi="ar_AE"/>
        </w:rPr>
        <w:t>إِيزَابَل"</w:t>
      </w:r>
      <w:r>
        <w:rPr>
          <w:rtl/>
          <w:cs/>
          <w:lang w:val="ar_AE" w:bidi="ar_AE"/>
        </w:rPr>
        <w:t>. كانت تجربتهم مشابهة لتجربة مؤمني كورنثوس الذين كانوا غير متيقِّنين من أكل ما ذُبح للأوثان (</w:t>
      </w:r>
      <w:r>
        <w:rPr>
          <w:rtl/>
          <w:cs/>
          <w:lang w:val="ar_AE" w:bidi="ar_AE"/>
        </w:rPr>
        <w:t>1 كورنثوس 8: 1–13</w:t>
      </w:r>
      <w:r>
        <w:rPr>
          <w:rtl/>
          <w:cs/>
          <w:lang w:val="ar_AE" w:bidi="ar_AE"/>
        </w:rPr>
        <w:t>). كانت الجماعات التجارية تقيم احتفالات دورية فيها يؤكل الطعام المقدَّم للأوثان. كان يصاحب هذا أحيانًا طقوسًا فاحشة فيها يمتزج الدين بالجنس. أُدينت هذه الكنيسة لمسايرتها لهذه الممارسات الوثنية. كان الفجور شائعًا جدًا بين الوثنيين لدرجة أنَّ الكنيسة الأولى، بموقفها الصارم تجاه العفة، كانت في صراع دائم مع أخلاقيات المجتمع. كانت الخرافات وعبادة الشيطان على ما يبدو إغواءات كبيرة أيضًا. ربما تكون "أعماق الشيطان" (</w:t>
      </w:r>
      <w:r>
        <w:rPr>
          <w:rtl/>
          <w:cs/>
          <w:lang w:val="ar_AE" w:bidi="ar_AE"/>
        </w:rPr>
        <w:t>رؤيا 2: 24</w:t>
      </w:r>
      <w:r>
        <w:rPr>
          <w:rtl/>
          <w:cs/>
          <w:lang w:val="ar_AE" w:bidi="ar_AE"/>
        </w:rPr>
        <w:t>) إشارة إلى إحدى الطوائف الغنوصية التي كانت تركز على "العمق" وتمارس طقوسًا سرية يشارك فيها فقط المبتدئون. كانت الإغراءات قوية جدًا لدرجة أنَّ خير أمل كان في نجاة الباقين - ومن هنا كانت النصيحة "</w:t>
      </w:r>
      <w:r>
        <w:rPr>
          <w:rtl/>
          <w:cs/>
          <w:lang w:val="ar_AE" w:bidi="ar_AE"/>
        </w:rPr>
        <w:t>تَمَسَّكُوا</w:t>
      </w:r>
      <w:r>
        <w:rPr>
          <w:rtl/>
          <w:cs/>
          <w:lang w:val="ar_AE" w:bidi="ar_AE"/>
        </w:rPr>
        <w:t xml:space="preserve"> بما عندكم إلى أن أجيء" (الآية </w:t>
      </w:r>
      <w:r>
        <w:rPr>
          <w:rtl/>
          <w:cs/>
          <w:lang w:val="ar_AE" w:bidi="ar_AE"/>
        </w:rPr>
        <w:t>25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الرؤيا، سفر.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ثيني</w:t>
      </w:r>
      <w:r>
        <w:rPr>
          <w:rtl/>
          <w:cs/>
          <w:lang w:val="ar_AE" w:bidi="ar_AE"/>
        </w:rPr>
      </w:r>
    </w:p>
    <w:p>
      <w:pPr>
        <w:pStyle w:val="Heading2"/>
        <w:bidi/>
      </w:pPr>
      <w:r>
        <w:rPr>
          <w:rtl/>
          <w:cs/>
          <w:lang w:val="ar_AE" w:bidi="ar_AE"/>
        </w:rPr>
        <w:t>ثيني</w:t>
      </w:r>
      <w:r>
        <w:rPr>
          <w:rtl/>
          <w:cs/>
          <w:lang w:val="ar_AE" w:bidi="ar_AE"/>
        </w:rPr>
        <w:t>*</w:t>
      </w:r>
    </w:p>
    <w:p>
      <w:pPr>
        <w:bidi/>
      </w:pPr>
      <w:r>
        <w:rPr>
          <w:rtl/>
          <w:cs/>
          <w:lang w:val="ar_AE" w:bidi="ar_AE"/>
        </w:rPr>
      </w:r>
      <w:r>
        <w:rPr>
          <w:rtl/>
          <w:cs/>
          <w:lang w:val="ar_AE" w:bidi="ar_AE"/>
        </w:rPr>
        <w:t xml:space="preserve">ترجمة لكلمة "عود مُعطر" الواردة في </w:t>
      </w:r>
      <w:r>
        <w:rPr>
          <w:rtl/>
          <w:cs/>
          <w:lang w:val="ar_AE" w:bidi="ar_AE"/>
        </w:rPr>
        <w:t>رؤيا 18:12</w:t>
      </w:r>
      <w:r>
        <w:rPr>
          <w:rtl/>
          <w:cs/>
          <w:lang w:val="ar_AE" w:bidi="ar_AE"/>
        </w:rPr>
        <w:t xml:space="preserve">. </w:t>
      </w:r>
      <w:r>
        <w:rPr>
          <w:rtl/>
          <w:cs/>
          <w:lang w:val="ar_AE" w:bidi="ar_AE"/>
        </w:rPr>
        <w:t>وهو خشب داكن اللون، ذو رائحة طيبة، وكان يُعتبَر من الأخشاب الثمينة التي تُستخدم في صناعة الأثاث الفاخر</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 (شجرة الأترج)</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