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r>
        <w:rPr>
          <w:lang w:val="hi_IN" w:bidi="hi_IN"/>
        </w:rPr>
        <w:t>मत्ती 1:3</w:t>
      </w:r>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r>
        <w:rPr>
          <w:lang w:val="hi_IN" w:bidi="hi_IN"/>
        </w:rPr>
        <w:t>लूका 3:34</w:t>
      </w:r>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r>
        <w:rPr>
          <w:lang w:val="hi_IN" w:bidi="hi_IN"/>
        </w:rPr>
        <w:t>लूका 1:3</w:t>
      </w:r>
      <w:r>
        <w:rPr>
          <w:lang w:val="hi_IN" w:bidi="hi_IN"/>
        </w:rPr>
        <w:t xml:space="preserve">; </w:t>
      </w:r>
      <w:r>
        <w:rPr>
          <w:lang w:val="hi_IN" w:bidi="hi_IN"/>
        </w:rPr>
        <w:t>प्रेरि 1:1</w:t>
      </w:r>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r>
        <w:rPr>
          <w:lang w:val="hi_IN" w:bidi="hi_IN"/>
        </w:rPr>
        <w:t>प्रेरि 23:26</w:t>
      </w:r>
      <w:r>
        <w:rPr>
          <w:lang w:val="hi_IN" w:bidi="hi_IN"/>
        </w:rPr>
        <w:t xml:space="preserve">; </w:t>
      </w:r>
      <w:r>
        <w:rPr>
          <w:lang w:val="hi_IN" w:bidi="hi_IN"/>
        </w:rPr>
        <w:t>24:2–3</w:t>
      </w:r>
      <w:r>
        <w:rPr>
          <w:lang w:val="hi_IN" w:bidi="hi_IN"/>
        </w:rPr>
        <w:t xml:space="preserve">; </w:t>
      </w:r>
      <w:r>
        <w:rPr>
          <w:lang w:val="hi_IN" w:bidi="hi_IN"/>
        </w:rPr>
        <w:t>26:25</w:t>
      </w:r>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r>
        <w:rPr>
          <w:lang w:val="hi_IN" w:bidi="hi_IN"/>
        </w:rPr>
        <w:t>प्रेरि 5:36</w:t>
      </w:r>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r>
        <w:rPr>
          <w:lang w:val="hi_IN" w:bidi="hi_IN"/>
        </w:rPr>
        <w:t>1 थिस्स 2:18</w:t>
      </w:r>
      <w:r>
        <w:rPr>
          <w:lang w:val="hi_IN" w:bidi="hi_IN"/>
        </w:rPr>
        <w:t xml:space="preserve">) और अन्य स्थानों पर एकवचन सर्वनाम (देखें </w:t>
      </w:r>
      <w:r>
        <w:rPr>
          <w:lang w:val="hi_IN" w:bidi="hi_IN"/>
        </w:rPr>
        <w:t>3:5</w:t>
      </w:r>
      <w:r>
        <w:rPr>
          <w:lang w:val="hi_IN" w:bidi="hi_IN"/>
        </w:rPr>
        <w:t xml:space="preserve">; </w:t>
      </w:r>
      <w:r>
        <w:rPr>
          <w:lang w:val="hi_IN" w:bidi="hi_IN"/>
        </w:rPr>
        <w:t>5:27</w:t>
      </w:r>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r>
        <w:rPr>
          <w:lang w:val="hi_IN" w:bidi="hi_IN"/>
        </w:rPr>
        <w:t>1:1</w:t>
      </w:r>
      <w:r>
        <w:rPr>
          <w:lang w:val="hi_IN" w:bidi="hi_IN"/>
        </w:rPr>
        <w:t xml:space="preserve">)। </w:t>
      </w:r>
      <w:r>
        <w:rPr>
          <w:lang w:val="hi_IN" w:bidi="hi_IN"/>
        </w:rPr>
        <w:t>प्रेरितों के काम 17:1–9</w:t>
      </w:r>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r>
        <w:rPr>
          <w:lang w:val="hi_IN" w:bidi="hi_IN"/>
        </w:rPr>
        <w:t>1 थिस्स 2:9</w:t>
      </w:r>
      <w:r>
        <w:rPr>
          <w:lang w:val="hi_IN" w:bidi="hi_IN"/>
        </w:rPr>
        <w:t xml:space="preserve">)। उनके बीच उनके कार्यों और व्यवहारों के संदर्भों से लंबे समय का संकेत मिलता है, और </w:t>
      </w:r>
      <w:r>
        <w:rPr>
          <w:lang w:val="hi_IN" w:bidi="hi_IN"/>
        </w:rPr>
        <w:t>फिलिप्पियों 4:16</w:t>
      </w:r>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r>
        <w:rPr>
          <w:lang w:val="hi_IN" w:bidi="hi_IN"/>
        </w:rPr>
        <w:t>प्रेरि 17:10–15</w:t>
      </w:r>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r>
        <w:rPr>
          <w:lang w:val="hi_IN" w:bidi="hi_IN"/>
        </w:rPr>
        <w:t>प्रेरितों के काम 18:5</w:t>
      </w:r>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r>
        <w:rPr>
          <w:lang w:val="hi_IN" w:bidi="hi_IN"/>
        </w:rPr>
        <w:t>4:9</w:t>
      </w:r>
      <w:r>
        <w:rPr>
          <w:lang w:val="hi_IN" w:bidi="hi_IN"/>
        </w:rPr>
        <w:t>; “</w:t>
      </w:r>
      <w:r>
        <w:rPr>
          <w:lang w:val="hi_IN" w:bidi="hi_IN"/>
        </w:rPr>
        <w:t>उनके विषय में जो सोते हैं</w:t>
      </w:r>
      <w:r>
        <w:rPr>
          <w:lang w:val="hi_IN" w:bidi="hi_IN"/>
        </w:rPr>
        <w:t xml:space="preserve">,” </w:t>
      </w:r>
      <w:r>
        <w:rPr>
          <w:lang w:val="hi_IN" w:bidi="hi_IN"/>
        </w:rPr>
        <w:t>4:13</w:t>
      </w:r>
      <w:r>
        <w:rPr>
          <w:lang w:val="hi_IN" w:bidi="hi_IN"/>
        </w:rPr>
        <w:t>; “</w:t>
      </w:r>
      <w:r>
        <w:rPr>
          <w:lang w:val="hi_IN" w:bidi="hi_IN"/>
        </w:rPr>
        <w:t>समयों और कालों के विषय में</w:t>
      </w:r>
      <w:r>
        <w:rPr>
          <w:lang w:val="hi_IN" w:bidi="hi_IN"/>
        </w:rPr>
        <w:t xml:space="preserve">,” </w:t>
      </w:r>
      <w:r>
        <w:rPr>
          <w:lang w:val="hi_IN" w:bidi="hi_IN"/>
        </w:rPr>
        <w:t>5:1</w:t>
      </w:r>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r>
        <w:rPr>
          <w:lang w:val="hi_IN" w:bidi="hi_IN"/>
        </w:rPr>
        <w:t>1:7–10</w:t>
      </w:r>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r>
        <w:rPr>
          <w:lang w:val="hi_IN" w:bidi="hi_IN"/>
        </w:rPr>
        <w:t>2:13–16</w:t>
      </w:r>
      <w:r>
        <w:rPr>
          <w:lang w:val="hi_IN" w:bidi="hi_IN"/>
        </w:rPr>
        <w:t>)। वे उनके लिए चिंतित थे लेकिन उनकी दृढ़ता की खबर से वे प्रसन्न हुए (</w:t>
      </w:r>
      <w:r>
        <w:rPr>
          <w:lang w:val="hi_IN" w:bidi="hi_IN"/>
        </w:rPr>
        <w:t>3:1–10</w:t>
      </w:r>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r>
        <w:rPr>
          <w:lang w:val="hi_IN" w:bidi="hi_IN"/>
        </w:rPr>
        <w:t>प्रेरि 17:5</w:t>
      </w:r>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r>
        <w:rPr>
          <w:lang w:val="hi_IN" w:bidi="hi_IN"/>
        </w:rPr>
        <w:t>1 थिस्स 2:1–12</w:t>
      </w:r>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r>
        <w:rPr>
          <w:lang w:val="hi_IN" w:bidi="hi_IN"/>
        </w:rPr>
        <w:t>17–18</w:t>
      </w:r>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r>
        <w:rPr>
          <w:lang w:val="hi_IN" w:bidi="hi_IN"/>
        </w:rPr>
        <w:t>4:1–8</w:t>
      </w:r>
      <w:r>
        <w:rPr>
          <w:lang w:val="hi_IN" w:bidi="hi_IN"/>
        </w:rPr>
        <w:t>)। उनके जीवन शैली और मसीही संगति के भीतर उनके रिश्तों से संबंधित अन्य मुद्दों पर भी ध्यान देने की आवश्यकता थी (</w:t>
      </w:r>
      <w:r>
        <w:rPr>
          <w:lang w:val="hi_IN" w:bidi="hi_IN"/>
        </w:rPr>
        <w:t>4:9–12</w:t>
      </w:r>
      <w:r>
        <w:rPr>
          <w:lang w:val="hi_IN" w:bidi="hi_IN"/>
        </w:rPr>
        <w:t xml:space="preserve">; </w:t>
      </w:r>
      <w:r>
        <w:rPr>
          <w:lang w:val="hi_IN" w:bidi="hi_IN"/>
        </w:rPr>
        <w:t>5:12–22</w:t>
      </w:r>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r>
        <w:rPr>
          <w:lang w:val="hi_IN" w:bidi="hi_IN"/>
        </w:rPr>
        <w:t>4:13–18</w:t>
      </w:r>
      <w:r>
        <w:rPr>
          <w:lang w:val="hi_IN" w:bidi="hi_IN"/>
        </w:rPr>
        <w:t>)। भविष्य की आशा के संबंध में, "समयों और कालों के" प्रश्न भी थे, जिसके कारण पौलुस ने वही शिक्षा दोहराई जो उन्होंने उनके बीच रहते हुए दी थी (</w:t>
      </w:r>
      <w:r>
        <w:rPr>
          <w:lang w:val="hi_IN" w:bidi="hi_IN"/>
        </w:rPr>
        <w:t>5:1–11</w:t>
      </w:r>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r>
        <w:rPr>
          <w:lang w:val="hi_IN" w:bidi="hi_IN"/>
        </w:rPr>
        <w:t>5:27</w:t>
      </w:r>
      <w:r>
        <w:rPr>
          <w:lang w:val="hi_IN" w:bidi="hi_IN"/>
        </w:rPr>
        <w:t xml:space="preserve">), उन्हें किसी भी आत्मिक वरदान को तुच्छ न समझने के लिए प्रेरित करते हैं (पद </w:t>
      </w:r>
      <w:r>
        <w:rPr>
          <w:lang w:val="hi_IN" w:bidi="hi_IN"/>
        </w:rPr>
        <w:t>19–21</w:t>
      </w:r>
      <w:r>
        <w:rPr>
          <w:lang w:val="hi_IN" w:bidi="hi_IN"/>
        </w:rPr>
        <w:t xml:space="preserve">), तथा अपने अगुवों का आदर करने में असफल न होने के लिए भी प्रेरित करते हैं (पद </w:t>
      </w:r>
      <w:r>
        <w:rPr>
          <w:lang w:val="hi_IN" w:bidi="hi_IN"/>
        </w:rPr>
        <w:t>12</w:t>
      </w:r>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r>
        <w:rPr>
          <w:lang w:val="hi_IN" w:bidi="hi_IN"/>
        </w:rPr>
        <w:t>1:2–10</w:t>
      </w:r>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r>
        <w:rPr>
          <w:lang w:val="hi_IN" w:bidi="hi_IN"/>
        </w:rPr>
        <w:t>2:1–12</w:t>
      </w:r>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r>
        <w:rPr>
          <w:lang w:val="hi_IN" w:bidi="hi_IN"/>
        </w:rPr>
        <w:t>2:13–16</w:t>
      </w:r>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r>
        <w:rPr>
          <w:lang w:val="hi_IN" w:bidi="hi_IN"/>
        </w:rPr>
        <w:t>2:17–20</w:t>
      </w:r>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r>
        <w:rPr>
          <w:lang w:val="hi_IN" w:bidi="hi_IN"/>
        </w:rPr>
        <w:t>प्रेरि 17:9</w:t>
      </w:r>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r>
        <w:rPr>
          <w:lang w:val="hi_IN" w:bidi="hi_IN"/>
        </w:rPr>
        <w:t>3:1–5</w:t>
      </w:r>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r>
        <w:rPr>
          <w:lang w:val="hi_IN" w:bidi="hi_IN"/>
        </w:rPr>
        <w:t>प्रेरि 17:16–34</w:t>
      </w:r>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r>
        <w:rPr>
          <w:lang w:val="hi_IN" w:bidi="hi_IN"/>
        </w:rPr>
        <w:t>3:6–10</w:t>
      </w:r>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r>
        <w:rPr>
          <w:lang w:val="hi_IN" w:bidi="hi_IN"/>
        </w:rPr>
        <w:t>3:11–13</w:t>
      </w:r>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r>
        <w:rPr>
          <w:lang w:val="hi_IN" w:bidi="hi_IN"/>
        </w:rPr>
        <w:t>3:13</w:t>
      </w:r>
      <w:r>
        <w:rPr>
          <w:lang w:val="hi_IN" w:bidi="hi_IN"/>
        </w:rPr>
        <w:t>)।</w:t>
      </w:r>
    </w:p>
    <w:p>
      <w:pPr>
        <w:pStyle w:val="Heading4"/>
      </w:pPr>
      <w:r>
        <w:rPr>
          <w:lang w:val="hi_IN" w:bidi="hi_IN"/>
        </w:rPr>
        <w:t>जीवन की पवित्रता के लिए प्रबोधन (</w:t>
      </w:r>
      <w:r>
        <w:rPr>
          <w:lang w:val="hi_IN" w:bidi="hi_IN"/>
        </w:rPr>
        <w:t>4:1–8</w:t>
      </w:r>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r>
        <w:rPr>
          <w:lang w:val="hi_IN" w:bidi="hi_IN"/>
        </w:rPr>
        <w:t>4:9–12</w:t>
      </w:r>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r>
        <w:rPr>
          <w:lang w:val="hi_IN" w:bidi="hi_IN"/>
        </w:rPr>
        <w:t>4:13–18</w:t>
      </w:r>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r>
        <w:rPr>
          <w:lang w:val="hi_IN" w:bidi="hi_IN"/>
        </w:rPr>
        <w:t>5:1–11</w:t>
      </w:r>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r>
        <w:rPr>
          <w:lang w:val="hi_IN" w:bidi="hi_IN"/>
        </w:rPr>
        <w:t>5:12–22</w:t>
      </w:r>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r>
        <w:rPr>
          <w:lang w:val="hi_IN" w:bidi="hi_IN"/>
        </w:rPr>
        <w:t>5:23–28</w:t>
      </w:r>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r>
        <w:rPr>
          <w:lang w:val="hi_IN" w:bidi="hi_IN"/>
        </w:rPr>
        <w:t xml:space="preserve">2 </w:t>
      </w:r>
      <w:r>
        <w:rPr>
          <w:lang w:val="hi_IN" w:bidi="hi_IN"/>
        </w:rPr>
        <w:t xml:space="preserve">थिस्स </w:t>
      </w:r>
      <w:r>
        <w:rPr>
          <w:lang w:val="hi_IN" w:bidi="hi_IN"/>
        </w:rPr>
        <w:t>2:5</w:t>
      </w:r>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r>
        <w:rPr>
          <w:lang w:val="hi_IN" w:bidi="hi_IN"/>
        </w:rPr>
        <w:t>3:17</w:t>
      </w:r>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r>
        <w:rPr>
          <w:lang w:val="hi_IN" w:bidi="hi_IN"/>
        </w:rPr>
        <w:t>2 थिस्सलुनीकियों 3:17</w:t>
      </w:r>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r>
        <w:rPr>
          <w:lang w:val="hi_IN" w:bidi="hi_IN"/>
        </w:rPr>
        <w:t>2:15</w:t>
      </w:r>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r>
        <w:rPr>
          <w:lang w:val="hi_IN" w:bidi="hi_IN"/>
        </w:rPr>
        <w:t>1 कुरि 1–3</w:t>
      </w:r>
      <w:r>
        <w:rPr>
          <w:lang w:val="hi_IN" w:bidi="hi_IN"/>
        </w:rPr>
        <w:t xml:space="preserve">) और विशेष रूप से यहूदी और अन्यजाति मसीही लोगों की एकता के लिए (देखें </w:t>
      </w:r>
      <w:r>
        <w:rPr>
          <w:lang w:val="hi_IN" w:bidi="hi_IN"/>
        </w:rPr>
        <w:t>इफि 2:11–22</w:t>
      </w:r>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r>
        <w:rPr>
          <w:lang w:val="hi_IN" w:bidi="hi_IN"/>
        </w:rPr>
        <w:t xml:space="preserve">2 </w:t>
      </w:r>
      <w:r>
        <w:rPr>
          <w:lang w:val="hi_IN" w:bidi="hi_IN"/>
        </w:rPr>
        <w:t>थिस्स</w:t>
      </w:r>
      <w:r>
        <w:rPr>
          <w:lang w:val="hi_IN" w:bidi="hi_IN"/>
        </w:rPr>
        <w:t xml:space="preserve"> 1:1</w:t>
      </w:r>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r>
        <w:rPr>
          <w:lang w:val="hi_IN" w:bidi="hi_IN"/>
        </w:rPr>
        <w:t>2:15</w:t>
      </w:r>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r>
        <w:rPr>
          <w:lang w:val="hi_IN" w:bidi="hi_IN"/>
        </w:rPr>
        <w:t>1:3</w:t>
      </w:r>
      <w:r>
        <w:rPr>
          <w:lang w:val="hi_IN" w:bidi="hi_IN"/>
        </w:rPr>
        <w:t xml:space="preserve">; </w:t>
      </w:r>
      <w:r>
        <w:rPr>
          <w:lang w:val="hi_IN" w:bidi="hi_IN"/>
        </w:rPr>
        <w:t>2:13</w:t>
      </w:r>
      <w:r>
        <w:rPr>
          <w:lang w:val="hi_IN" w:bidi="hi_IN"/>
        </w:rPr>
        <w:t>), जो उनके विश्वास, प्रेम और सताव के सामने दृढ़ता से स्पष्ट था (</w:t>
      </w:r>
      <w:r>
        <w:rPr>
          <w:lang w:val="hi_IN" w:bidi="hi_IN"/>
        </w:rPr>
        <w:t>1:4</w:t>
      </w:r>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r>
        <w:rPr>
          <w:lang w:val="hi_IN" w:bidi="hi_IN"/>
        </w:rPr>
        <w:t>5–12</w:t>
      </w:r>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r>
        <w:rPr>
          <w:lang w:val="hi_IN" w:bidi="hi_IN"/>
        </w:rPr>
        <w:t>2:2</w:t>
      </w:r>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r>
        <w:rPr>
          <w:lang w:val="hi_IN" w:bidi="hi_IN"/>
        </w:rPr>
        <w:t>1–12</w:t>
      </w:r>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r>
        <w:rPr>
          <w:lang w:val="hi_IN" w:bidi="hi_IN"/>
        </w:rPr>
        <w:t>मत्ती 24:5, 23–26</w:t>
      </w:r>
      <w:r>
        <w:rPr>
          <w:lang w:val="hi_IN" w:bidi="hi_IN"/>
        </w:rPr>
        <w:t xml:space="preserve">; </w:t>
      </w:r>
      <w:r>
        <w:rPr>
          <w:lang w:val="hi_IN" w:bidi="hi_IN"/>
        </w:rPr>
        <w:t>मर 13:5–6, 20–23</w:t>
      </w:r>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r>
        <w:rPr>
          <w:lang w:val="hi_IN" w:bidi="hi_IN"/>
        </w:rPr>
        <w:t>मत्ती 24</w:t>
      </w:r>
      <w:r>
        <w:rPr>
          <w:lang w:val="hi_IN" w:bidi="hi_IN"/>
        </w:rPr>
        <w:t xml:space="preserve">; </w:t>
      </w:r>
      <w:r>
        <w:rPr>
          <w:lang w:val="hi_IN" w:bidi="hi_IN"/>
        </w:rPr>
        <w:t>मर 13</w:t>
      </w:r>
      <w:r>
        <w:rPr>
          <w:lang w:val="hi_IN" w:bidi="hi_IN"/>
        </w:rPr>
        <w:t xml:space="preserve">; </w:t>
      </w:r>
      <w:r>
        <w:rPr>
          <w:lang w:val="hi_IN" w:bidi="hi_IN"/>
        </w:rPr>
        <w:t>लूका 21</w:t>
      </w:r>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r>
        <w:rPr>
          <w:lang w:val="hi_IN" w:bidi="hi_IN"/>
        </w:rPr>
        <w:t xml:space="preserve">1 </w:t>
      </w:r>
      <w:r>
        <w:rPr>
          <w:lang w:val="hi_IN" w:bidi="hi_IN"/>
        </w:rPr>
        <w:t>थिस्स</w:t>
      </w:r>
      <w:r>
        <w:rPr>
          <w:lang w:val="hi_IN" w:bidi="hi_IN"/>
        </w:rPr>
        <w:t xml:space="preserve"> 4:11</w:t>
      </w:r>
      <w:r>
        <w:rPr>
          <w:lang w:val="hi_IN" w:bidi="hi_IN"/>
        </w:rPr>
        <w:t xml:space="preserve">; </w:t>
      </w:r>
      <w:r>
        <w:rPr>
          <w:lang w:val="hi_IN" w:bidi="hi_IN"/>
        </w:rPr>
        <w:t>5:14</w:t>
      </w:r>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r>
        <w:rPr>
          <w:lang w:val="hi_IN" w:bidi="hi_IN"/>
        </w:rPr>
        <w:t>2 थिस्स 3:10</w:t>
      </w:r>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r>
        <w:rPr>
          <w:lang w:val="hi_IN" w:bidi="hi_IN"/>
        </w:rPr>
        <w:t>1:3–4</w:t>
      </w:r>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r>
        <w:rPr>
          <w:lang w:val="hi_IN" w:bidi="hi_IN"/>
        </w:rPr>
        <w:t>1:5–10</w:t>
      </w:r>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r>
        <w:rPr>
          <w:lang w:val="hi_IN" w:bidi="hi_IN"/>
        </w:rPr>
        <w:t>1:11–12</w:t>
      </w:r>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r>
        <w:rPr>
          <w:lang w:val="hi_IN" w:bidi="hi_IN"/>
        </w:rPr>
        <w:t>2:1–12</w:t>
      </w:r>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r>
        <w:rPr>
          <w:lang w:val="hi_IN" w:bidi="hi_IN"/>
        </w:rPr>
        <w:t>1 यूह 2:18</w:t>
      </w:r>
      <w:r>
        <w:rPr>
          <w:lang w:val="hi_IN" w:bidi="hi_IN"/>
        </w:rPr>
        <w:t xml:space="preserve">; </w:t>
      </w:r>
      <w:r>
        <w:rPr>
          <w:lang w:val="hi_IN" w:bidi="hi_IN"/>
        </w:rPr>
        <w:t>4:3</w:t>
      </w:r>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r>
        <w:rPr>
          <w:lang w:val="hi_IN" w:bidi="hi_IN"/>
        </w:rPr>
        <w:t>2 थिस 2:3</w:t>
      </w:r>
      <w:r>
        <w:rPr>
          <w:lang w:val="hi_IN" w:bidi="hi_IN"/>
        </w:rPr>
        <w:t>)।</w:t>
      </w:r>
    </w:p>
    <w:p>
      <w:pPr/>
      <w:r>
        <w:rPr>
          <w:lang w:val="hi_IN" w:bidi="hi_IN"/>
        </w:rPr>
      </w:r>
      <w:r>
        <w:rPr>
          <w:lang w:val="hi_IN" w:bidi="hi_IN"/>
        </w:rPr>
        <w:t xml:space="preserve">वर्तमान समय में, अधर्मी का रहस्य रोका हुआ है (वचन </w:t>
      </w:r>
      <w:r>
        <w:rPr>
          <w:lang w:val="hi_IN" w:bidi="hi_IN"/>
        </w:rPr>
        <w:t>6–7</w:t>
      </w:r>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r>
        <w:rPr>
          <w:lang w:val="hi_IN" w:bidi="hi_IN"/>
        </w:rPr>
        <w:t>9</w:t>
      </w:r>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r>
        <w:rPr>
          <w:lang w:val="hi_IN" w:bidi="hi_IN"/>
        </w:rPr>
        <w:t>2:13–3:5</w:t>
      </w:r>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r>
        <w:rPr>
          <w:lang w:val="hi_IN" w:bidi="hi_IN"/>
        </w:rPr>
        <w:t>3:6–15</w:t>
      </w:r>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r>
        <w:rPr>
          <w:lang w:val="hi_IN" w:bidi="hi_IN"/>
        </w:rPr>
        <w:t>12–13</w:t>
      </w:r>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r>
        <w:rPr>
          <w:lang w:val="hi_IN" w:bidi="hi_IN"/>
        </w:rPr>
        <w:t>3:16–18</w:t>
      </w:r>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r>
        <w:rPr>
          <w:lang w:val="hi_IN" w:bidi="hi_IN"/>
        </w:rPr>
        <w:t>17</w:t>
      </w:r>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r>
        <w:rPr>
          <w:lang w:val="hi_IN" w:bidi="hi_IN"/>
        </w:rPr>
        <w:t>1 कुर 16:21</w:t>
      </w:r>
      <w:r>
        <w:rPr>
          <w:lang w:val="hi_IN" w:bidi="hi_IN"/>
        </w:rPr>
        <w:t xml:space="preserve">; </w:t>
      </w:r>
      <w:r>
        <w:rPr>
          <w:lang w:val="hi_IN" w:bidi="hi_IN"/>
        </w:rPr>
        <w:t>कुल 4:18</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r>
        <w:rPr>
          <w:lang w:val="hi_IN" w:bidi="hi_IN"/>
        </w:rPr>
        <w:t>प्रेरितों के काम 17:6–8</w:t>
      </w:r>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r>
        <w:rPr>
          <w:lang w:val="hi_IN" w:bidi="hi_IN"/>
        </w:rPr>
        <w:t>प्रेरि 17:1–4</w:t>
      </w:r>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r>
        <w:rPr>
          <w:lang w:val="hi_IN" w:bidi="hi_IN"/>
        </w:rPr>
        <w:t>4</w:t>
      </w:r>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r>
        <w:rPr>
          <w:lang w:val="hi_IN" w:bidi="hi_IN"/>
        </w:rPr>
        <w:t>प्रेरि 17:5–10</w:t>
      </w:r>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r>
        <w:rPr>
          <w:lang w:val="hi_IN" w:bidi="hi_IN"/>
        </w:rPr>
        <w:t>13</w:t>
      </w:r>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r>
        <w:rPr>
          <w:lang w:val="hi_IN" w:bidi="hi_IN"/>
        </w:rPr>
        <w:t>प्रेरि 16:14–15, 40</w:t>
      </w:r>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r>
        <w:rPr>
          <w:lang w:val="hi_IN" w:bidi="hi_IN"/>
        </w:rPr>
        <w:t>प्रका 2:19</w:t>
      </w:r>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r>
        <w:rPr>
          <w:lang w:val="hi_IN" w:bidi="hi_IN"/>
        </w:rPr>
        <w:t>1 कुरि 8:1–13</w:t>
      </w:r>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r>
        <w:rPr>
          <w:lang w:val="hi_IN" w:bidi="hi_IN"/>
        </w:rPr>
        <w:t>प्रका 2:24</w:t>
      </w:r>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r>
        <w:rPr>
          <w:lang w:val="hi_IN" w:bidi="hi_IN"/>
        </w:rPr>
        <w:t>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इस शहर को 'नो' या 'नो-अमोन' कहा गया है। 'नो' नाम एक मिस्री शब्द का इब्रानी रूप है, जिसका अर्थ है 'शहर'। मिस्र के लोग इस शहर को 'वासेट' कहते थे, जबकि यूनानी इसे 'थेब्स' कहते थे। 'नो-अमोन' का अर्थ है 'आमोन का शहर'। ” थेब्स केवल पुराने नियम के भविष्यवाणी की पुस्त्रकों में और केवल न्याय के संदर्भ में दिखाई देता है (</w:t>
      </w:r>
      <w:r>
        <w:rPr>
          <w:lang w:val="hi_IN" w:bidi="hi_IN"/>
        </w:rPr>
        <w:t>यिर्म 46:25</w:t>
      </w:r>
      <w:r>
        <w:rPr>
          <w:lang w:val="hi_IN" w:bidi="hi_IN"/>
        </w:rPr>
        <w:t xml:space="preserve">; </w:t>
      </w:r>
      <w:r>
        <w:rPr>
          <w:lang w:val="hi_IN" w:bidi="hi_IN"/>
        </w:rPr>
        <w:t>यहेज 30:14–16</w:t>
      </w:r>
      <w:r>
        <w:rPr>
          <w:lang w:val="hi_IN" w:bidi="hi_IN"/>
        </w:rPr>
        <w:t xml:space="preserve">; </w:t>
      </w:r>
      <w:r>
        <w:rPr>
          <w:lang w:val="hi_IN" w:bidi="hi_IN"/>
        </w:rPr>
        <w:t>नह 3:8</w:t>
      </w:r>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