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W</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Wadi</w:t>
      </w:r>
      <w:r>
        <w:rPr>
          <w:lang w:val="es_ES" w:bidi="es_ES"/>
        </w:rPr>
      </w:r>
    </w:p>
    <w:p>
      <w:pPr/>
      <w:r>
        <w:rPr>
          <w:lang w:val="es_ES" w:bidi="es_ES"/>
        </w:rPr>
      </w:r>
      <w:r>
        <w:rPr>
          <w:lang w:val="es_ES" w:bidi="es_ES"/>
        </w:rPr>
        <w:t>Un wadi es un arroyo o río que fluye solo durante ciertas épocas del año en las regiones áridas y semiáridas del Oriente Medio. Estos lechos suelen estar secos, pero pueden llenarse de agua corriente en primavera, cuando se derrite la nieve o después de fuertes lluvias.</w:t>
      </w:r>
    </w:p>
    <w:p>
      <w:pPr/>
      <w:r>
        <w:rPr>
          <w:lang w:val="es_ES" w:bidi="es_ES"/>
        </w:rPr>
      </w:r>
      <w:r>
        <w:rPr>
          <w:lang w:val="es_ES" w:bidi="es_ES"/>
        </w:rPr>
        <w:t>El wadi más importante mencionado en la Biblia fue el Wadi de Egipto (también llamado el “Valle de Egipto” en las versiones modernas de la Biblia). Este wadi marcaba la frontera suroeste de Canaán según las instrucciones que Dios dio a Moisés (</w:t>
      </w:r>
      <w:r>
        <w:rPr>
          <w:lang w:val="es_ES" w:bidi="es_ES"/>
        </w:rPr>
        <w:t>Nm 34:5</w:t>
      </w:r>
      <w:r>
        <w:rPr>
          <w:lang w:val="es_ES" w:bidi="es_ES"/>
        </w:rPr>
        <w:t xml:space="preserve">; </w:t>
      </w:r>
      <w:r>
        <w:rPr>
          <w:lang w:val="es_ES" w:bidi="es_ES"/>
        </w:rPr>
        <w:t>Jos 15:4,47</w:t>
      </w:r>
      <w:r>
        <w:rPr>
          <w:lang w:val="es_ES" w:bidi="es_ES"/>
        </w:rPr>
        <w:t xml:space="preserve">; </w:t>
      </w:r>
      <w:r>
        <w:rPr>
          <w:lang w:val="es_ES" w:bidi="es_ES"/>
        </w:rPr>
        <w:t>1 Re 8:65</w:t>
      </w:r>
      <w:r>
        <w:rPr>
          <w:lang w:val="es_ES" w:bidi="es_ES"/>
        </w:rPr>
        <w:t xml:space="preserve">; </w:t>
      </w:r>
      <w:r>
        <w:rPr>
          <w:lang w:val="es_ES" w:bidi="es_ES"/>
        </w:rPr>
        <w:t>Is 27:12</w:t>
      </w:r>
      <w:r>
        <w:rPr>
          <w:lang w:val="es_ES" w:bidi="es_ES"/>
        </w:rPr>
        <w:t>). Durante las temporadas secas, cuando no había agua fluyendo, los wadis eran útiles como caminos para viajar.</w:t>
      </w:r>
      <w:r>
        <w:rPr>
          <w:lang w:val="es_ES" w:bidi="es_ES"/>
        </w:rPr>
      </w:r>
      <w:r>
        <w:rPr>
          <w:lang w:val="es_ES" w:bidi="es_ES"/>
        </w:rPr>
      </w:r>
    </w:p>
    <w:p>
      <w:pPr/>
      <w:r>
        <w:rPr>
          <w:lang w:val="es_ES" w:bidi="es_ES"/>
        </w:rPr>
      </w:r>
    </w:p>
    <w:p>
      <w:pPr>
        <w:pStyle w:val="Heading2"/>
      </w:pPr>
      <w:r>
        <w:rPr>
          <w:lang w:val="es_ES" w:bidi="es_ES"/>
        </w:rPr>
        <w:t>Without</w:t>
      </w:r>
      <w:r>
        <w:rPr>
          <w:lang w:val="es_ES" w:bidi="es_ES"/>
        </w:rPr>
      </w:r>
    </w:p>
    <w:p>
      <w:pPr/>
      <w:r>
        <w:rPr>
          <w:lang w:val="es_ES" w:bidi="es_ES"/>
        </w:rPr>
      </w:r>
      <w:r>
        <w:rPr>
          <w:lang w:val="es_ES" w:bidi="es_ES"/>
        </w:rPr>
        <w:t>La maldad no solo va en contra de la humanidad, la sociedad, los demás o uno mismo, sino también en contra de Dios. El concepto de Dios, por lo tanto, otorga a la idea de pecado su significado multifacético. Otros dioses, concebidos como caprichosos y sin carácter, ejercían un poder ilimitado con un comportamiento desenfrenado; no generaron tal sentido del pecado como lo hizo el único Dios de Israel, santo, justo y completamente bueno. Esta concepción religiosa del mal, junto con la terminología que creó, persiste en el Nuevo Testamento.</w:t>
      </w:r>
    </w:p>
    <w:p>
      <w:pPr>
        <w:pStyle w:val="Heading3"/>
      </w:pPr>
      <w:r>
        <w:rPr>
          <w:lang w:val="es_ES" w:bidi="es_ES"/>
        </w:rPr>
        <w:t>Terminología</w:t>
      </w:r>
    </w:p>
    <w:p>
      <w:pPr/>
      <w:r>
        <w:rPr>
          <w:lang w:val="es_ES" w:bidi="es_ES"/>
        </w:rPr>
      </w:r>
      <w:r>
        <w:rPr>
          <w:lang w:val="es_ES" w:bidi="es_ES"/>
        </w:rPr>
        <w:t xml:space="preserve">El Dios de Israel establece el ideal, el estándar para el comportamiento humano. Las palabras bíblicas más comunes para el pecado se refieren a violar ese estándar de alguna manera. La palabra hebrea </w:t>
      </w:r>
      <w:r>
        <w:rPr>
          <w:i/>
          <w:lang w:val="es_ES" w:bidi="es_ES"/>
        </w:rPr>
        <w:t>hata’</w:t>
      </w:r>
      <w:r>
        <w:rPr>
          <w:lang w:val="es_ES" w:bidi="es_ES"/>
        </w:rPr>
        <w:t xml:space="preserve"> y la griega </w:t>
      </w:r>
      <w:r>
        <w:rPr>
          <w:i/>
          <w:lang w:val="es_ES" w:bidi="es_ES"/>
        </w:rPr>
        <w:t>hamartia</w:t>
      </w:r>
      <w:r>
        <w:rPr>
          <w:lang w:val="es_ES" w:bidi="es_ES"/>
        </w:rPr>
        <w:t xml:space="preserve"> originalmente significaban “errar el blanco, fallar en el deber” (</w:t>
      </w:r>
      <w:r>
        <w:rPr>
          <w:lang w:val="es_ES" w:bidi="es_ES"/>
        </w:rPr>
        <w:t>Rom 3:23</w:t>
      </w:r>
      <w:r>
        <w:rPr>
          <w:lang w:val="es_ES" w:bidi="es_ES"/>
        </w:rPr>
        <w:t xml:space="preserve">). Como Legislador, Dios establece límites a la libertad del hombre; otro término común (hebreo, </w:t>
      </w:r>
      <w:r>
        <w:rPr>
          <w:i/>
          <w:lang w:val="es_ES" w:bidi="es_ES"/>
        </w:rPr>
        <w:t>‘abar;</w:t>
      </w:r>
      <w:r>
        <w:rPr>
          <w:lang w:val="es_ES" w:bidi="es_ES"/>
        </w:rPr>
        <w:t xml:space="preserve"> griego, </w:t>
      </w:r>
      <w:r>
        <w:rPr>
          <w:i/>
          <w:lang w:val="es_ES" w:bidi="es_ES"/>
        </w:rPr>
        <w:t>parabasis</w:t>
      </w:r>
      <w:r>
        <w:rPr>
          <w:lang w:val="es_ES" w:bidi="es_ES"/>
        </w:rPr>
        <w:t xml:space="preserve">) describe el pecado como “transgresión” o “sobrepasar los límites establecidos”. Términos similares son </w:t>
      </w:r>
      <w:r>
        <w:rPr>
          <w:i/>
          <w:lang w:val="es_ES" w:bidi="es_ES"/>
        </w:rPr>
        <w:t>pesha‘</w:t>
      </w:r>
      <w:r>
        <w:rPr>
          <w:lang w:val="es_ES" w:bidi="es_ES"/>
        </w:rPr>
        <w:t xml:space="preserve"> (hebreo), que significa “rebelión” o “transgresión”; </w:t>
      </w:r>
      <w:r>
        <w:rPr>
          <w:i/>
          <w:lang w:val="es_ES" w:bidi="es_ES"/>
        </w:rPr>
        <w:t>’asham</w:t>
      </w:r>
      <w:r>
        <w:rPr>
          <w:lang w:val="es_ES" w:bidi="es_ES"/>
        </w:rPr>
        <w:t xml:space="preserve"> (hebreo) denota “traspasar la prerrogativa real de Dios” o “incurrir en culpa”; </w:t>
      </w:r>
      <w:r>
        <w:rPr>
          <w:i/>
          <w:lang w:val="es_ES" w:bidi="es_ES"/>
        </w:rPr>
        <w:t>paraptoma</w:t>
      </w:r>
      <w:r>
        <w:rPr>
          <w:lang w:val="es_ES" w:bidi="es_ES"/>
        </w:rPr>
        <w:t xml:space="preserve"> (griego) denota “un paso en falso fuera del camino designado” o “traspasar terreno prohibido”. “Iniquidad” a menudo traduce </w:t>
      </w:r>
      <w:r>
        <w:rPr>
          <w:i/>
          <w:lang w:val="es_ES" w:bidi="es_ES"/>
        </w:rPr>
        <w:t>‘aon</w:t>
      </w:r>
      <w:r>
        <w:rPr>
          <w:lang w:val="es_ES" w:bidi="es_ES"/>
        </w:rPr>
        <w:t xml:space="preserve"> (hebreo, que significa “perversidad” o “injusticia”), para lo cual el equivalente más cercano en el Nuevo Testamento es </w:t>
      </w:r>
      <w:r>
        <w:rPr>
          <w:i/>
          <w:lang w:val="es_ES" w:bidi="es_ES"/>
        </w:rPr>
        <w:t>anomia</w:t>
      </w:r>
      <w:r>
        <w:rPr>
          <w:lang w:val="es_ES" w:bidi="es_ES"/>
        </w:rPr>
        <w:t xml:space="preserve"> (griego, “ilegalidad”) o </w:t>
      </w:r>
      <w:r>
        <w:rPr>
          <w:i/>
          <w:lang w:val="es_ES" w:bidi="es_ES"/>
        </w:rPr>
        <w:t>paranomia</w:t>
      </w:r>
      <w:r>
        <w:rPr>
          <w:lang w:val="es_ES" w:bidi="es_ES"/>
        </w:rPr>
        <w:t xml:space="preserve"> (griego, “infracción de la ley”).</w:t>
      </w:r>
    </w:p>
    <w:p>
      <w:pPr>
        <w:pStyle w:val="Heading3"/>
      </w:pPr>
      <w:r>
        <w:rPr>
          <w:lang w:val="es_ES" w:bidi="es_ES"/>
        </w:rPr>
        <w:t>En el Antiguo Testamento</w:t>
      </w:r>
    </w:p>
    <w:p>
      <w:pPr/>
      <w:r>
        <w:rPr>
          <w:lang w:val="es_ES" w:bidi="es_ES"/>
        </w:rPr>
      </w:r>
      <w:r>
        <w:rPr>
          <w:lang w:val="es_ES" w:bidi="es_ES"/>
        </w:rPr>
        <w:t>Génesis atribuye el pecado al uso indebido y deliberado de la libertad otorgada por Dios, desobedeciendo una única prohibición restrictiva. Ezequiel enfatiza elocuentemente la responsabilidad individual frente a las teorías tradicionales de culpa colectiva (</w:t>
      </w:r>
      <w:r>
        <w:rPr>
          <w:lang w:val="es_ES" w:bidi="es_ES"/>
        </w:rPr>
        <w:t>Ez 18</w:t>
      </w:r>
      <w:r>
        <w:rPr>
          <w:lang w:val="es_ES" w:bidi="es_ES"/>
        </w:rPr>
        <w:t>). Siguiendo a Jeremías, destaca la necesidad de una vida interior limpia y renovada para reformar el comportamiento exterior; la ley divina debe convertirse en una fuerza motivadora dentro de una persona para vencer el pecado (</w:t>
      </w:r>
      <w:r>
        <w:rPr>
          <w:lang w:val="es_ES" w:bidi="es_ES"/>
        </w:rPr>
        <w:t>Jer 31:29–34</w:t>
      </w:r>
      <w:r>
        <w:rPr>
          <w:lang w:val="es_ES" w:bidi="es_ES"/>
        </w:rPr>
        <w:t xml:space="preserve">, </w:t>
      </w:r>
      <w:r>
        <w:rPr>
          <w:lang w:val="es_ES" w:bidi="es_ES"/>
        </w:rPr>
        <w:t>Ez 36:24–29</w:t>
      </w:r>
      <w:r>
        <w:rPr>
          <w:lang w:val="es_ES" w:bidi="es_ES"/>
        </w:rPr>
        <w:t>).</w:t>
      </w:r>
    </w:p>
    <w:p>
      <w:pPr/>
      <w:r>
        <w:rPr>
          <w:lang w:val="es_ES" w:bidi="es_ES"/>
        </w:rPr>
      </w:r>
      <w:r>
        <w:rPr>
          <w:lang w:val="es_ES" w:bidi="es_ES"/>
        </w:rPr>
        <w:t>Salmo 51</w:t>
      </w:r>
      <w:r>
        <w:rPr>
          <w:lang w:val="es_ES" w:bidi="es_ES"/>
        </w:rPr>
        <w:t xml:space="preserve"> ofrece un análisis profundo del significado interno del pecado. Al afirmar “en pecado me concibió mi madre”, el salmista confesó que su vida había sido pecaminosa desde el principio. Toda su personalidad necesitaba ser “purificada”; estaba contaminada. Los sacrificios rituales no ofrecen solución. Solo un corazón quebrantado y contrito puede preparar a un pecador para la limpieza de Dios. La única esperanza, el único fundamento de apelación, reside en el amor constante y la abundante misericordia de Dios. A pesar de su rigurosa visión del pecado, el Antiguo Testamento también contiene una generosa seguridad de perdón (</w:t>
      </w:r>
      <w:r>
        <w:rPr>
          <w:lang w:val="es_ES" w:bidi="es_ES"/>
        </w:rPr>
        <w:t>Sal 103:8–14,</w:t>
      </w:r>
      <w:r>
        <w:rPr>
          <w:lang w:val="es_ES" w:bidi="es_ES"/>
        </w:rPr>
        <w:t xml:space="preserve"> </w:t>
      </w:r>
      <w:r>
        <w:rPr>
          <w:lang w:val="es_ES" w:bidi="es_ES"/>
        </w:rPr>
        <w:t>Is 1:18</w:t>
      </w:r>
      <w:r>
        <w:rPr>
          <w:lang w:val="es_ES" w:bidi="es_ES"/>
        </w:rPr>
        <w:t xml:space="preserve">; </w:t>
      </w:r>
      <w:r>
        <w:rPr>
          <w:lang w:val="es_ES" w:bidi="es_ES"/>
        </w:rPr>
        <w:t>55:6–7</w:t>
      </w:r>
      <w:r>
        <w:rPr>
          <w:lang w:val="es_ES" w:bidi="es_ES"/>
        </w:rPr>
        <w:t>).</w:t>
      </w:r>
    </w:p>
    <w:p>
      <w:pPr>
        <w:pStyle w:val="Heading3"/>
      </w:pPr>
      <w:r>
        <w:rPr>
          <w:lang w:val="es_ES" w:bidi="es_ES"/>
        </w:rPr>
        <w:t>En las enseñanzas de Jesús</w:t>
      </w:r>
    </w:p>
    <w:p>
      <w:pPr/>
      <w:r>
        <w:rPr>
          <w:lang w:val="es_ES" w:bidi="es_ES"/>
        </w:rPr>
      </w:r>
      <w:r>
        <w:rPr>
          <w:lang w:val="es_ES" w:bidi="es_ES"/>
        </w:rPr>
        <w:t>Las enseñanzas de Jesús sobre el pecado abordaron la generosa oferta de perdón divino y renovación. No solo proclamó con autoridad: “Tus pecados son perdonados”, sino que también mostró numerosos actos de compasión y reconocimiento social, convirtiéndose en el amigo de los pecadores. Los llamó al arrepentimiento, restaurando su esperanza y dignidad (</w:t>
      </w:r>
      <w:r>
        <w:rPr>
          <w:lang w:val="es_ES" w:bidi="es_ES"/>
        </w:rPr>
        <w:t>Mt 9:1–13</w:t>
      </w:r>
      <w:r>
        <w:rPr>
          <w:lang w:val="es_ES" w:bidi="es_ES"/>
        </w:rPr>
        <w:t xml:space="preserve">; </w:t>
      </w:r>
      <w:r>
        <w:rPr>
          <w:lang w:val="es_ES" w:bidi="es_ES"/>
        </w:rPr>
        <w:t>11:19</w:t>
      </w:r>
      <w:r>
        <w:rPr>
          <w:lang w:val="es_ES" w:bidi="es_ES"/>
        </w:rPr>
        <w:t xml:space="preserve">, </w:t>
      </w:r>
      <w:r>
        <w:rPr>
          <w:lang w:val="es_ES" w:bidi="es_ES"/>
        </w:rPr>
        <w:t>Lc 15</w:t>
      </w:r>
      <w:r>
        <w:rPr>
          <w:lang w:val="es_ES" w:bidi="es_ES"/>
        </w:rPr>
        <w:t xml:space="preserve">; </w:t>
      </w:r>
      <w:r>
        <w:rPr>
          <w:lang w:val="es_ES" w:bidi="es_ES"/>
        </w:rPr>
        <w:t>19:1–10</w:t>
      </w:r>
      <w:r>
        <w:rPr>
          <w:lang w:val="es_ES" w:bidi="es_ES"/>
        </w:rPr>
        <w:t>).</w:t>
      </w:r>
    </w:p>
    <w:p>
      <w:pPr/>
      <w:r>
        <w:rPr>
          <w:lang w:val="es_ES" w:bidi="es_ES"/>
        </w:rPr>
      </w:r>
      <w:r>
        <w:rPr>
          <w:lang w:val="es_ES" w:bidi="es_ES"/>
        </w:rPr>
        <w:t>Jesús dijo poco sobre el origen del pecado, excepto para rastrearlo hasta el corazón y la voluntad humanos (</w:t>
      </w:r>
      <w:r>
        <w:rPr>
          <w:lang w:val="es_ES" w:bidi="es_ES"/>
        </w:rPr>
        <w:t>Mt 6:22–23</w:t>
      </w:r>
      <w:r>
        <w:rPr>
          <w:lang w:val="es_ES" w:bidi="es_ES"/>
        </w:rPr>
        <w:t xml:space="preserve">; </w:t>
      </w:r>
      <w:r>
        <w:rPr>
          <w:lang w:val="es_ES" w:bidi="es_ES"/>
        </w:rPr>
        <w:t>7:17–19</w:t>
      </w:r>
      <w:r>
        <w:rPr>
          <w:lang w:val="es_ES" w:bidi="es_ES"/>
        </w:rPr>
        <w:t xml:space="preserve">; </w:t>
      </w:r>
      <w:r>
        <w:rPr>
          <w:lang w:val="es_ES" w:bidi="es_ES"/>
        </w:rPr>
        <w:t>18:7</w:t>
      </w:r>
      <w:r>
        <w:rPr>
          <w:lang w:val="es_ES" w:bidi="es_ES"/>
        </w:rPr>
        <w:t xml:space="preserve">, </w:t>
      </w:r>
      <w:r>
        <w:rPr>
          <w:lang w:val="es_ES" w:bidi="es_ES"/>
        </w:rPr>
        <w:t>Mc 7:20–23</w:t>
      </w:r>
      <w:r>
        <w:rPr>
          <w:lang w:val="es_ES" w:bidi="es_ES"/>
        </w:rPr>
        <w:t>), pero redefinió significativamente su alcance. Mientras que la ley solo podía evaluar las acciones de las personas, Jesús mostró que la ira, el desprecio, la lujuria, la dureza de corazón y la falsedad también son pecaminosas. También habló de los pecados de omisión, el bien no hecho, el árbol estéril, el talento no utilizado, el sacerdote que ignora al herido y el amor nunca mostrado (</w:t>
      </w:r>
      <w:r>
        <w:rPr>
          <w:lang w:val="es_ES" w:bidi="es_ES"/>
        </w:rPr>
        <w:t>Mt 25:41–46</w:t>
      </w:r>
      <w:r>
        <w:rPr>
          <w:lang w:val="es_ES" w:bidi="es_ES"/>
        </w:rPr>
        <w:t>). Condena especialmente los pecados contra el amor: la falta de hermandad, la hostilidad implacable, el egoísmo, la insensibilidad (</w:t>
      </w:r>
      <w:r>
        <w:rPr>
          <w:lang w:val="es_ES" w:bidi="es_ES"/>
        </w:rPr>
        <w:t>Lc 12:16–21</w:t>
      </w:r>
      <w:r>
        <w:rPr>
          <w:lang w:val="es_ES" w:bidi="es_ES"/>
        </w:rPr>
        <w:t xml:space="preserve">; </w:t>
      </w:r>
      <w:r>
        <w:rPr>
          <w:lang w:val="es_ES" w:bidi="es_ES"/>
        </w:rPr>
        <w:t>16:19–31</w:t>
      </w:r>
      <w:r>
        <w:rPr>
          <w:lang w:val="es_ES" w:bidi="es_ES"/>
        </w:rPr>
        <w:t>). Y condenó la autojustificación y la ceguera espiritual (</w:t>
      </w:r>
      <w:r>
        <w:rPr>
          <w:lang w:val="es_ES" w:bidi="es_ES"/>
        </w:rPr>
        <w:t>Mt 23:16–26</w:t>
      </w:r>
      <w:r>
        <w:rPr>
          <w:lang w:val="es_ES" w:bidi="es_ES"/>
        </w:rPr>
        <w:t xml:space="preserve">; </w:t>
      </w:r>
      <w:r>
        <w:rPr>
          <w:lang w:val="es_ES" w:bidi="es_ES"/>
        </w:rPr>
        <w:t>Mc 3:22–30</w:t>
      </w:r>
      <w:r>
        <w:rPr>
          <w:lang w:val="es_ES" w:bidi="es_ES"/>
        </w:rPr>
        <w:t>). Jesús habló del pecado como enfermedad (</w:t>
      </w:r>
      <w:r>
        <w:rPr>
          <w:lang w:val="es_ES" w:bidi="es_ES"/>
        </w:rPr>
        <w:t>Mc 2:17</w:t>
      </w:r>
      <w:r>
        <w:rPr>
          <w:lang w:val="es_ES" w:bidi="es_ES"/>
        </w:rPr>
        <w:t>) y a veces como necedad (</w:t>
      </w:r>
      <w:r>
        <w:rPr>
          <w:lang w:val="es_ES" w:bidi="es_ES"/>
        </w:rPr>
        <w:t>Lc 12:20</w:t>
      </w:r>
      <w:r>
        <w:rPr>
          <w:lang w:val="es_ES" w:bidi="es_ES"/>
        </w:rPr>
        <w:t>). Sin embargo, Jesús declaró que los humanos caídos pueden ser curados con la ayuda de Dios (</w:t>
      </w:r>
      <w:r>
        <w:rPr>
          <w:lang w:val="es_ES" w:bidi="es_ES"/>
        </w:rPr>
        <w:t>7:36–50</w:t>
      </w:r>
      <w:r>
        <w:rPr>
          <w:lang w:val="es_ES" w:bidi="es_ES"/>
        </w:rPr>
        <w:t>).</w:t>
      </w:r>
    </w:p>
    <w:p>
      <w:pPr>
        <w:pStyle w:val="Heading3"/>
      </w:pPr>
      <w:r>
        <w:rPr>
          <w:lang w:val="es_ES" w:bidi="es_ES"/>
        </w:rPr>
        <w:t>En los textos de Juan</w:t>
      </w:r>
    </w:p>
    <w:p>
      <w:pPr/>
      <w:r>
        <w:rPr>
          <w:lang w:val="es_ES" w:bidi="es_ES"/>
        </w:rPr>
      </w:r>
      <w:r>
        <w:rPr>
          <w:lang w:val="es_ES" w:bidi="es_ES"/>
        </w:rPr>
        <w:t>El Evangelio de Juan destaca la necesidad de la humanidad pecadora del sacrificio de Cristo, el Cordero, para quitar el pecado del mundo, y ofrece luz y vida en Cristo. La nueva perspectiva es un énfasis en el pecado que se niega a aceptar la salvación proporcionada por Cristo, debido al amor de Dios por el mundo: la negación a creer. Es por amar la oscuridad, rechazar la luz y negarse a aceptar a Cristo como Salvador que los humanos ya están juzgados (</w:t>
      </w:r>
      <w:r>
        <w:rPr>
          <w:lang w:val="es_ES" w:bidi="es_ES"/>
        </w:rPr>
        <w:t>Jn 3:16–21</w:t>
      </w:r>
      <w:r>
        <w:rPr>
          <w:lang w:val="es_ES" w:bidi="es_ES"/>
        </w:rPr>
        <w:t>).</w:t>
      </w:r>
    </w:p>
    <w:p>
      <w:pPr/>
      <w:r>
        <w:rPr>
          <w:lang w:val="es_ES" w:bidi="es_ES"/>
        </w:rPr>
      </w:r>
      <w:r>
        <w:rPr>
          <w:lang w:val="es_ES" w:bidi="es_ES"/>
        </w:rPr>
        <w:t>En oposición a la afirmación del gnosticismo de que para los cristianos avanzados el pecado no tiene importancia, 1 Juan presenta 15 razones por las cuales el pecado no puede ser tolerado en la vida cristiana y enfatiza nuevamente que el pecado es tanto ignorancia de la verdad como falta de amor (</w:t>
      </w:r>
      <w:r>
        <w:rPr>
          <w:lang w:val="es_ES" w:bidi="es_ES"/>
        </w:rPr>
        <w:t>1 Jn 3:3–10</w:t>
      </w:r>
      <w:r>
        <w:rPr>
          <w:lang w:val="es_ES" w:bidi="es_ES"/>
        </w:rPr>
        <w:t>). Sin embargo, Dios perdona a aquellos que confiesan sus pecados, mientras que Cristo expía sus pecados e intercede por ellos (</w:t>
      </w:r>
      <w:r>
        <w:rPr>
          <w:lang w:val="es_ES" w:bidi="es_ES"/>
        </w:rPr>
        <w:t>1:7–2:2</w:t>
      </w:r>
      <w:r>
        <w:rPr>
          <w:lang w:val="es_ES" w:bidi="es_ES"/>
        </w:rPr>
        <w:t>).</w:t>
      </w:r>
    </w:p>
    <w:p>
      <w:pPr>
        <w:pStyle w:val="Heading3"/>
      </w:pPr>
      <w:r>
        <w:rPr>
          <w:lang w:val="es_ES" w:bidi="es_ES"/>
        </w:rPr>
        <w:t>En los escritos de Pablo</w:t>
      </w:r>
    </w:p>
    <w:p>
      <w:pPr/>
      <w:r>
        <w:rPr>
          <w:lang w:val="es_ES" w:bidi="es_ES"/>
        </w:rPr>
      </w:r>
      <w:r>
        <w:rPr>
          <w:lang w:val="es_ES" w:bidi="es_ES"/>
        </w:rPr>
        <w:t>Pablo argumentó con contundencia, basándose en la observación y las Escrituras, que todos han pecado (</w:t>
      </w:r>
      <w:r>
        <w:rPr>
          <w:lang w:val="es_ES" w:bidi="es_ES"/>
        </w:rPr>
        <w:t>Rom 1–3</w:t>
      </w:r>
      <w:r>
        <w:rPr>
          <w:lang w:val="es_ES" w:bidi="es_ES"/>
        </w:rPr>
        <w:t>). Para él, el pecado es una fuerza, un poder, una “ley” que gobierna dentro de las personas (</w:t>
      </w:r>
      <w:r>
        <w:rPr>
          <w:lang w:val="es_ES" w:bidi="es_ES"/>
        </w:rPr>
        <w:t>Rom 5:21</w:t>
      </w:r>
      <w:r>
        <w:rPr>
          <w:lang w:val="es_ES" w:bidi="es_ES"/>
        </w:rPr>
        <w:t xml:space="preserve">; </w:t>
      </w:r>
      <w:r>
        <w:rPr>
          <w:lang w:val="es_ES" w:bidi="es_ES"/>
        </w:rPr>
        <w:t>7:23</w:t>
      </w:r>
      <w:r>
        <w:rPr>
          <w:lang w:val="es_ES" w:bidi="es_ES"/>
        </w:rPr>
        <w:t xml:space="preserve">; </w:t>
      </w:r>
      <w:r>
        <w:rPr>
          <w:lang w:val="es_ES" w:bidi="es_ES"/>
        </w:rPr>
        <w:t>8:2</w:t>
      </w:r>
      <w:r>
        <w:rPr>
          <w:lang w:val="es_ES" w:bidi="es_ES"/>
        </w:rPr>
        <w:t xml:space="preserve">, </w:t>
      </w:r>
      <w:r>
        <w:rPr>
          <w:lang w:val="es_ES" w:bidi="es_ES"/>
        </w:rPr>
        <w:t>1 Cor 15:56</w:t>
      </w:r>
      <w:r>
        <w:rPr>
          <w:lang w:val="es_ES" w:bidi="es_ES"/>
        </w:rPr>
        <w:t>), generando todo tipo de comportamientos malvados: el endurecimiento de la conciencia (</w:t>
      </w:r>
      <w:r>
        <w:rPr>
          <w:lang w:val="es_ES" w:bidi="es_ES"/>
        </w:rPr>
        <w:t>Rom 7:21–24</w:t>
      </w:r>
      <w:r>
        <w:rPr>
          <w:lang w:val="es_ES" w:bidi="es_ES"/>
        </w:rPr>
        <w:t>), la alienación de Dios y la sujeción a la muerte (</w:t>
      </w:r>
      <w:r>
        <w:rPr>
          <w:lang w:val="es_ES" w:bidi="es_ES"/>
        </w:rPr>
        <w:t>Rom 5:10</w:t>
      </w:r>
      <w:r>
        <w:rPr>
          <w:lang w:val="es_ES" w:bidi="es_ES"/>
        </w:rPr>
        <w:t xml:space="preserve">; </w:t>
      </w:r>
      <w:r>
        <w:rPr>
          <w:lang w:val="es_ES" w:bidi="es_ES"/>
        </w:rPr>
        <w:t>6:23</w:t>
      </w:r>
      <w:r>
        <w:rPr>
          <w:lang w:val="es_ES" w:bidi="es_ES"/>
        </w:rPr>
        <w:t xml:space="preserve">, </w:t>
      </w:r>
      <w:r>
        <w:rPr>
          <w:lang w:val="es_ES" w:bidi="es_ES"/>
        </w:rPr>
        <w:t>Ef 2:1–5, 12</w:t>
      </w:r>
      <w:r>
        <w:rPr>
          <w:lang w:val="es_ES" w:bidi="es_ES"/>
        </w:rPr>
        <w:t xml:space="preserve">, </w:t>
      </w:r>
      <w:r>
        <w:rPr>
          <w:lang w:val="es_ES" w:bidi="es_ES"/>
        </w:rPr>
        <w:t>Col 1:21</w:t>
      </w:r>
      <w:r>
        <w:rPr>
          <w:lang w:val="es_ES" w:bidi="es_ES"/>
        </w:rPr>
        <w:t>). Los humanos son incapaces de reformarse a sí mismos (</w:t>
      </w:r>
      <w:r>
        <w:rPr>
          <w:lang w:val="es_ES" w:bidi="es_ES"/>
        </w:rPr>
        <w:t>Rom 7:24</w:t>
      </w:r>
      <w:r>
        <w:rPr>
          <w:lang w:val="es_ES" w:bidi="es_ES"/>
        </w:rPr>
        <w:t xml:space="preserve">). La explicación de Pablo sobre esta desesperada y universal condición se interpreta de diversas maneras. Algunos lectores piensan que </w:t>
      </w:r>
      <w:r>
        <w:rPr>
          <w:lang w:val="es_ES" w:bidi="es_ES"/>
        </w:rPr>
        <w:t>Romanos 5:12–21</w:t>
      </w:r>
      <w:r>
        <w:rPr>
          <w:lang w:val="es_ES" w:bidi="es_ES"/>
        </w:rPr>
        <w:t xml:space="preserve"> indica que el pecado de Adán es la fuente de todo pecado; otros, que es la “semejanza” de todo pecado. En cualquier caso, Pablo esencialmente afirmó que “cada hombre es su propio Adán”, lo que significa que cada persona es completamente responsable de su condición pecaminosa, incluso si la naturaleza pecaminosa fue heredada de Adán.</w:t>
      </w:r>
    </w:p>
    <w:p>
      <w:pPr/>
      <w:r>
        <w:rPr>
          <w:lang w:val="es_ES" w:bidi="es_ES"/>
        </w:rPr>
      </w:r>
      <w:r>
        <w:rPr>
          <w:lang w:val="es_ES" w:bidi="es_ES"/>
        </w:rPr>
        <w:t>Para Pablo, la solución al pecado se encuentra en la muerte del creyente con Cristo: muerte al pecado, al yo y al mundo. Al mismo tiempo, la nueva vida del Espíritu, que es invasiva y efusiva, transforma la vida de uno desde dentro, convirtiendo a cada persona en una nueva creación al santificar la personalidad a la semejanza de Cristo (</w:t>
      </w:r>
      <w:r>
        <w:rPr>
          <w:lang w:val="es_ES" w:bidi="es_ES"/>
        </w:rPr>
        <w:t>Rom 3:21–26</w:t>
      </w:r>
      <w:r>
        <w:rPr>
          <w:lang w:val="es_ES" w:bidi="es_ES"/>
        </w:rPr>
        <w:t xml:space="preserve">; </w:t>
      </w:r>
      <w:r>
        <w:rPr>
          <w:lang w:val="es_ES" w:bidi="es_ES"/>
        </w:rPr>
        <w:t>5:6–9</w:t>
      </w:r>
      <w:r>
        <w:rPr>
          <w:lang w:val="es_ES" w:bidi="es_ES"/>
        </w:rPr>
        <w:t xml:space="preserve">; </w:t>
      </w:r>
      <w:r>
        <w:rPr>
          <w:lang w:val="es_ES" w:bidi="es_ES"/>
        </w:rPr>
        <w:t>6</w:t>
      </w:r>
      <w:r>
        <w:rPr>
          <w:lang w:val="es_ES" w:bidi="es_ES"/>
        </w:rPr>
        <w:t xml:space="preserve">; </w:t>
      </w:r>
      <w:r>
        <w:rPr>
          <w:lang w:val="es_ES" w:bidi="es_ES"/>
        </w:rPr>
        <w:t>8:1–4, 28–29</w:t>
      </w:r>
      <w:r>
        <w:rPr>
          <w:lang w:val="es_ES" w:bidi="es_ES"/>
        </w:rPr>
        <w:t xml:space="preserve">, </w:t>
      </w:r>
      <w:r>
        <w:rPr>
          <w:lang w:val="es_ES" w:bidi="es_ES"/>
        </w:rPr>
        <w:t>2 Cor 5:14–21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Carne</w:t>
      </w:r>
      <w:r>
        <w:rPr>
          <w:lang w:val="es_ES" w:bidi="es_ES"/>
        </w:rPr>
        <w:t xml:space="preserve">; </w:t>
      </w:r>
      <w:r>
        <w:rPr>
          <w:lang w:val="es_ES" w:bidi="es_ES"/>
        </w:rPr>
        <w:t>Justificación, Justificado</w:t>
      </w:r>
      <w:r>
        <w:rPr>
          <w:lang w:val="es_ES" w:bidi="es_ES"/>
        </w:rPr>
        <w:t xml:space="preserve">; </w:t>
      </w:r>
      <w:r>
        <w:rPr>
          <w:lang w:val="es_ES" w:bidi="es_ES"/>
        </w:rPr>
        <w:t>Santificación</w:t>
      </w:r>
      <w:r>
        <w:rPr>
          <w:lang w:val="es_ES" w:bidi="es_ES"/>
        </w:rPr>
        <w:t xml:space="preserve">; </w:t>
      </w:r>
      <w:r>
        <w:rPr>
          <w:lang w:val="es_ES" w:bidi="es_ES"/>
        </w:rPr>
        <w:t>Pecado de muerte</w:t>
      </w:r>
      <w:r>
        <w:rPr>
          <w:lang w:val="es_ES" w:bidi="es_ES"/>
        </w:rPr>
        <w:t xml:space="preserve">; </w:t>
      </w:r>
      <w:r>
        <w:rPr>
          <w:lang w:val="es_ES" w:bidi="es_ES"/>
        </w:rPr>
        <w:t>El pecado imperdonable</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