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w:t>
      </w:r>
      <w:r/>
    </w:p>
    <w:p>
      <w:r/>
      <w:r>
        <w:rPr>
          <w:i/>
        </w:rPr>
        <w:t>Qere, Qesitah, Qoheleth, Quadratus, Apology of, Quail, Quart, Quartus, Quaternion, Queen, Queen of Heaven, Quince, Quirinius, Qumran, Quotations of the Old Testament in the New Testament</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Qere</w:t>
      </w:r>
      <w:r/>
    </w:p>
    <w:p>
      <w:r/>
      <w: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r/>
      <w: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
    </w:p>
    <w:p>
      <w:r/>
    </w:p>
    <w:p>
      <w:pPr>
        <w:pStyle w:val="Heading2"/>
      </w:pPr>
      <w:r>
        <w:t>Qesitah</w:t>
      </w:r>
      <w:r/>
    </w:p>
    <w:p>
      <w:r/>
      <w:r>
        <w:t>Weight of unknown value (</w:t>
      </w:r>
      <w:hyperlink r:id="rId13">
        <w:r>
          <w:rPr>
            <w:color w:val="0000EE"/>
            <w:u w:val="single"/>
          </w:rPr>
          <w:t>Gn 33:19</w:t>
        </w:r>
      </w:hyperlink>
      <w:r>
        <w:t xml:space="preserve">; </w:t>
      </w:r>
      <w:hyperlink r:id="rId14">
        <w:r>
          <w:rPr>
            <w:color w:val="0000EE"/>
            <w:u w:val="single"/>
          </w:rPr>
          <w:t>Jos 24:32</w:t>
        </w:r>
      </w:hyperlink>
      <w:r>
        <w:t xml:space="preserve">; </w:t>
      </w:r>
      <w:hyperlink r:id="rId15">
        <w:r>
          <w:rPr>
            <w:color w:val="0000EE"/>
            <w:u w:val="single"/>
          </w:rPr>
          <w:t>Jb 42:11</w:t>
        </w:r>
      </w:hyperlink>
      <w:r>
        <w:t xml:space="preserve">, rsv mg). </w:t>
      </w:r>
      <w:r>
        <w:rPr>
          <w:i/>
        </w:rPr>
        <w:t>See</w:t>
      </w:r>
      <w:r>
        <w:t xml:space="preserve"> </w:t>
      </w:r>
      <w:r>
        <w:t>Money</w:t>
      </w:r>
      <w:r>
        <w:t>.</w:t>
      </w:r>
      <w:r/>
      <w:r/>
    </w:p>
    <w:p>
      <w:r/>
    </w:p>
    <w:p>
      <w:pPr>
        <w:pStyle w:val="Heading2"/>
      </w:pPr>
      <w:r>
        <w:t>Qoheleth</w:t>
      </w:r>
      <w:r/>
    </w:p>
    <w:p>
      <w:r/>
      <w: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r/>
      <w:r>
        <w:rPr>
          <w:i/>
        </w:rPr>
        <w:t>See</w:t>
      </w:r>
      <w:r>
        <w:t xml:space="preserve"> </w:t>
      </w:r>
      <w:r>
        <w:t>Ecclesiastes, Book of</w:t>
      </w:r>
      <w:r>
        <w:t>.</w:t>
      </w:r>
      <w:r/>
      <w:r/>
    </w:p>
    <w:p>
      <w:r/>
    </w:p>
    <w:p>
      <w:pPr>
        <w:pStyle w:val="Heading2"/>
      </w:pPr>
      <w:r>
        <w:t>Quadratus, Apology of</w:t>
      </w:r>
      <w:r/>
    </w:p>
    <w:p>
      <w:r/>
      <w:r>
        <w:t>Around AD 125 Quadratus wrote an early Christian defense (or apology) of Christianity to emperor Hadrian. The writings of Eusebius preserve the only surviving fragment of this apology. The fragment says the following:</w:t>
      </w:r>
    </w:p>
    <w:p>
      <w:r/>
      <w: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r/>
      <w: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
    </w:p>
    <w:p>
      <w:r/>
    </w:p>
    <w:p>
      <w:pPr>
        <w:pStyle w:val="Heading2"/>
      </w:pPr>
      <w:r>
        <w:t>Quail</w:t>
      </w:r>
      <w:r/>
    </w:p>
    <w:p>
      <w:r/>
      <w:r>
        <w:t>A quail is a short, stocky bird with a bill and feet like a chicken. These features help it eat seeds and insects. The common quail (</w:t>
      </w:r>
      <w:r>
        <w:rPr>
          <w:i/>
        </w:rPr>
        <w:t>Coturnix coturnix</w:t>
      </w:r>
      <w:r>
        <w:t>) is the smallest member of the poultry family that also includes pheasants and partridges.</w:t>
      </w:r>
    </w:p>
    <w:p>
      <w:r/>
      <w:r>
        <w:t>Quail are about 25.4 centimeters (10 inches) long. They have small, rounded wings and a white belly. When startled, they burst from grass or bushes with a whirring sound. A female may lay up to 18 eggs. If the female dies, the male may care for the young.</w:t>
      </w:r>
    </w:p>
    <w:p>
      <w:r/>
      <w:r>
        <w:t>Quail from the Mediterranean region spend the winter in Sudan. In spring they migrate north in large flocks. Quail cannot fly for long periods. Instead, they ride wind currents to stay in the air.</w:t>
      </w:r>
    </w:p>
    <w:p>
      <w:pPr>
        <w:pStyle w:val="Heading4"/>
      </w:pPr>
      <w:r>
        <w:t>Quail in the Bible</w:t>
      </w:r>
    </w:p>
    <w:p>
      <w:r/>
      <w:r>
        <w:t>Very large flocks of quail fed the Israelites twice during their time in the wilderness of Sinai (</w:t>
      </w:r>
      <w:hyperlink r:id="rId16">
        <w:r>
          <w:rPr>
            <w:color w:val="0000EE"/>
            <w:u w:val="single"/>
          </w:rPr>
          <w:t>Exodus 16:13</w:t>
        </w:r>
      </w:hyperlink>
      <w:r>
        <w:t xml:space="preserve">; </w:t>
      </w:r>
      <w:hyperlink r:id="rId17">
        <w:r>
          <w:rPr>
            <w:color w:val="0000EE"/>
            <w:u w:val="single"/>
          </w:rPr>
          <w:t>Numbers 11:31–32</w:t>
        </w:r>
      </w:hyperlink>
      <w:r>
        <w:t xml:space="preserve">; </w:t>
      </w:r>
      <w:hyperlink r:id="rId18">
        <w:r>
          <w:rPr>
            <w:color w:val="0000EE"/>
            <w:u w:val="single"/>
          </w:rPr>
          <w:t>Psalm 105:40</w:t>
        </w:r>
      </w:hyperlink>
      <w:r>
        <w:t>). The second time, they were likely flying along the Gulf of Aqaba and were blown off course by an east wind (</w:t>
      </w:r>
      <w:hyperlink r:id="rId19">
        <w:r>
          <w:rPr>
            <w:color w:val="0000EE"/>
            <w:u w:val="single"/>
          </w:rPr>
          <w:t>Numbers 11:31</w:t>
        </w:r>
      </w:hyperlink>
      <w:r>
        <w:t xml:space="preserve">; </w:t>
      </w:r>
      <w:hyperlink r:id="rId20">
        <w:r>
          <w:rPr>
            <w:color w:val="0000EE"/>
            <w:u w:val="single"/>
          </w:rPr>
          <w:t>Psalm 78:26–28</w:t>
        </w:r>
      </w:hyperlink>
      <w:r>
        <w:t>).</w:t>
      </w:r>
    </w:p>
    <w:p>
      <w:r/>
      <w:r>
        <w:t>Because quail cannot fly for long, they stay low to the ground, about two cubits, or 101.6 centimeters (40 inches). When tired, they could be caught by hand (</w:t>
      </w:r>
      <w:hyperlink r:id="rId17">
        <w:r>
          <w:rPr>
            <w:color w:val="0000EE"/>
            <w:u w:val="single"/>
          </w:rPr>
          <w:t>Numbers 11:31–32</w:t>
        </w:r>
      </w:hyperlink>
      <w:r>
        <w:t>).</w:t>
      </w:r>
    </w:p>
    <w:p>
      <w:r/>
      <w:r>
        <w:t>Quail were considered clean food under the law of Moses. They were valued as the most delicate of all game birds. People often preserved them by drying them in the sun.</w:t>
      </w:r>
    </w:p>
    <w:p>
      <w:r/>
      <w:r>
        <w:rPr>
          <w:i/>
        </w:rPr>
        <w:t>See also</w:t>
      </w:r>
      <w:r>
        <w:t xml:space="preserve"> </w:t>
      </w:r>
      <w:r>
        <w:t>Birds</w:t>
      </w:r>
      <w:r>
        <w:t>.</w:t>
      </w:r>
      <w:r/>
      <w:r/>
    </w:p>
    <w:p>
      <w:r/>
    </w:p>
    <w:p>
      <w:pPr>
        <w:pStyle w:val="Heading2"/>
      </w:pPr>
      <w:r>
        <w:t>Quart</w:t>
      </w:r>
      <w:r/>
    </w:p>
    <w:p>
      <w:r/>
      <w:r>
        <w:rPr>
          <w:i/>
        </w:rPr>
        <w:t>See</w:t>
      </w:r>
      <w:r>
        <w:t xml:space="preserve"> </w:t>
      </w:r>
      <w:r>
        <w:t>Weights and Measures (Choinix)</w:t>
      </w:r>
      <w:r>
        <w:t>.</w:t>
      </w:r>
      <w:r/>
      <w:r/>
    </w:p>
    <w:p>
      <w:r/>
    </w:p>
    <w:p>
      <w:pPr>
        <w:pStyle w:val="Heading2"/>
      </w:pPr>
      <w:r>
        <w:t>Quartus</w:t>
      </w:r>
      <w:r/>
    </w:p>
    <w:p>
      <w:r/>
      <w:r>
        <w:t>Christian who joined the apostle Paul in sending greetings to the church in Rome (</w:t>
      </w:r>
      <w:hyperlink r:id="rId21">
        <w:r>
          <w:rPr>
            <w:color w:val="0000EE"/>
            <w:u w:val="single"/>
          </w:rPr>
          <w:t>Rom 16:23</w:t>
        </w:r>
      </w:hyperlink>
      <w:r>
        <w:t>).</w:t>
      </w:r>
      <w:r/>
      <w:r/>
    </w:p>
    <w:p>
      <w:r/>
    </w:p>
    <w:p>
      <w:pPr>
        <w:pStyle w:val="Heading2"/>
      </w:pPr>
      <w:r>
        <w:t>Quaternion</w:t>
      </w:r>
      <w:r/>
    </w:p>
    <w:p>
      <w:r/>
      <w:r>
        <w:t xml:space="preserve">The King James Version translation for “squad” in </w:t>
      </w:r>
      <w:hyperlink r:id="rId22">
        <w:r>
          <w:rPr>
            <w:color w:val="0000EE"/>
            <w:u w:val="single"/>
          </w:rPr>
          <w:t>Acts 12:4</w:t>
        </w:r>
      </w:hyperlink>
      <w:r>
        <w:t xml:space="preserve">. </w:t>
      </w:r>
    </w:p>
    <w:p>
      <w:r/>
      <w:r>
        <w:rPr>
          <w:i/>
        </w:rPr>
        <w:t>See</w:t>
      </w:r>
      <w:r>
        <w:t xml:space="preserve"> </w:t>
      </w:r>
      <w:r>
        <w:t>Warfare</w:t>
      </w:r>
      <w:r>
        <w:t>.</w:t>
      </w:r>
      <w:r/>
      <w:r/>
    </w:p>
    <w:p>
      <w:r/>
    </w:p>
    <w:p>
      <w:pPr>
        <w:pStyle w:val="Heading2"/>
      </w:pPr>
      <w:r>
        <w:t>Queen</w:t>
      </w:r>
      <w:r/>
    </w:p>
    <w:p>
      <w:r/>
      <w:r>
        <w:t xml:space="preserve">A word used to describe a reigning monarch, a queen consort, or a queen mother. </w:t>
      </w:r>
    </w:p>
    <w:p>
      <w:r/>
      <w:r>
        <w:t>The queen of Sheba was the world's richest woman. She became so after visiting King Solomon's luxurious court (</w:t>
      </w:r>
      <w:hyperlink r:id="rId23">
        <w:r>
          <w:rPr>
            <w:color w:val="0000EE"/>
            <w:u w:val="single"/>
          </w:rPr>
          <w:t>1 Kings 10:1</w:t>
        </w:r>
      </w:hyperlink>
      <w:r>
        <w:t xml:space="preserve">; </w:t>
      </w:r>
      <w:hyperlink r:id="rId24">
        <w:r>
          <w:rPr>
            <w:color w:val="0000EE"/>
            <w:u w:val="single"/>
          </w:rPr>
          <w:t>Matthew 12:42</w:t>
        </w:r>
      </w:hyperlink>
      <w:r>
        <w:t xml:space="preserve">; </w:t>
      </w:r>
      <w:hyperlink r:id="rId25">
        <w:r>
          <w:rPr>
            <w:color w:val="0000EE"/>
            <w:u w:val="single"/>
          </w:rPr>
          <w:t>Luke 11:31</w:t>
        </w:r>
      </w:hyperlink>
      <w:r>
        <w:t xml:space="preserve">). She arrived with a large retinue and camels bearing gold, jewels, and spices. Candace, queen of Ethiopia, is mentioned in </w:t>
      </w:r>
      <w:hyperlink r:id="rId26">
        <w:r>
          <w:rPr>
            <w:color w:val="0000EE"/>
            <w:u w:val="single"/>
          </w:rPr>
          <w:t>Acts 8:27</w:t>
        </w:r>
      </w:hyperlink>
      <w:r>
        <w:t>. A eunuch, a senior minister in her court, was converted by Philip while visiting Jerusalem.</w:t>
      </w:r>
    </w:p>
    <w:p>
      <w:r/>
      <w:r>
        <w:t>In Jewish history, Athaliah reigned for six years. She thought she had killed all rival claimants to the throne in the royal family (</w:t>
      </w:r>
      <w:hyperlink r:id="rId27">
        <w:r>
          <w:rPr>
            <w:color w:val="0000EE"/>
            <w:u w:val="single"/>
          </w:rPr>
          <w:t>2 Kings 11:3</w:t>
        </w:r>
      </w:hyperlink>
      <w:r>
        <w:t>). Also, Salome Alexandra succeeded her husband, Alexander Janneus, as ruler from 76 to 67 BC. A queen consort usually played a minor role. Two exceptions are Bathsheba (</w:t>
      </w:r>
      <w:hyperlink r:id="rId28">
        <w:r>
          <w:rPr>
            <w:color w:val="0000EE"/>
            <w:u w:val="single"/>
          </w:rPr>
          <w:t>1 Kings 1:15–31</w:t>
        </w:r>
      </w:hyperlink>
      <w:r>
        <w:t>) and Jezebel (</w:t>
      </w:r>
      <w:hyperlink r:id="rId29">
        <w:r>
          <w:rPr>
            <w:color w:val="0000EE"/>
            <w:u w:val="single"/>
          </w:rPr>
          <w:t>1 Kings 21:1–29</w:t>
        </w:r>
      </w:hyperlink>
      <w:r>
        <w:t xml:space="preserve">). Bathsheba wanted her son to succeed to the throne. Jezebel plotted a false accusation that led to Naboth's death. </w:t>
      </w:r>
    </w:p>
    <w:p>
      <w:r/>
      <w:r>
        <w:t xml:space="preserve">The queen mother played a powerful role. She not only ruled over the royal household but also was held in respect both by the court and by the monarch (compare </w:t>
      </w:r>
      <w:hyperlink r:id="rId30">
        <w:r>
          <w:rPr>
            <w:color w:val="0000EE"/>
            <w:u w:val="single"/>
          </w:rPr>
          <w:t>Exodus 20:12</w:t>
        </w:r>
      </w:hyperlink>
      <w:r>
        <w:t>). Her requests were unlikely to be denied (</w:t>
      </w:r>
      <w:hyperlink r:id="rId31">
        <w:r>
          <w:rPr>
            <w:color w:val="0000EE"/>
            <w:u w:val="single"/>
          </w:rPr>
          <w:t>1 Kings 2:20</w:t>
        </w:r>
      </w:hyperlink>
      <w:r>
        <w:t>). As the king's mother, she was unique. His wives shared their position with others. Maacah, queen mother of Abijam, even retained her authority during much of her grandson’s reign (</w:t>
      </w:r>
      <w:hyperlink r:id="rId32">
        <w:r>
          <w:rPr>
            <w:color w:val="0000EE"/>
            <w:u w:val="single"/>
          </w:rPr>
          <w:t>1 Kings 15:2, 10, 13</w:t>
        </w:r>
      </w:hyperlink>
      <w:r>
        <w:t xml:space="preserve">; </w:t>
      </w:r>
      <w:hyperlink r:id="rId33">
        <w:r>
          <w:rPr>
            <w:color w:val="0000EE"/>
            <w:u w:val="single"/>
          </w:rPr>
          <w:t>2 Chronicles 15:16</w:t>
        </w:r>
      </w:hyperlink>
      <w:r>
        <w:t>). The queen mother was crowned (</w:t>
      </w:r>
      <w:hyperlink r:id="rId34">
        <w:r>
          <w:rPr>
            <w:color w:val="0000EE"/>
            <w:u w:val="single"/>
          </w:rPr>
          <w:t>Jeremiah 13:18</w:t>
        </w:r>
      </w:hyperlink>
      <w:r>
        <w:t>). Bathsheba, now queen, was powerful enough to sit at King Solomon's right hand (</w:t>
      </w:r>
      <w:hyperlink r:id="rId35">
        <w:r>
          <w:rPr>
            <w:color w:val="0000EE"/>
            <w:u w:val="single"/>
          </w:rPr>
          <w:t>1 Kings 2:19</w:t>
        </w:r>
      </w:hyperlink>
      <w:r>
        <w:t>).</w:t>
      </w:r>
      <w:r/>
      <w:r/>
    </w:p>
    <w:p>
      <w:r/>
    </w:p>
    <w:p>
      <w:pPr>
        <w:pStyle w:val="Heading2"/>
      </w:pPr>
      <w:r>
        <w:t>Queen of Heaven</w:t>
      </w:r>
      <w:r/>
    </w:p>
    <w:p>
      <w:r/>
      <w:r>
        <w:t>Goddess mentioned by Jeremiah in his denunciations of Judah’s idolatry (</w:t>
      </w:r>
      <w:hyperlink r:id="rId36">
        <w:r>
          <w:rPr>
            <w:color w:val="0000EE"/>
            <w:u w:val="single"/>
          </w:rPr>
          <w:t>Jer 7:18</w:t>
        </w:r>
      </w:hyperlink>
      <w:r>
        <w:t xml:space="preserve">; </w:t>
      </w:r>
      <w:hyperlink r:id="rId37">
        <w:r>
          <w:rPr>
            <w:color w:val="0000EE"/>
            <w:u w:val="single"/>
          </w:rPr>
          <w:t>44:17–19, 25</w:t>
        </w:r>
      </w:hyperlink>
      <w: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color w:val="0000EE"/>
            <w:u w:val="single"/>
          </w:rPr>
          <w:t>44:25–28</w:t>
        </w:r>
      </w:hyperlink>
      <w:r>
        <w:t>).</w:t>
      </w:r>
    </w:p>
    <w:p>
      <w:r/>
      <w: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r/>
      <w:r>
        <w:rPr>
          <w:i/>
        </w:rPr>
        <w:t>See also</w:t>
      </w:r>
      <w:r>
        <w:t xml:space="preserve"> </w:t>
      </w:r>
      <w:r>
        <w:t>Canaanite Deities and Religion</w:t>
      </w:r>
      <w:r>
        <w:t>.</w:t>
      </w:r>
      <w:r/>
      <w:r/>
    </w:p>
    <w:p>
      <w:r/>
    </w:p>
    <w:p>
      <w:pPr>
        <w:pStyle w:val="Heading2"/>
      </w:pPr>
      <w:r>
        <w:t>Quince</w:t>
      </w:r>
      <w:r/>
    </w:p>
    <w:p>
      <w:r/>
      <w:r>
        <w:t xml:space="preserve">The quince is a tree native to western Asia. It has white flowers and fruit that looks like apples. The fruit can only be eaten when cooked. Some scholars believe that the "apples" mentioned in the Old Testament were actually quinces, </w:t>
      </w:r>
      <w:r>
        <w:rPr>
          <w:i/>
        </w:rPr>
        <w:t>Cydonia oblonga</w:t>
      </w:r>
      <w:r>
        <w:t>.</w:t>
      </w:r>
    </w:p>
    <w:p>
      <w:r/>
      <w:r>
        <w:t>The quince tree is quite common in the region of Palestine, though mainly as a cultivated tree rather than growing wild. It may be found growing naturally in the northern parts of Syria. The quince is native to northern Persia and Asia Minor (modern-day Turkey).</w:t>
      </w:r>
    </w:p>
    <w:p>
      <w:r/>
      <w:r>
        <w:t>The fruit is yellowish in color and has a strong, pleasant smell. It was this fragrance that made the quince highly valued by people in ancient times.</w:t>
      </w:r>
      <w:r/>
      <w:r/>
    </w:p>
    <w:p>
      <w:r/>
    </w:p>
    <w:p>
      <w:pPr>
        <w:pStyle w:val="Heading2"/>
      </w:pPr>
      <w:r>
        <w:t>Quirinius</w:t>
      </w:r>
      <w:r/>
    </w:p>
    <w:p>
      <w:r/>
      <w:r>
        <w:t>Roman governor of Syria at the time of Jesus’ birth (</w:t>
      </w:r>
      <w:hyperlink r:id="rId39">
        <w:r>
          <w:rPr>
            <w:color w:val="0000EE"/>
            <w:u w:val="single"/>
          </w:rPr>
          <w:t>Luke 2:2</w:t>
        </w:r>
      </w:hyperlink>
      <w:r>
        <w:t>). According to the Roman historian Tacitus (</w:t>
      </w:r>
      <w:r>
        <w:rPr>
          <w:i/>
        </w:rPr>
        <w:t>Annals</w:t>
      </w:r>
      <w: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t>while Quirinius was governor of Syria</w:t>
      </w:r>
      <w:r>
        <w:t>” (</w:t>
      </w:r>
      <w:hyperlink r:id="rId39">
        <w:r>
          <w:rPr>
            <w:color w:val="0000EE"/>
            <w:u w:val="single"/>
          </w:rPr>
          <w:t>Luke 2:2</w:t>
        </w:r>
      </w:hyperlink>
      <w:r>
        <w:t>). Matthew says it was during the reign of King Herod the Great (</w:t>
      </w:r>
      <w:hyperlink r:id="rId40">
        <w:r>
          <w:rPr>
            <w:color w:val="0000EE"/>
            <w:u w:val="single"/>
          </w:rPr>
          <w:t>Matthew 2:1</w:t>
        </w:r>
      </w:hyperlink>
      <w:r>
        <w:t>), presumably in 4 BC.</w:t>
      </w:r>
    </w:p>
    <w:p>
      <w:r/>
      <w: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rPr>
        <w:t>Antiquities</w:t>
      </w:r>
      <w:r>
        <w:t xml:space="preserve"> 17.13.5) and Gamaliel (</w:t>
      </w:r>
      <w:hyperlink r:id="rId41">
        <w:r>
          <w:rPr>
            <w:color w:val="0000EE"/>
            <w:u w:val="single"/>
          </w:rPr>
          <w:t>Acts 5:37</w:t>
        </w:r>
      </w:hyperlink>
      <w:r>
        <w:t xml:space="preserve">). </w:t>
      </w:r>
    </w:p>
    <w:p>
      <w:r/>
      <w:r>
        <w:t>The remainder of Quirinius’s career was probably spent in Rome, where he died at an advanced age in AD 21.</w:t>
      </w:r>
    </w:p>
    <w:p>
      <w:r/>
      <w:r>
        <w:rPr>
          <w:i/>
        </w:rPr>
        <w:t>See also</w:t>
      </w:r>
      <w:r>
        <w:t xml:space="preserve"> </w:t>
      </w:r>
      <w:r>
        <w:t>Census</w:t>
      </w:r>
      <w:r>
        <w:t xml:space="preserve">; </w:t>
      </w:r>
      <w:r>
        <w:t>Chronology of the Bible (New Testament)</w:t>
      </w:r>
      <w:r>
        <w:t>.</w:t>
      </w:r>
      <w:r/>
      <w:r/>
    </w:p>
    <w:p>
      <w:r/>
    </w:p>
    <w:p>
      <w:pPr>
        <w:pStyle w:val="Heading2"/>
      </w:pPr>
      <w:r>
        <w:t>Qumran</w:t>
      </w:r>
      <w:r/>
    </w:p>
    <w:p>
      <w:r/>
      <w:r>
        <w:t>An ancient Jewish religious community that lived near the site where the Dead Sea Scrolls were found in 1947.</w:t>
      </w:r>
    </w:p>
    <w:p>
      <w:r/>
      <w:r>
        <w:t>This Jewish monastery, called Khirbet Qumran, lies on the north side of the Wadi Qumran. It is about 1.6 kilometers (one mile) south of Cave I. Travelers had noted the ruins for years.</w:t>
      </w:r>
    </w:p>
    <w:p>
      <w:pPr>
        <w:pStyle w:val="Heading3"/>
      </w:pPr>
      <w:r>
        <w:t>Excavations at Khirbet Qumran</w:t>
      </w:r>
    </w:p>
    <w:p>
      <w:r/>
      <w: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t>–</w:t>
      </w:r>
      <w: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t>History of Khirbet Qumran</w:t>
      </w:r>
    </w:p>
    <w:p>
      <w:r/>
      <w:r>
        <w:t xml:space="preserve">The site was occupied at various times in history. The earliest occupation was in the eighth and seventh centuries BC, maybe during the reign of King Uzziah (compare </w:t>
      </w:r>
      <w:hyperlink r:id="rId42">
        <w:r>
          <w:rPr>
            <w:color w:val="0000EE"/>
            <w:u w:val="single"/>
          </w:rPr>
          <w:t>2 Chronicles 26:10</w:t>
        </w:r>
      </w:hyperlink>
      <w:r>
        <w:t>). There is a lot of evidence of occupation in the Greco-Roman period (from 332 BC</w:t>
      </w:r>
      <w:r>
        <w:t>–</w:t>
      </w:r>
      <w: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t>Features of Khirbet Qumran</w:t>
      </w:r>
    </w:p>
    <w:p>
      <w:r/>
      <w: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r/>
      <w: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t>Identity of the Qumran Sect</w:t>
      </w:r>
    </w:p>
    <w:p>
      <w:r/>
      <w: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r/>
      <w: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
        <w:t>Two-year probationary period for members</w:t>
      </w:r>
    </w:p>
    <w:p>
      <w:pPr>
        <w:pStyle w:val="ListBullet"/>
        <w:spacing w:line="240" w:lineRule="auto"/>
        <w:ind w:left="720"/>
      </w:pPr>
      <w:r/>
      <w:r>
        <w:t>Ranked members</w:t>
      </w:r>
    </w:p>
    <w:p>
      <w:pPr>
        <w:pStyle w:val="ListBullet"/>
        <w:spacing w:line="240" w:lineRule="auto"/>
        <w:ind w:left="720"/>
      </w:pPr>
      <w:r/>
      <w:r>
        <w:t>Shared wealth among the community</w:t>
      </w:r>
    </w:p>
    <w:p>
      <w:pPr>
        <w:pStyle w:val="ListBullet"/>
        <w:spacing w:line="240" w:lineRule="auto"/>
        <w:ind w:left="720"/>
      </w:pPr>
      <w:r/>
      <w:r>
        <w:t>Ate communal meals</w:t>
      </w:r>
    </w:p>
    <w:p>
      <w:pPr>
        <w:pStyle w:val="ListBullet"/>
        <w:spacing w:line="240" w:lineRule="auto"/>
        <w:ind w:left="720"/>
      </w:pPr>
      <w:r/>
      <w:r>
        <w:t>Practiced baptism and ritual cleansing</w:t>
      </w:r>
    </w:p>
    <w:p>
      <w:pPr>
        <w:pStyle w:val="ListBullet"/>
        <w:spacing w:line="240" w:lineRule="auto"/>
        <w:ind w:left="720"/>
      </w:pPr>
      <w:r/>
      <w:r>
        <w:t xml:space="preserve"> Strict discipline</w:t>
      </w:r>
    </w:p>
    <w:p>
      <w:r/>
      <w: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
        <w:t>were allowed to marry,</w:t>
      </w:r>
    </w:p>
    <w:p>
      <w:pPr>
        <w:pStyle w:val="ListBullet"/>
        <w:spacing w:line="240" w:lineRule="auto"/>
        <w:ind w:left="720"/>
      </w:pPr>
      <w:r/>
      <w:r>
        <w:t>allowed women to be members, and</w:t>
      </w:r>
    </w:p>
    <w:p>
      <w:pPr>
        <w:pStyle w:val="ListBullet"/>
        <w:spacing w:line="240" w:lineRule="auto"/>
        <w:ind w:left="720"/>
      </w:pPr>
      <w:r/>
      <w:r>
        <w:t xml:space="preserve">were not pacifists. </w:t>
      </w:r>
    </w:p>
    <w:p>
      <w:pPr>
        <w:pStyle w:val="Heading3"/>
      </w:pPr>
      <w:r>
        <w:t>Beliefs of the Qumran Sect</w:t>
      </w:r>
    </w:p>
    <w:p>
      <w:r/>
      <w: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
        <w:t xml:space="preserve">The Lord of creation </w:t>
      </w:r>
    </w:p>
    <w:p>
      <w:pPr>
        <w:pStyle w:val="ListBullet"/>
        <w:spacing w:line="240" w:lineRule="auto"/>
        <w:ind w:left="720"/>
      </w:pPr>
      <w:r/>
      <w:r>
        <w:t xml:space="preserve">Sovereign over all things </w:t>
      </w:r>
    </w:p>
    <w:p>
      <w:pPr>
        <w:pStyle w:val="ListBullet"/>
        <w:spacing w:line="240" w:lineRule="auto"/>
        <w:ind w:left="720"/>
      </w:pPr>
      <w:r/>
      <w:r>
        <w:t xml:space="preserve">Predestined human beings to either salvation or condemnation </w:t>
      </w:r>
    </w:p>
    <w:p>
      <w:r/>
      <w:r>
        <w:t>Angels were important to their theology. Angels were spirit creatures who would fight beside the “elect” in the war against evil. They believed in strict monotheism (the view that there is only one God), so they believed that God was the author of both good and evil.</w:t>
      </w:r>
    </w:p>
    <w:p>
      <w:r/>
      <w: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r/>
      <w: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color w:val="0000EE"/>
            <w:u w:val="single"/>
          </w:rPr>
          <w:t>Deuteronomy 18:18</w:t>
        </w:r>
      </w:hyperlink>
      <w:r>
        <w:t>). The Teacher of Righteousness may have been the anticipated prophet. Members of the community believed in the resurrection of the dead and the immortality of the righteous. The wicked, they taught, would be punished and destroyed by fire.</w:t>
      </w:r>
      <w:r/>
      <w:r/>
    </w:p>
    <w:p>
      <w:r/>
    </w:p>
    <w:p>
      <w:pPr>
        <w:pStyle w:val="Heading2"/>
      </w:pPr>
      <w:r>
        <w:t>Quotations of the Old Testament in the New Testament</w:t>
      </w:r>
      <w:r/>
    </w:p>
    <w:p>
      <w:r/>
      <w:r>
        <w:rPr>
          <w:i/>
        </w:rPr>
        <w:t>See</w:t>
      </w:r>
      <w:r>
        <w:t xml:space="preserve"> </w:t>
      </w:r>
      <w:r>
        <w:t>Bible, Quotations of the Old Testament in the New Testament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