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ऋ</w:t>
      </w:r>
      <w:r/>
    </w:p>
    <w:p>
      <w:r/>
      <w:r>
        <w:rPr>
          <w:i/>
        </w:rPr>
        <w:t>ऋण, ऋण, ऋण लेना और देना, ऋण, ऋणदाता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ऋण</w:t>
      </w:r>
      <w:r/>
    </w:p>
    <w:p>
      <w:r/>
      <w: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r/>
      <w: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hyperlink r:id="rId15">
        <w:r>
          <w:rPr>
            <w:color w:val="0000EE"/>
            <w:u w:val="single"/>
          </w:rPr>
          <w:t>2 रा 4:1–7</w:t>
        </w:r>
      </w:hyperlink>
      <w:r>
        <w:t>)। एक अन्य क्रिया का आमतौर पर अनुवाद "वृद्धि" या "लाभ" के रूप में किया जाता है (</w:t>
      </w:r>
      <w:hyperlink r:id="rId16">
        <w:r>
          <w:rPr>
            <w:color w:val="0000EE"/>
            <w:u w:val="single"/>
          </w:rPr>
          <w:t>लैव्य 25:37</w:t>
        </w:r>
      </w:hyperlink>
      <w: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t xml:space="preserve">मूसा की व्यवस्था </w:t>
      </w:r>
    </w:p>
    <w:p>
      <w:r/>
      <w: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t>गरीबों की सुरक्षा</w:t>
      </w:r>
    </w:p>
    <w:p>
      <w:r/>
      <w: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hyperlink r:id="rId17">
        <w:r>
          <w:rPr>
            <w:color w:val="0000EE"/>
            <w:u w:val="single"/>
          </w:rPr>
          <w:t>निर्ग 22:25</w:t>
        </w:r>
      </w:hyperlink>
      <w:r>
        <w:t xml:space="preserve">; </w:t>
      </w:r>
      <w:hyperlink r:id="rId18">
        <w:r>
          <w:rPr>
            <w:color w:val="0000EE"/>
            <w:u w:val="single"/>
          </w:rPr>
          <w:t>व्य.वि. 23:19–20</w:t>
        </w:r>
      </w:hyperlink>
      <w:r>
        <w:t>); परमेश्वर उनके विशेष अधिवक्ता थे। इस प्रकार, बिना ब्याज के उधार देकर, इस्राएली परमेश्वर के प्रति अपना आदर प्रदर्शित कर सकते थे (</w:t>
      </w:r>
      <w:hyperlink r:id="rId19">
        <w:r>
          <w:rPr>
            <w:color w:val="0000EE"/>
            <w:u w:val="single"/>
          </w:rPr>
          <w:t>लैव्य 25:35–37</w:t>
        </w:r>
      </w:hyperlink>
      <w:r>
        <w:t>)।</w:t>
      </w:r>
    </w:p>
    <w:p>
      <w:r/>
      <w: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t>परमेश्वर ने इस्राएलियों से वादा किया था कि यदि वे मानवीय दुःख को कम करने के लिए उधार देंगे, तो उन्हें परमेश्वर द्वारा असाधारण आशीष दी जाएगी</w:t>
      </w:r>
      <w:r>
        <w:t xml:space="preserve"> (</w:t>
      </w:r>
      <w:hyperlink r:id="rId20">
        <w:r>
          <w:rPr>
            <w:color w:val="0000EE"/>
            <w:u w:val="single"/>
          </w:rPr>
          <w:t>व्य.वि. 15:6</w:t>
        </w:r>
      </w:hyperlink>
      <w:r>
        <w:t xml:space="preserve">; </w:t>
      </w:r>
      <w:hyperlink r:id="rId18">
        <w:r>
          <w:rPr>
            <w:color w:val="0000EE"/>
            <w:u w:val="single"/>
          </w:rPr>
          <w:t>23:19–20</w:t>
        </w:r>
      </w:hyperlink>
      <w:r>
        <w:t xml:space="preserve">; </w:t>
      </w:r>
      <w:hyperlink r:id="rId21">
        <w:r>
          <w:rPr>
            <w:color w:val="0000EE"/>
            <w:u w:val="single"/>
          </w:rPr>
          <w:t>28:12</w:t>
        </w:r>
      </w:hyperlink>
      <w:r>
        <w:t>)। ब्याज एक विदेशी से लिया जा सकता था जो मूसा की व्यवस्था के अधीन नहीं था, जो प्राचीन पश्चिमी एशिया में प्रचलित वाणिज्यिक संधियों के समान एक शर्त थी।</w:t>
      </w:r>
    </w:p>
    <w:p>
      <w:r/>
      <w: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hyperlink r:id="rId22">
        <w:r>
          <w:rPr>
            <w:color w:val="0000EE"/>
            <w:u w:val="single"/>
          </w:rPr>
          <w:t>लैव्य 26:14, 20</w:t>
        </w:r>
      </w:hyperlink>
      <w:r>
        <w:t>)। धनी लोगों से अपेक्षा की जाती थी कि वे सहायता करें, न कि खराब फसलों से पीड़ित लोगों पर और अधिक बोझ डालें।</w:t>
      </w:r>
    </w:p>
    <w:p>
      <w:pPr>
        <w:pStyle w:val="Heading4"/>
      </w:pPr>
      <w:r>
        <w:t>नियम का उल्लंघन करना</w:t>
      </w:r>
    </w:p>
    <w:p>
      <w:r/>
      <w: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hyperlink r:id="rId23">
        <w:r>
          <w:rPr>
            <w:color w:val="0000EE"/>
            <w:u w:val="single"/>
          </w:rPr>
          <w:t>1 शमू 22:2</w:t>
        </w:r>
      </w:hyperlink>
      <w:r>
        <w:t>)। भविष्यद्वक्ता यहेजकेल ने लोगों को परमेश्वर की सूदखोरी के बारे में आदेशों का पालन न करने के लिए फटकार लगाई (</w:t>
      </w:r>
      <w:hyperlink r:id="rId24">
        <w:r>
          <w:rPr>
            <w:color w:val="0000EE"/>
            <w:u w:val="single"/>
          </w:rPr>
          <w:t>यहे 18:5–18</w:t>
        </w:r>
      </w:hyperlink>
      <w:r>
        <w:t xml:space="preserve">; </w:t>
      </w:r>
      <w:hyperlink r:id="rId25">
        <w:r>
          <w:rPr>
            <w:color w:val="0000EE"/>
            <w:u w:val="single"/>
          </w:rPr>
          <w:t>22:12</w:t>
        </w:r>
      </w:hyperlink>
      <w: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hyperlink r:id="rId26">
        <w:r>
          <w:rPr>
            <w:color w:val="0000EE"/>
            <w:u w:val="single"/>
          </w:rPr>
          <w:t>नहे 5:6–13</w:t>
        </w:r>
      </w:hyperlink>
      <w:r>
        <w:t>)।</w:t>
      </w:r>
    </w:p>
    <w:p>
      <w:r/>
      <w: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hyperlink r:id="rId27">
        <w:r>
          <w:rPr>
            <w:color w:val="0000EE"/>
            <w:u w:val="single"/>
          </w:rPr>
          <w:t>नीति 28:8</w:t>
        </w:r>
      </w:hyperlink>
      <w:r>
        <w:t>)। भविष्यद्वक्ता आमोस ने इस्राएल के भ्रष्ट व्यापारियों को इसी तरह की चेतावनी दी: “</w:t>
      </w:r>
      <w:r>
        <w:t>तुम जो कंगालों को लताड़ा करते, और भेंट कहकर उनसे अन्न हर लेते हो, ........ और जो मनभावनी दाख की बारियाँ तुम ने लगाई हैं, उनका दाखमधु न पीने पाओगे।</w:t>
      </w:r>
      <w:r>
        <w:t>” (</w:t>
      </w:r>
      <w:hyperlink r:id="rId28">
        <w:r>
          <w:rPr>
            <w:color w:val="0000EE"/>
            <w:u w:val="single"/>
          </w:rPr>
          <w:t>आमो 5:11</w:t>
        </w:r>
      </w:hyperlink>
      <w:r>
        <w:t>)। ऐसी चेतावनियों के बावजूद, नियम को अक्सर नज़रअंदाज़ किया गया और पहले से ही दरिद्र उधारकर्ताओं पर भारी ब्याज दरें लगाई जाती थी।</w:t>
      </w:r>
    </w:p>
    <w:p>
      <w:pPr>
        <w:pStyle w:val="Heading4"/>
      </w:pPr>
      <w:r>
        <w:t>प्रतिज्ञाएँ और निश्चितता</w:t>
      </w:r>
    </w:p>
    <w:p>
      <w:r/>
      <w: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hyperlink r:id="rId29">
        <w:r>
          <w:rPr>
            <w:color w:val="0000EE"/>
            <w:u w:val="single"/>
          </w:rPr>
          <w:t>व्य.वि. 24:17</w:t>
        </w:r>
      </w:hyperlink>
      <w:r>
        <w:t xml:space="preserve">)। दैनिक जीवन के लिए आवश्यक उपकरण (जैसे कि चक्की के पत्थर) या जानवर (जैसे कि बैल) प्रतिज्ञा के रूप में निषिद्ध थे (v </w:t>
      </w:r>
      <w:hyperlink r:id="rId30">
        <w:r>
          <w:rPr>
            <w:color w:val="0000EE"/>
            <w:u w:val="single"/>
          </w:rPr>
          <w:t>6</w:t>
        </w:r>
      </w:hyperlink>
      <w: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hyperlink r:id="rId31">
        <w:r>
          <w:rPr>
            <w:color w:val="0000EE"/>
            <w:u w:val="single"/>
          </w:rPr>
          <w:t>निर्ग 22:26–27</w:t>
        </w:r>
      </w:hyperlink>
      <w:r>
        <w:t xml:space="preserve">; </w:t>
      </w:r>
      <w:hyperlink r:id="rId32">
        <w:r>
          <w:rPr>
            <w:color w:val="0000EE"/>
            <w:u w:val="single"/>
          </w:rPr>
          <w:t>व्य.वि. 24:10–13</w:t>
        </w:r>
      </w:hyperlink>
      <w:r>
        <w:t>)।</w:t>
      </w:r>
    </w:p>
    <w:p>
      <w:r/>
      <w: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hyperlink r:id="rId15">
        <w:r>
          <w:rPr>
            <w:color w:val="0000EE"/>
            <w:u w:val="single"/>
          </w:rPr>
          <w:t>2 रा 4:1–7</w:t>
        </w:r>
      </w:hyperlink>
      <w:r>
        <w:t>)। जब उन्हें उधार लेना पड़ता था तब श्रम या उनके बच्चों के श्रम को गिरवी देना ही एकमात्र तरीका था जिससे दास कर्ज चुका सकते थे।</w:t>
      </w:r>
    </w:p>
    <w:p>
      <w:r/>
      <w: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hyperlink r:id="rId33">
        <w:r>
          <w:rPr>
            <w:color w:val="0000EE"/>
            <w:u w:val="single"/>
          </w:rPr>
          <w:t>नीति 6:1–3</w:t>
        </w:r>
      </w:hyperlink>
      <w:r>
        <w:t xml:space="preserve">; </w:t>
      </w:r>
      <w:hyperlink r:id="rId34">
        <w:r>
          <w:rPr>
            <w:color w:val="0000EE"/>
            <w:u w:val="single"/>
          </w:rPr>
          <w:t>11:15</w:t>
        </w:r>
      </w:hyperlink>
      <w:r>
        <w:t xml:space="preserve">; </w:t>
      </w:r>
      <w:hyperlink r:id="rId35">
        <w:r>
          <w:rPr>
            <w:color w:val="0000EE"/>
            <w:u w:val="single"/>
          </w:rPr>
          <w:t>17:18</w:t>
        </w:r>
      </w:hyperlink>
      <w:r>
        <w:t xml:space="preserve">; </w:t>
      </w:r>
      <w:hyperlink r:id="rId36">
        <w:r>
          <w:rPr>
            <w:color w:val="0000EE"/>
            <w:u w:val="single"/>
          </w:rPr>
          <w:t>22:26</w:t>
        </w:r>
      </w:hyperlink>
      <w:r>
        <w:t xml:space="preserve">; </w:t>
      </w:r>
      <w:hyperlink r:id="rId37">
        <w:r>
          <w:rPr>
            <w:color w:val="0000EE"/>
            <w:u w:val="single"/>
          </w:rPr>
          <w:t>27:13</w:t>
        </w:r>
      </w:hyperlink>
      <w:r>
        <w:t>)।</w:t>
      </w:r>
    </w:p>
    <w:p>
      <w:pPr>
        <w:pStyle w:val="Heading4"/>
      </w:pPr>
      <w:r>
        <w:t xml:space="preserve"> </w:t>
      </w:r>
      <w:r>
        <w:t>विश्राम काल और जुबली के वर्ष</w:t>
      </w:r>
    </w:p>
    <w:p>
      <w:r/>
      <w:r>
        <w:t>लोगों को लंबे समय से चले आ रहे कर्जों के कारण गुलामी से बचाने के लिए दो कानूनी प्रावधान विश्राम (सब्बातिक) वर्ष और जुबली वर्ष थे। विश्राम वर्ष, या "</w:t>
      </w:r>
      <w:r>
        <w:t>छुटकारे का वर्ष</w:t>
      </w:r>
      <w:r>
        <w:t>," हर सातवें वर्ष होता था। उस समय कर्ज माफ कर दिए जाते थे और पट्टी को साफ किया जाता था (</w:t>
      </w:r>
      <w:hyperlink r:id="rId38">
        <w:r>
          <w:rPr>
            <w:color w:val="0000EE"/>
            <w:u w:val="single"/>
          </w:rPr>
          <w:t>व्य.वि. 15:1–12</w:t>
        </w:r>
      </w:hyperlink>
      <w:r>
        <w:t xml:space="preserve">; तुलना करें </w:t>
      </w:r>
      <w:hyperlink r:id="rId39">
        <w:r>
          <w:rPr>
            <w:color w:val="0000EE"/>
            <w:u w:val="single"/>
          </w:rPr>
          <w:t>निर्ग 21:2</w:t>
        </w:r>
      </w:hyperlink>
      <w:r>
        <w:t xml:space="preserve">; </w:t>
      </w:r>
      <w:hyperlink r:id="rId40">
        <w:r>
          <w:rPr>
            <w:color w:val="0000EE"/>
            <w:u w:val="single"/>
          </w:rPr>
          <w:t>23:10–11</w:t>
        </w:r>
      </w:hyperlink>
      <w:r>
        <w:t xml:space="preserve">; </w:t>
      </w:r>
      <w:hyperlink r:id="rId41">
        <w:r>
          <w:rPr>
            <w:color w:val="0000EE"/>
            <w:u w:val="single"/>
          </w:rPr>
          <w:t>लैव्य 25:2–7</w:t>
        </w:r>
      </w:hyperlink>
      <w: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r/>
      <w: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hyperlink r:id="rId42">
        <w:r>
          <w:rPr>
            <w:color w:val="0000EE"/>
            <w:u w:val="single"/>
          </w:rPr>
          <w:t>लैव्य 25:13–17</w:t>
        </w:r>
      </w:hyperlink>
      <w: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t>नए नियम में ऋण</w:t>
      </w:r>
    </w:p>
    <w:p>
      <w:r/>
      <w: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t>यीशु के दृष्टांत</w:t>
      </w:r>
    </w:p>
    <w:p>
      <w:r/>
      <w:r>
        <w:t>यीशु ने अपने दृष्टान्त में गैर-यहूदियों की आर्थिक प्रथाओं का उल्लेख किया, जिसमें एक सेवक ने एक साथी दास को ऋण न चुकाने के लिए जेल में डाल दिया (</w:t>
      </w:r>
      <w:hyperlink r:id="rId43">
        <w:r>
          <w:rPr>
            <w:color w:val="0000EE"/>
            <w:u w:val="single"/>
          </w:rPr>
          <w:t>मत्ती 18:23–35</w:t>
        </w:r>
      </w:hyperlink>
      <w: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hyperlink r:id="rId44">
        <w:r>
          <w:rPr>
            <w:color w:val="0000EE"/>
            <w:u w:val="single"/>
          </w:rPr>
          <w:t>25:14–28</w:t>
        </w:r>
      </w:hyperlink>
      <w:r>
        <w:t>) और मुहरों का दृष्टान्त (</w:t>
      </w:r>
      <w:hyperlink r:id="rId45">
        <w:r>
          <w:rPr>
            <w:color w:val="0000EE"/>
            <w:u w:val="single"/>
          </w:rPr>
          <w:t>लूका 19:12–24</w:t>
        </w:r>
      </w:hyperlink>
      <w:r>
        <w:t>), परमेश्वर के राज्य के बारे में रूपक रूप से बोलते हुए, ऋणदाता के साथ निवेश किए गए धन पर ब्याज कमाने का उल्लेख करते हैं।</w:t>
      </w:r>
    </w:p>
    <w:p>
      <w:pPr>
        <w:pStyle w:val="Heading4"/>
      </w:pPr>
      <w:r>
        <w:t>आर्थिक और धर्मशास्त्रीय निर्देश</w:t>
      </w:r>
    </w:p>
    <w:p>
      <w:r/>
      <w:r>
        <w:t>प्रेरित पौलुस ने मसीहियों को निर्देश दिया कि वे "किसी के प्रति कुछ भी बकाया न रखें" (</w:t>
      </w:r>
      <w:hyperlink r:id="rId46">
        <w:r>
          <w:rPr>
            <w:color w:val="0000EE"/>
            <w:u w:val="single"/>
          </w:rPr>
          <w:t>रोम 13:8</w:t>
        </w:r>
      </w:hyperlink>
      <w: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hyperlink r:id="rId47">
        <w:r>
          <w:rPr>
            <w:color w:val="0000EE"/>
            <w:u w:val="single"/>
          </w:rPr>
          <w:t>मत्ती 5:42</w:t>
        </w:r>
      </w:hyperlink>
      <w:r>
        <w:t xml:space="preserve">; </w:t>
      </w:r>
      <w:hyperlink r:id="rId48">
        <w:r>
          <w:rPr>
            <w:color w:val="0000EE"/>
            <w:u w:val="single"/>
          </w:rPr>
          <w:t>लूका 6:35</w:t>
        </w:r>
      </w:hyperlink>
      <w:r>
        <w:t>)।</w:t>
      </w:r>
    </w:p>
    <w:p>
      <w:r/>
      <w:r>
        <w:t>नया नियम “ऋण” और “ऋणी” के रूपक उपयोग पर आधारित सिद्धांतों में कई पाठ भी प्रस्तुत करता है। यीशु ने एक बार पापियों का उल्लेख (</w:t>
      </w:r>
      <w:hyperlink r:id="rId49">
        <w:r>
          <w:rPr>
            <w:color w:val="0000EE"/>
            <w:u w:val="single"/>
          </w:rPr>
          <w:t>लूका 13:2</w:t>
        </w:r>
      </w:hyperlink>
      <w:r>
        <w:t>) एक शब्द के साथ किया जिसका शाब्दिक अर्थ “ऋणी” है (</w:t>
      </w:r>
      <w:hyperlink r:id="rId50">
        <w:r>
          <w:rPr>
            <w:color w:val="0000EE"/>
            <w:u w:val="single"/>
          </w:rPr>
          <w:t>v 4</w:t>
        </w:r>
      </w:hyperlink>
      <w:r>
        <w:t>)। प्रभु की प्रार्थना में “ऋण” को “पापों” के समांतर रूप से प्रस्तुत किया गया है (</w:t>
      </w:r>
      <w:hyperlink r:id="rId51">
        <w:r>
          <w:rPr>
            <w:color w:val="0000EE"/>
            <w:u w:val="single"/>
          </w:rPr>
          <w:t>मत्ती 6:12</w:t>
        </w:r>
      </w:hyperlink>
      <w:r>
        <w:t xml:space="preserve">; </w:t>
      </w:r>
      <w:hyperlink r:id="rId52">
        <w:r>
          <w:rPr>
            <w:color w:val="0000EE"/>
            <w:u w:val="single"/>
          </w:rPr>
          <w:t>लूका 11:4</w:t>
        </w:r>
      </w:hyperlink>
      <w:r>
        <w:t>)।</w:t>
      </w:r>
    </w:p>
    <w:p>
      <w:r/>
      <w:r>
        <w:t>पाप को एक दासता के रूप में देखा जाता है (</w:t>
      </w:r>
      <w:hyperlink r:id="rId53">
        <w:r>
          <w:rPr>
            <w:color w:val="0000EE"/>
            <w:u w:val="single"/>
          </w:rPr>
          <w:t>यूह 8:34</w:t>
        </w:r>
      </w:hyperlink>
      <w:r>
        <w:t>) और सभी पुरुष और महिलाएँ परमेश्वर के ऋणी हैं। छुटकारा केवल परमेश्वर द्वारा ही दिया जा सकता है, जिन्होंने लोगों को स्वतंत्र करने के लिए "अपने एकमात्र पुत्र को दिया" (</w:t>
      </w:r>
      <w:hyperlink r:id="rId54">
        <w:r>
          <w:rPr>
            <w:color w:val="0000EE"/>
            <w:u w:val="single"/>
          </w:rPr>
          <w:t>यूह 3:16–18</w:t>
        </w:r>
      </w:hyperlink>
      <w:r>
        <w:t>)। इब्रानियों के लेखक ने दिखाया कि यीशु को नई वाचा का जमानतदार बनाया गया था (</w:t>
      </w:r>
      <w:hyperlink r:id="rId55">
        <w:r>
          <w:rPr>
            <w:color w:val="0000EE"/>
            <w:u w:val="single"/>
          </w:rPr>
          <w:t>इब्रा 7:22</w:t>
        </w:r>
      </w:hyperlink>
      <w:r>
        <w:t>)।</w:t>
      </w:r>
    </w:p>
    <w:p>
      <w:r/>
      <w:r>
        <w:t>प्रेरित पौलुस ने अपने उद्धार के कारण स्वयं को लोगों के प्रति ऋणी महसूस किया, एक ऋण जिसे वह सुसमाचार का प्रचार करके चुका सकते थे (</w:t>
      </w:r>
      <w:hyperlink r:id="rId56">
        <w:r>
          <w:rPr>
            <w:color w:val="0000EE"/>
            <w:u w:val="single"/>
          </w:rPr>
          <w:t>रोम 1:14–15</w:t>
        </w:r>
      </w:hyperlink>
      <w: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hyperlink r:id="rId57">
        <w:r>
          <w:rPr>
            <w:color w:val="0000EE"/>
            <w:u w:val="single"/>
          </w:rPr>
          <w:t>15:26–27</w:t>
        </w:r>
      </w:hyperlink>
      <w:r>
        <w:t>)।</w:t>
      </w:r>
    </w:p>
    <w:p>
      <w:r/>
      <w:r>
        <w:rPr>
          <w:i/>
        </w:rPr>
        <w:t>यह भी देखें</w:t>
      </w:r>
      <w:r>
        <w:t xml:space="preserve"> </w:t>
      </w:r>
      <w:r>
        <w:t>बैंककर्मी, बैंकिंग</w:t>
      </w:r>
      <w:r>
        <w:t xml:space="preserve">; </w:t>
      </w:r>
      <w:r>
        <w:t>धन</w:t>
      </w:r>
      <w:r>
        <w:t>।</w:t>
      </w:r>
      <w:r/>
      <w:r/>
    </w:p>
    <w:p>
      <w:r/>
    </w:p>
    <w:p>
      <w:pPr>
        <w:pStyle w:val="Heading2"/>
      </w:pPr>
      <w:r>
        <w:t>ऋण</w:t>
      </w:r>
      <w:r/>
    </w:p>
    <w:p>
      <w:r/>
      <w:r>
        <w:t xml:space="preserve">उधार दिए गए रुपये-पैसे पर ब्याज। </w:t>
      </w:r>
      <w:r>
        <w:rPr>
          <w:i/>
        </w:rPr>
        <w:t>देखें</w:t>
      </w:r>
      <w:r>
        <w:t xml:space="preserve"> </w:t>
      </w:r>
      <w:r>
        <w:t>रुपये-पैसे</w:t>
      </w:r>
      <w:r>
        <w:t xml:space="preserve">; </w:t>
      </w:r>
      <w:r>
        <w:t>साहूकार, साहूकारी</w:t>
      </w:r>
      <w:r>
        <w:t>।</w:t>
      </w:r>
      <w:r/>
      <w:r/>
    </w:p>
    <w:p>
      <w:r/>
    </w:p>
    <w:p>
      <w:pPr>
        <w:pStyle w:val="Heading2"/>
      </w:pPr>
      <w:r>
        <w:t>ऋण लेना और देना</w:t>
      </w:r>
      <w:r/>
    </w:p>
    <w:p>
      <w:r/>
      <w:r>
        <w:t>ऐसा धन या वस्तु प्राप्त करना जिसे कोई व्यक्ति लौटाने का वादा करता है। मूसा की व्यवस्था ने ऋण लेने और देने को नियंत्रित किया है (</w:t>
      </w:r>
      <w:hyperlink r:id="rId18">
        <w:r>
          <w:rPr>
            <w:color w:val="0000EE"/>
            <w:u w:val="single"/>
          </w:rPr>
          <w:t>व्य.वि. 23:19–20</w:t>
        </w:r>
      </w:hyperlink>
      <w:r>
        <w:t>)।</w:t>
      </w:r>
    </w:p>
    <w:p>
      <w:r/>
      <w:r>
        <w:rPr>
          <w:i/>
        </w:rPr>
        <w:t>देखें</w:t>
      </w:r>
      <w:r>
        <w:t xml:space="preserve"> </w:t>
      </w:r>
      <w:r>
        <w:t>साहूकार, साहूकारी</w:t>
      </w:r>
      <w:r>
        <w:t>।</w:t>
      </w:r>
    </w:p>
    <w:p>
      <w:r/>
      <w:r/>
      <w:r/>
    </w:p>
    <w:p>
      <w:r/>
    </w:p>
    <w:p>
      <w:pPr>
        <w:pStyle w:val="Heading2"/>
      </w:pPr>
      <w:r>
        <w:t>ऋण, ऋणदाता</w:t>
      </w:r>
      <w:r/>
    </w:p>
    <w:p>
      <w:pPr>
        <w:pStyle w:val="Heading2"/>
      </w:pPr>
      <w:r>
        <w:t>ऋण</w:t>
      </w:r>
      <w:r>
        <w:t>, ऋणदाता</w:t>
      </w:r>
    </w:p>
    <w:p>
      <w:r/>
      <w: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hyperlink r:id="rId18">
        <w:r>
          <w:rPr>
            <w:color w:val="0000EE"/>
            <w:u w:val="single"/>
          </w:rPr>
          <w:t>व्य.वि. 23:19–20</w:t>
        </w:r>
      </w:hyperlink>
      <w:r>
        <w:t>)।</w:t>
      </w:r>
    </w:p>
    <w:p>
      <w:r/>
      <w:r>
        <w:rPr>
          <w:i/>
        </w:rPr>
        <w:t>यह भी देखें</w:t>
      </w:r>
      <w:r>
        <w:t xml:space="preserve"> </w:t>
      </w:r>
      <w:r>
        <w:t>बैंक कर्मी, बैंकिंग</w:t>
      </w:r>
      <w:r>
        <w:t xml:space="preserve">; </w:t>
      </w:r>
      <w:r>
        <w:t>ऋण</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4:1-2Kgs4:7" TargetMode="External"/><Relationship Id="rId16" Type="http://schemas.openxmlformats.org/officeDocument/2006/relationships/hyperlink" Target="https://ref.ly/Lev25:37" TargetMode="External"/><Relationship Id="rId17" Type="http://schemas.openxmlformats.org/officeDocument/2006/relationships/hyperlink" Target="https://ref.ly/Exod22:25" TargetMode="External"/><Relationship Id="rId18" Type="http://schemas.openxmlformats.org/officeDocument/2006/relationships/hyperlink" Target="https://ref.ly/Deut23:19-Deut23:20" TargetMode="External"/><Relationship Id="rId19" Type="http://schemas.openxmlformats.org/officeDocument/2006/relationships/hyperlink" Target="https://ref.ly/Lev25:35-Lev25:37" TargetMode="External"/><Relationship Id="rId20" Type="http://schemas.openxmlformats.org/officeDocument/2006/relationships/hyperlink" Target="https://ref.ly/Deut15:6" TargetMode="External"/><Relationship Id="rId21" Type="http://schemas.openxmlformats.org/officeDocument/2006/relationships/hyperlink" Target="https://ref.ly/Deut28:12" TargetMode="External"/><Relationship Id="rId22" Type="http://schemas.openxmlformats.org/officeDocument/2006/relationships/hyperlink" Target="https://ref.ly/Lev26:14,Lev26:20" TargetMode="External"/><Relationship Id="rId23" Type="http://schemas.openxmlformats.org/officeDocument/2006/relationships/hyperlink" Target="https://ref.ly/1Sam22:2" TargetMode="External"/><Relationship Id="rId24" Type="http://schemas.openxmlformats.org/officeDocument/2006/relationships/hyperlink" Target="https://ref.ly/Ezek18:5-Ezek18:18" TargetMode="External"/><Relationship Id="rId25" Type="http://schemas.openxmlformats.org/officeDocument/2006/relationships/hyperlink" Target="https://ref.ly/Ezek22:12" TargetMode="External"/><Relationship Id="rId26" Type="http://schemas.openxmlformats.org/officeDocument/2006/relationships/hyperlink" Target="https://ref.ly/Neh5:6-Neh5:13" TargetMode="External"/><Relationship Id="rId27" Type="http://schemas.openxmlformats.org/officeDocument/2006/relationships/hyperlink" Target="https://ref.ly/Prov28:8" TargetMode="External"/><Relationship Id="rId28" Type="http://schemas.openxmlformats.org/officeDocument/2006/relationships/hyperlink" Target="https://ref.ly/Amos5:11" TargetMode="External"/><Relationship Id="rId29" Type="http://schemas.openxmlformats.org/officeDocument/2006/relationships/hyperlink" Target="https://ref.ly/Deut24:17" TargetMode="External"/><Relationship Id="rId30" Type="http://schemas.openxmlformats.org/officeDocument/2006/relationships/hyperlink" Target="https://ref.ly/Deut24:6" TargetMode="External"/><Relationship Id="rId31" Type="http://schemas.openxmlformats.org/officeDocument/2006/relationships/hyperlink" Target="https://ref.ly/Exod22:26-Exod22:27" TargetMode="External"/><Relationship Id="rId32" Type="http://schemas.openxmlformats.org/officeDocument/2006/relationships/hyperlink" Target="https://ref.ly/Deut24:10-Deut24:13" TargetMode="External"/><Relationship Id="rId33" Type="http://schemas.openxmlformats.org/officeDocument/2006/relationships/hyperlink" Target="https://ref.ly/Prov6:1-Prov6:3" TargetMode="External"/><Relationship Id="rId34" Type="http://schemas.openxmlformats.org/officeDocument/2006/relationships/hyperlink" Target="https://ref.ly/Prov11:15" TargetMode="External"/><Relationship Id="rId35" Type="http://schemas.openxmlformats.org/officeDocument/2006/relationships/hyperlink" Target="https://ref.ly/Prov17:18" TargetMode="External"/><Relationship Id="rId36" Type="http://schemas.openxmlformats.org/officeDocument/2006/relationships/hyperlink" Target="https://ref.ly/Prov22:26" TargetMode="External"/><Relationship Id="rId37" Type="http://schemas.openxmlformats.org/officeDocument/2006/relationships/hyperlink" Target="https://ref.ly/Prov27:13" TargetMode="External"/><Relationship Id="rId38" Type="http://schemas.openxmlformats.org/officeDocument/2006/relationships/hyperlink" Target="https://ref.ly/Deut15:1-Deut15:12" TargetMode="External"/><Relationship Id="rId39" Type="http://schemas.openxmlformats.org/officeDocument/2006/relationships/hyperlink" Target="https://ref.ly/Exod21:2" TargetMode="External"/><Relationship Id="rId40" Type="http://schemas.openxmlformats.org/officeDocument/2006/relationships/hyperlink" Target="https://ref.ly/Exod23:10-Exod23:11" TargetMode="External"/><Relationship Id="rId41" Type="http://schemas.openxmlformats.org/officeDocument/2006/relationships/hyperlink" Target="https://ref.ly/Lev25:2-Lev25:7" TargetMode="External"/><Relationship Id="rId42" Type="http://schemas.openxmlformats.org/officeDocument/2006/relationships/hyperlink" Target="https://ref.ly/Lev25:13-Lev25:17" TargetMode="External"/><Relationship Id="rId43" Type="http://schemas.openxmlformats.org/officeDocument/2006/relationships/hyperlink" Target="https://ref.ly/Matt18:23-Matt18:35" TargetMode="External"/><Relationship Id="rId44" Type="http://schemas.openxmlformats.org/officeDocument/2006/relationships/hyperlink" Target="https://ref.ly/Matt25:14-Matt25:28" TargetMode="External"/><Relationship Id="rId45" Type="http://schemas.openxmlformats.org/officeDocument/2006/relationships/hyperlink" Target="https://ref.ly/Luke19:12-Luke19:24" TargetMode="External"/><Relationship Id="rId46" Type="http://schemas.openxmlformats.org/officeDocument/2006/relationships/hyperlink" Target="https://ref.ly/Rom13:8" TargetMode="External"/><Relationship Id="rId47" Type="http://schemas.openxmlformats.org/officeDocument/2006/relationships/hyperlink" Target="https://ref.ly/Matt5:42" TargetMode="External"/><Relationship Id="rId48" Type="http://schemas.openxmlformats.org/officeDocument/2006/relationships/hyperlink" Target="https://ref.ly/Luke6:35" TargetMode="External"/><Relationship Id="rId49" Type="http://schemas.openxmlformats.org/officeDocument/2006/relationships/hyperlink" Target="https://ref.ly/Luke13:2" TargetMode="External"/><Relationship Id="rId50" Type="http://schemas.openxmlformats.org/officeDocument/2006/relationships/hyperlink" Target="https://ref.ly/Luke13:4" TargetMode="External"/><Relationship Id="rId51" Type="http://schemas.openxmlformats.org/officeDocument/2006/relationships/hyperlink" Target="https://ref.ly/Matt6:12" TargetMode="External"/><Relationship Id="rId52" Type="http://schemas.openxmlformats.org/officeDocument/2006/relationships/hyperlink" Target="https://ref.ly/Luke11:4" TargetMode="External"/><Relationship Id="rId53" Type="http://schemas.openxmlformats.org/officeDocument/2006/relationships/hyperlink" Target="https://ref.ly/John8:34" TargetMode="External"/><Relationship Id="rId54" Type="http://schemas.openxmlformats.org/officeDocument/2006/relationships/hyperlink" Target="https://ref.ly/John3:16-John3:18" TargetMode="External"/><Relationship Id="rId55" Type="http://schemas.openxmlformats.org/officeDocument/2006/relationships/hyperlink" Target="https://ref.ly/Heb7:22" TargetMode="External"/><Relationship Id="rId56" Type="http://schemas.openxmlformats.org/officeDocument/2006/relationships/hyperlink" Target="https://ref.ly/Rom1:14-Rom1:15" TargetMode="External"/><Relationship Id="rId57" Type="http://schemas.openxmlformats.org/officeDocument/2006/relationships/hyperlink" Target="https://ref.ly/Rom15:26-Rom1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