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永生</w:t>
      </w:r>
      <w:r>
        <w:rPr>
          <w:lang w:val="zh_TW" w:bidi="zh_TW"/>
        </w:rPr>
      </w:r>
    </w:p>
    <w:p>
      <w:pPr/>
      <w:r>
        <w:rPr>
          <w:lang w:val="zh_TW" w:bidi="zh_TW"/>
        </w:rPr>
      </w:r>
      <w:r>
        <w:rPr>
          <w:lang w:val="zh_TW" w:bidi="zh_TW"/>
        </w:rPr>
        <w:t>聖經中所描述的一種存在模式，具有永恆或不朽的特性，是從神來並賜予信徒的生命。聖經作者認識到有一位活的神，在世界創造之前就存在，並當時間的終結來到時，祂仍然持續存在。神賜給那些順服並對祂負責之人的禮物被稱為「永生」或類似的同義詞。約翰福音提供了對永生最清楚的教導。</w:t>
      </w:r>
    </w:p>
    <w:p>
      <w:pPr/>
      <w:r>
        <w:rPr>
          <w:lang w:val="zh_TW" w:bidi="zh_TW"/>
        </w:rPr>
      </w:r>
      <w:r>
        <w:rPr>
          <w:lang w:val="zh_TW" w:bidi="zh_TW"/>
        </w:rPr>
        <w:t>「永生」這個詞在希臘文舊約中僅出現一次（</w:t>
      </w:r>
      <w:hyperlink r:id="rId13">
        <w:r>
          <w:rPr>
            <w:lang w:val="zh_TW" w:bidi="zh_TW"/>
          </w:rPr>
          <w:rPr>
            <w:color w:val="0000EE"/>
            <w:u w:val="single"/>
          </w:rPr>
          <w:t>但12:2</w:t>
        </w:r>
      </w:hyperlink>
      <w:r>
        <w:rPr>
          <w:lang w:val="zh_TW" w:bidi="zh_TW"/>
        </w:rPr>
        <w:t>，基本意思是「那個時代的生命（the life of the age）」，指的是超越死人復活時代的生命）。然而，舊約中「生命」的主要意義是地上生活的福祉。</w:t>
      </w:r>
    </w:p>
    <w:p>
      <w:pPr/>
      <w:r>
        <w:rPr>
          <w:lang w:val="zh_TW" w:bidi="zh_TW"/>
        </w:rPr>
      </w:r>
      <w:r>
        <w:rPr>
          <w:lang w:val="zh_TW" w:bidi="zh_TW"/>
        </w:rPr>
        <w:t>在兩約之間的時期，猶太拉比清楚地區分了「今世」和「將來的世代」。他們強調，將來世代的生命不僅僅是在數量上的延續，而是質量上的區別。</w:t>
      </w:r>
    </w:p>
    <w:p>
      <w:pPr/>
      <w:r>
        <w:rPr>
          <w:lang w:val="zh_TW" w:bidi="zh_TW"/>
        </w:rPr>
      </w:r>
      <w:r>
        <w:rPr>
          <w:lang w:val="zh_TW" w:bidi="zh_TW"/>
        </w:rPr>
        <w:t>希臘文中「永恆」一詞的詞源與「世代」或「永遠」相關。將新約置於猶太教的背景下，結合永活神和「將來世代」的應許，使「永恆」這個形容詞具有更深的意義。耶穌基督作為神的最終啟示，使未來彌賽亞世代的生命品質在現在的現實中成為可能。</w:t>
      </w:r>
    </w:p>
    <w:p>
      <w:pPr/>
      <w:r>
        <w:rPr>
          <w:lang w:val="zh_TW" w:bidi="zh_TW"/>
        </w:rPr>
      </w:r>
      <w:r>
        <w:rPr>
          <w:lang w:val="zh_TW" w:bidi="zh_TW"/>
        </w:rPr>
        <w:t>那位富有的年輕官員來到耶穌面前，詢問如何承受永生（</w:t>
      </w:r>
      <w:hyperlink r:id="rId14">
        <w:r>
          <w:rPr>
            <w:lang w:val="zh_TW" w:bidi="zh_TW"/>
          </w:rPr>
          <w:rPr>
            <w:color w:val="0000EE"/>
            <w:u w:val="single"/>
          </w:rPr>
          <w:t>可10:17</w:t>
        </w:r>
      </w:hyperlink>
      <w:r>
        <w:rPr>
          <w:lang w:val="zh_TW" w:bidi="zh_TW"/>
        </w:rPr>
        <w:t>）。顯然，他想到的是將來世代的復活生命。耶穌的回答以相同的概念來應對（</w:t>
      </w:r>
      <w:hyperlink r:id="rId15">
        <w:r>
          <w:rPr>
            <w:lang w:val="zh_TW" w:bidi="zh_TW"/>
          </w:rPr>
          <w:rPr>
            <w:color w:val="0000EE"/>
            <w:u w:val="single"/>
          </w:rPr>
          <w:t>30</w:t>
        </w:r>
      </w:hyperlink>
      <w:r>
        <w:rPr>
          <w:lang w:val="zh_TW" w:bidi="zh_TW"/>
        </w:rPr>
        <w:t>節）。</w:t>
      </w:r>
    </w:p>
    <w:p>
      <w:pPr/>
      <w:r>
        <w:rPr>
          <w:lang w:val="zh_TW" w:bidi="zh_TW"/>
        </w:rPr>
      </w:r>
      <w:r>
        <w:rPr>
          <w:lang w:val="zh_TW" w:bidi="zh_TW"/>
        </w:rPr>
        <w:t>耶穌對富有年輕人的回答中，把接受永生等同於進入神的國（</w:t>
      </w:r>
      <w:hyperlink r:id="rId16">
        <w:r>
          <w:rPr>
            <w:lang w:val="zh_TW" w:bidi="zh_TW"/>
          </w:rPr>
          <w:rPr>
            <w:color w:val="0000EE"/>
            <w:u w:val="single"/>
          </w:rPr>
          <w:t>可10:23–25</w:t>
        </w:r>
      </w:hyperlink>
      <w:r>
        <w:rPr>
          <w:lang w:val="zh_TW" w:bidi="zh_TW"/>
        </w:rPr>
        <w:t>）。神的國不僅僅是一個未來的事件，而是已經在耶穌的生命、事工和教導中開始實現。神的國是現在這個當下（present）生命的禮物，信徒在現今世代中便能領受。耶穌的許多比喻強調了這一點（例如，</w:t>
      </w:r>
      <w:hyperlink r:id="rId17">
        <w:r>
          <w:rPr>
            <w:lang w:val="zh_TW" w:bidi="zh_TW"/>
          </w:rPr>
          <w:rPr>
            <w:color w:val="0000EE"/>
            <w:u w:val="single"/>
          </w:rPr>
          <w:t>太13章</w:t>
        </w:r>
      </w:hyperlink>
      <w:r>
        <w:rPr>
          <w:lang w:val="zh_TW" w:bidi="zh_TW"/>
        </w:rPr>
        <w:t>中的比喻）。登山寶訓中的八福（</w:t>
      </w:r>
      <w:hyperlink r:id="rId18">
        <w:r>
          <w:rPr>
            <w:lang w:val="zh_TW" w:bidi="zh_TW"/>
          </w:rPr>
          <w:rPr>
            <w:color w:val="0000EE"/>
            <w:u w:val="single"/>
          </w:rPr>
          <w:t>5:3–12</w:t>
        </w:r>
      </w:hyperlink>
      <w:r>
        <w:rPr>
          <w:lang w:val="zh_TW" w:bidi="zh_TW"/>
        </w:rPr>
        <w:t>）進一步闡明了當下的祝福，包括救恩、赦罪和公義。因此，永生是一種現今的祝福，賜予那些順服神的統治並在這新救恩時代的祝福中生活的人，在現今世代結束之前，便能享受這恩典。</w:t>
      </w:r>
    </w:p>
    <w:p>
      <w:pPr/>
      <w:r>
        <w:rPr>
          <w:lang w:val="zh_TW" w:bidi="zh_TW"/>
        </w:rPr>
      </w:r>
      <w:r>
        <w:rPr>
          <w:lang w:val="zh_TW" w:bidi="zh_TW"/>
        </w:rPr>
        <w:t>關於永生最全面的討論出現在約翰福音。約翰的目是突出這一概念的關鍵重要性：「但記這些事要叫你們信耶穌是基督，是神的兒子，並且叫你們信了他，就可以因他的名得生命。」（</w:t>
      </w:r>
      <w:hyperlink r:id="rId19">
        <w:r>
          <w:rPr>
            <w:lang w:val="zh_TW" w:bidi="zh_TW"/>
          </w:rPr>
          <w:rPr>
            <w:color w:val="0000EE"/>
            <w:u w:val="single"/>
          </w:rPr>
          <w:t>約20:31</w:t>
        </w:r>
      </w:hyperlink>
      <w:r>
        <w:rPr>
          <w:lang w:val="zh_TW" w:bidi="zh_TW"/>
        </w:rPr>
        <w:t>）。約翰中最早提及永生見於</w:t>
      </w:r>
      <w:hyperlink r:id="rId20">
        <w:r>
          <w:rPr>
            <w:lang w:val="zh_TW" w:bidi="zh_TW"/>
          </w:rPr>
          <w:rPr>
            <w:color w:val="0000EE"/>
            <w:u w:val="single"/>
          </w:rPr>
          <w:t>約翰福音三章15節</w:t>
        </w:r>
      </w:hyperlink>
      <w:r>
        <w:rPr>
          <w:lang w:val="zh_TW" w:bidi="zh_TW"/>
        </w:rPr>
        <w:t>。</w:t>
      </w:r>
    </w:p>
    <w:p>
      <w:pPr/>
      <w:r>
        <w:rPr>
          <w:lang w:val="zh_TW" w:bidi="zh_TW"/>
        </w:rPr>
      </w:r>
      <w:r>
        <w:rPr>
          <w:lang w:val="zh_TW" w:bidi="zh_TW"/>
        </w:rPr>
        <w:t>約翰明顯地認同猶太人對將來世代及其祝福的期盼（例如，</w:t>
      </w:r>
      <w:hyperlink r:id="rId21">
        <w:r>
          <w:rPr>
            <w:lang w:val="zh_TW" w:bidi="zh_TW"/>
          </w:rPr>
          <w:rPr>
            <w:color w:val="0000EE"/>
            <w:u w:val="single"/>
          </w:rPr>
          <w:t>約3:36，</w:t>
        </w:r>
      </w:hyperlink>
      <w:hyperlink r:id="rId22">
        <w:r>
          <w:rPr>
            <w:lang w:val="zh_TW" w:bidi="zh_TW"/>
          </w:rPr>
          <w:rPr>
            <w:color w:val="0000EE"/>
            <w:u w:val="single"/>
          </w:rPr>
          <w:t>4:14，</w:t>
        </w:r>
      </w:hyperlink>
      <w:hyperlink r:id="rId23">
        <w:r>
          <w:rPr>
            <w:lang w:val="zh_TW" w:bidi="zh_TW"/>
          </w:rPr>
          <w:rPr>
            <w:color w:val="0000EE"/>
            <w:u w:val="single"/>
          </w:rPr>
          <w:t>5:29、39，</w:t>
        </w:r>
      </w:hyperlink>
      <w:hyperlink r:id="rId24">
        <w:r>
          <w:rPr>
            <w:lang w:val="zh_TW" w:bidi="zh_TW"/>
          </w:rPr>
          <w:rPr>
            <w:color w:val="0000EE"/>
            <w:u w:val="single"/>
          </w:rPr>
          <w:t>6:27，</w:t>
        </w:r>
      </w:hyperlink>
      <w:hyperlink r:id="rId25">
        <w:r>
          <w:rPr>
            <w:lang w:val="zh_TW" w:bidi="zh_TW"/>
          </w:rPr>
          <w:rPr>
            <w:color w:val="0000EE"/>
            <w:u w:val="single"/>
          </w:rPr>
          <w:t>12:25</w:t>
        </w:r>
      </w:hyperlink>
      <w:r>
        <w:rPr>
          <w:lang w:val="zh_TW" w:bidi="zh_TW"/>
        </w:rPr>
        <w:t>）。永生被定義為彌賽亞世代到來時，所賜予的特別恩典。拉撒路的復活（</w:t>
      </w:r>
      <w:hyperlink r:id="rId26">
        <w:r>
          <w:rPr>
            <w:lang w:val="zh_TW" w:bidi="zh_TW"/>
          </w:rPr>
          <w:rPr>
            <w:color w:val="0000EE"/>
            <w:u w:val="single"/>
          </w:rPr>
          <w:t>11</w:t>
        </w:r>
      </w:hyperlink>
      <w:r>
        <w:rPr>
          <w:lang w:val="zh_TW" w:bidi="zh_TW"/>
        </w:rPr>
        <w:t>章）是一個活生生的比喻，顯明那些相信基督之人將來可以享有的生命。在拉撒路復活之前，馬大表明了她對拉撒路將會在末日復活的信心（</w:t>
      </w:r>
      <w:hyperlink r:id="rId27">
        <w:r>
          <w:rPr>
            <w:lang w:val="zh_TW" w:bidi="zh_TW"/>
          </w:rPr>
          <w:rPr>
            <w:color w:val="0000EE"/>
            <w:u w:val="single"/>
          </w:rPr>
          <w:t>24</w:t>
        </w:r>
      </w:hyperlink>
      <w:r>
        <w:rPr>
          <w:lang w:val="zh_TW" w:bidi="zh_TW"/>
        </w:rPr>
        <w:t>節）。耶穌回應她，表明祂自己就是復活和生命，並宣告相信祂的人雖然死了也必復活（</w:t>
      </w:r>
      <w:hyperlink r:id="rId28">
        <w:r>
          <w:rPr>
            <w:lang w:val="zh_TW" w:bidi="zh_TW"/>
          </w:rPr>
          <w:rPr>
            <w:color w:val="0000EE"/>
            <w:u w:val="single"/>
          </w:rPr>
          <w:t>25–26</w:t>
        </w:r>
      </w:hyperlink>
      <w:r>
        <w:rPr>
          <w:lang w:val="zh_TW" w:bidi="zh_TW"/>
        </w:rPr>
        <w:t>節）。</w:t>
      </w:r>
    </w:p>
    <w:p>
      <w:pPr/>
      <w:r>
        <w:rPr>
          <w:lang w:val="zh_TW" w:bidi="zh_TW"/>
        </w:rPr>
      </w:r>
      <w:r>
        <w:rPr>
          <w:lang w:val="zh_TW" w:bidi="zh_TW"/>
        </w:rPr>
        <w:t>然而，約翰福音的主要焦點並不在於對未來生命的期待，而在於當下就能經歷這未來的生命。在基督裡，信徒已經可以獲得那屬於將來世代的生命。耶穌用來定義祂使命的比喻，強調了這新的生命已然開始：活水，如泉源直湧到永生（</w:t>
      </w:r>
      <w:hyperlink r:id="rId29">
        <w:r>
          <w:rPr>
            <w:lang w:val="zh_TW" w:bidi="zh_TW"/>
          </w:rPr>
          <w:rPr>
            <w:color w:val="0000EE"/>
            <w:u w:val="single"/>
          </w:rPr>
          <w:t>約4:10–14</w:t>
        </w:r>
      </w:hyperlink>
      <w:r>
        <w:rPr>
          <w:lang w:val="zh_TW" w:bidi="zh_TW"/>
        </w:rPr>
        <w:t>）；生命的糧，滿足世人靈性的飢渴（</w:t>
      </w:r>
      <w:hyperlink r:id="rId30">
        <w:r>
          <w:rPr>
            <w:lang w:val="zh_TW" w:bidi="zh_TW"/>
          </w:rPr>
          <w:rPr>
            <w:color w:val="0000EE"/>
            <w:u w:val="single"/>
          </w:rPr>
          <w:t>6:35–40</w:t>
        </w:r>
      </w:hyperlink>
      <w:r>
        <w:rPr>
          <w:lang w:val="zh_TW" w:bidi="zh_TW"/>
        </w:rPr>
        <w:t>）；世界的光，引領跟隨者進入生命的光中（</w:t>
      </w:r>
      <w:hyperlink r:id="rId31">
        <w:r>
          <w:rPr>
            <w:lang w:val="zh_TW" w:bidi="zh_TW"/>
          </w:rPr>
          <w:rPr>
            <w:color w:val="0000EE"/>
            <w:u w:val="single"/>
          </w:rPr>
          <w:t>8:12</w:t>
        </w:r>
      </w:hyperlink>
      <w:r>
        <w:rPr>
          <w:lang w:val="zh_TW" w:bidi="zh_TW"/>
        </w:rPr>
        <w:t>）；好牧人，賜給豐盛的生命（</w:t>
      </w:r>
      <w:hyperlink r:id="rId32">
        <w:r>
          <w:rPr>
            <w:lang w:val="zh_TW" w:bidi="zh_TW"/>
          </w:rPr>
          <w:rPr>
            <w:color w:val="0000EE"/>
            <w:u w:val="single"/>
          </w:rPr>
          <w:t>10:10</w:t>
        </w:r>
      </w:hyperlink>
      <w:r>
        <w:rPr>
          <w:lang w:val="zh_TW" w:bidi="zh_TW"/>
        </w:rPr>
        <w:t>）；生命之主，使死人復活（</w:t>
      </w:r>
      <w:hyperlink r:id="rId33">
        <w:r>
          <w:rPr>
            <w:lang w:val="zh_TW" w:bidi="zh_TW"/>
          </w:rPr>
          <w:rPr>
            <w:color w:val="0000EE"/>
            <w:u w:val="single"/>
          </w:rPr>
          <w:t>11:25</w:t>
        </w:r>
      </w:hyperlink>
      <w:r>
        <w:rPr>
          <w:lang w:val="zh_TW" w:bidi="zh_TW"/>
        </w:rPr>
        <w:t>）；道路、真理、生命（</w:t>
      </w:r>
      <w:hyperlink r:id="rId34">
        <w:r>
          <w:rPr>
            <w:lang w:val="zh_TW" w:bidi="zh_TW"/>
          </w:rPr>
          <w:rPr>
            <w:color w:val="0000EE"/>
            <w:u w:val="single"/>
          </w:rPr>
          <w:t>14:6</w:t>
        </w:r>
      </w:hyperlink>
      <w:r>
        <w:rPr>
          <w:lang w:val="zh_TW" w:bidi="zh_TW"/>
        </w:rPr>
        <w:t>）；真葡萄樹，使住在祂裡面的枝子得以維持生命（</w:t>
      </w:r>
      <w:hyperlink r:id="rId35">
        <w:r>
          <w:rPr>
            <w:lang w:val="zh_TW" w:bidi="zh_TW"/>
          </w:rPr>
          <w:rPr>
            <w:color w:val="0000EE"/>
            <w:u w:val="single"/>
          </w:rPr>
          <w:t>5:5</w:t>
        </w:r>
      </w:hyperlink>
      <w:r>
        <w:rPr>
          <w:lang w:val="zh_TW" w:bidi="zh_TW"/>
        </w:rPr>
        <w:t>）。</w:t>
      </w:r>
    </w:p>
    <w:p>
      <w:pPr/>
      <w:r>
        <w:rPr>
          <w:lang w:val="zh_TW" w:bidi="zh_TW"/>
        </w:rPr>
      </w:r>
      <w:r>
        <w:rPr>
          <w:lang w:val="zh_TW" w:bidi="zh_TW"/>
        </w:rPr>
        <w:t>耶穌特別指出，祂使命的成就並非憑靠祂自己的本性或大能，而是藉著差祂來的父。耶穌對父的順服再次表明生命是神的恩賜。相信神兒子的人就是那接受神所賜生命——永生——的人。因此，所有信徒得享復活的應許，乃是神恩賜的自然結果（</w:t>
      </w:r>
      <w:hyperlink r:id="rId36">
        <w:r>
          <w:rPr>
            <w:lang w:val="zh_TW" w:bidi="zh_TW"/>
          </w:rPr>
          <w:rPr>
            <w:color w:val="0000EE"/>
            <w:u w:val="single"/>
          </w:rPr>
          <w:t>約5:26–29</w:t>
        </w:r>
      </w:hyperlink>
      <w:r>
        <w:rPr>
          <w:lang w:val="zh_TW" w:bidi="zh_TW"/>
        </w:rPr>
        <w:t>）。這在拉撒路的復活中得以明示，也因基督的復活作為「初熟的果子」（用保羅的術語，</w:t>
      </w:r>
      <w:hyperlink r:id="rId37">
        <w:r>
          <w:rPr>
            <w:lang w:val="zh_TW" w:bidi="zh_TW"/>
          </w:rPr>
          <w:rPr>
            <w:color w:val="0000EE"/>
            <w:u w:val="single"/>
          </w:rPr>
          <w:t>林前15:23</w:t>
        </w:r>
      </w:hyperlink>
      <w:r>
        <w:rPr>
          <w:lang w:val="zh_TW" w:bidi="zh_TW"/>
        </w:rPr>
        <w:t>）而得到保證。</w:t>
      </w:r>
    </w:p>
    <w:p>
      <w:pPr/>
      <w:r>
        <w:rPr>
          <w:lang w:val="zh_TW" w:bidi="zh_TW"/>
        </w:rPr>
      </w:r>
      <w:r>
        <w:rPr>
          <w:lang w:val="zh_TW" w:bidi="zh_TW"/>
        </w:rPr>
        <w:t>耶穌為永生的概念添加了進一步的內容，將其與認識真神聯繫起來（</w:t>
      </w:r>
      <w:hyperlink r:id="rId38">
        <w:r>
          <w:rPr>
            <w:lang w:val="zh_TW" w:bidi="zh_TW"/>
          </w:rPr>
          <w:rPr>
            <w:color w:val="0000EE"/>
            <w:u w:val="single"/>
          </w:rPr>
          <w:t>約17:3</w:t>
        </w:r>
      </w:hyperlink>
      <w:r>
        <w:rPr>
          <w:lang w:val="zh_TW" w:bidi="zh_TW"/>
        </w:rPr>
        <w:t>）。在希臘思想中，知識指的是經由沉思或神秘入神經驗（mystical ecstasy）所達成的結果。然而，在舊約中，知識意指經歷、關係、相交（fellowship）和關懷（參</w:t>
      </w:r>
      <w:hyperlink r:id="rId39">
        <w:r>
          <w:rPr>
            <w:lang w:val="zh_TW" w:bidi="zh_TW"/>
          </w:rPr>
          <w:rPr>
            <w:color w:val="0000EE"/>
            <w:u w:val="single"/>
          </w:rPr>
          <w:t>耶31:34</w:t>
        </w:r>
      </w:hyperlink>
      <w:r>
        <w:rPr>
          <w:lang w:val="zh_TW" w:bidi="zh_TW"/>
        </w:rPr>
        <w:t>）。這種將知識視同為親密關係的含義，從其動詞形式的用法中得到強調，因其用來指男性與女性之間親密的性關係（參</w:t>
      </w:r>
      <w:hyperlink r:id="rId40">
        <w:r>
          <w:rPr>
            <w:lang w:val="zh_TW" w:bidi="zh_TW"/>
          </w:rPr>
          <w:rPr>
            <w:color w:val="0000EE"/>
            <w:u w:val="single"/>
          </w:rPr>
          <w:t>創4:1</w:t>
        </w:r>
      </w:hyperlink>
      <w:r>
        <w:rPr>
          <w:lang w:val="zh_TW" w:bidi="zh_TW"/>
        </w:rPr>
        <w:t>）。耶穌說：「我是好牧人；我認識我的羊，我的羊也認識我，正如父認識我，我也認識父一樣」（</w:t>
      </w:r>
      <w:hyperlink r:id="rId41">
        <w:r>
          <w:rPr>
            <w:lang w:val="zh_TW" w:bidi="zh_TW"/>
          </w:rPr>
          <w:rPr>
            <w:color w:val="0000EE"/>
            <w:u w:val="single"/>
          </w:rPr>
          <w:t>約10:14–15</w:t>
        </w:r>
      </w:hyperlink>
      <w:r>
        <w:rPr>
          <w:lang w:val="zh_TW" w:bidi="zh_TW"/>
        </w:rPr>
        <w:t>）。父與子的親密互動，成為子與其門徒之間關係的典範。這種知識並非藉由教育或思維操縱而來，而是藉著子啟示而來（</w:t>
      </w:r>
      <w:hyperlink r:id="rId42">
        <w:r>
          <w:rPr>
            <w:lang w:val="zh_TW" w:bidi="zh_TW"/>
          </w:rPr>
          <w:rPr>
            <w:color w:val="0000EE"/>
            <w:u w:val="single"/>
          </w:rPr>
          <w:t>1:18，</w:t>
        </w:r>
      </w:hyperlink>
      <w:r>
        <w:rPr>
          <w:lang w:val="zh_TW" w:bidi="zh_TW"/>
        </w:rPr>
        <w:t>參</w:t>
      </w:r>
      <w:hyperlink r:id="rId43">
        <w:r>
          <w:rPr>
            <w:lang w:val="zh_TW" w:bidi="zh_TW"/>
          </w:rPr>
          <w:rPr>
            <w:color w:val="0000EE"/>
            <w:u w:val="single"/>
          </w:rPr>
          <w:t>14:7</w:t>
        </w:r>
      </w:hyperlink>
      <w:r>
        <w:rPr>
          <w:lang w:val="zh_TW" w:bidi="zh_TW"/>
        </w:rPr>
        <w:t>）。</w:t>
      </w:r>
    </w:p>
    <w:p>
      <w:pPr/>
      <w:r>
        <w:rPr>
          <w:lang w:val="zh_TW" w:bidi="zh_TW"/>
        </w:rPr>
      </w:r>
      <w:r>
        <w:rPr>
          <w:lang w:val="zh_TW" w:bidi="zh_TW"/>
        </w:rPr>
        <w:t>對永生概念中的主要元素進行簡要回顧，清楚地表明永生並不僅僅是無盡或永恆的生命。儘管永生沒有終極的界限，但聖經的重點主要是放在生命的質量上，特別是其神聖的屬性。永生是透過在基督裡啟示一位實的神，把將來世代的屬性引入當下，並帶來對神的認識以及其與神的關係。</w:t>
      </w:r>
    </w:p>
    <w:p>
      <w:pPr/>
      <w:r>
        <w:rPr>
          <w:lang w:val="zh_TW" w:bidi="zh_TW"/>
        </w:rPr>
      </w:r>
      <w:r>
        <w:rPr>
          <w:i/>
          <w:lang w:val="zh_TW" w:bidi="zh_TW"/>
        </w:rPr>
        <w:t>另見</w:t>
      </w:r>
      <w:r>
        <w:rPr>
          <w:lang w:val="zh_TW" w:bidi="zh_TW"/>
        </w:rPr>
        <w:t xml:space="preserve"> </w:t>
      </w:r>
      <w:r>
        <w:rPr>
          <w:lang w:val="zh_TW" w:bidi="zh_TW"/>
        </w:rPr>
        <w:t>生命</w:t>
      </w:r>
      <w:r>
        <w:rPr>
          <w:lang w:val="zh_TW" w:bidi="zh_TW"/>
        </w:rPr>
        <w:t>；</w:t>
      </w:r>
      <w:r>
        <w:rPr>
          <w:lang w:val="zh_TW" w:bidi="zh_TW"/>
        </w:rPr>
        <w:t>新的創造，新的受造物</w:t>
      </w:r>
      <w:r>
        <w:rPr>
          <w:lang w:val="zh_TW" w:bidi="zh_TW"/>
        </w:rPr>
        <w:t>；</w:t>
      </w:r>
      <w:r>
        <w:rPr>
          <w:lang w:val="zh_TW" w:bidi="zh_TW"/>
        </w:rPr>
        <w:t>重生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2:2" TargetMode="External"/><Relationship Id="rId14" Type="http://schemas.openxmlformats.org/officeDocument/2006/relationships/hyperlink" Target="https://ref.ly/Mark10:17" TargetMode="External"/><Relationship Id="rId15" Type="http://schemas.openxmlformats.org/officeDocument/2006/relationships/hyperlink" Target="https://ref.ly/Mark10:30" TargetMode="External"/><Relationship Id="rId16" Type="http://schemas.openxmlformats.org/officeDocument/2006/relationships/hyperlink" Target="https://ref.ly/Mark10:23-Mark10:25" TargetMode="External"/><Relationship Id="rId17" Type="http://schemas.openxmlformats.org/officeDocument/2006/relationships/hyperlink" Target="https://ref.ly/Matt13:1-Matt13:58" TargetMode="External"/><Relationship Id="rId18" Type="http://schemas.openxmlformats.org/officeDocument/2006/relationships/hyperlink" Target="https://ref.ly/Matt5:3-Matt5:12" TargetMode="External"/><Relationship Id="rId19" Type="http://schemas.openxmlformats.org/officeDocument/2006/relationships/hyperlink" Target="https://ref.ly/John20:31" TargetMode="External"/><Relationship Id="rId20" Type="http://schemas.openxmlformats.org/officeDocument/2006/relationships/hyperlink" Target="https://ref.ly/John3:15" TargetMode="External"/><Relationship Id="rId21" Type="http://schemas.openxmlformats.org/officeDocument/2006/relationships/hyperlink" Target="https://ref.ly/John3:36" TargetMode="External"/><Relationship Id="rId22" Type="http://schemas.openxmlformats.org/officeDocument/2006/relationships/hyperlink" Target="https://ref.ly/John4:14" TargetMode="External"/><Relationship Id="rId23" Type="http://schemas.openxmlformats.org/officeDocument/2006/relationships/hyperlink" Target="https://ref.ly/John5:29,John5:39" TargetMode="External"/><Relationship Id="rId24" Type="http://schemas.openxmlformats.org/officeDocument/2006/relationships/hyperlink" Target="https://ref.ly/John6:27" TargetMode="External"/><Relationship Id="rId25" Type="http://schemas.openxmlformats.org/officeDocument/2006/relationships/hyperlink" Target="https://ref.ly/John12:25" TargetMode="External"/><Relationship Id="rId26" Type="http://schemas.openxmlformats.org/officeDocument/2006/relationships/hyperlink" Target="https://ref.ly/John11:1-John11:57" TargetMode="External"/><Relationship Id="rId27" Type="http://schemas.openxmlformats.org/officeDocument/2006/relationships/hyperlink" Target="https://ref.ly/John11:24" TargetMode="External"/><Relationship Id="rId28" Type="http://schemas.openxmlformats.org/officeDocument/2006/relationships/hyperlink" Target="https://ref.ly/John11:25-John11:26" TargetMode="External"/><Relationship Id="rId29" Type="http://schemas.openxmlformats.org/officeDocument/2006/relationships/hyperlink" Target="https://ref.ly/John4:10-John4:14" TargetMode="External"/><Relationship Id="rId30" Type="http://schemas.openxmlformats.org/officeDocument/2006/relationships/hyperlink" Target="https://ref.ly/John6:35-John6:40" TargetMode="External"/><Relationship Id="rId31" Type="http://schemas.openxmlformats.org/officeDocument/2006/relationships/hyperlink" Target="https://ref.ly/John8:12" TargetMode="External"/><Relationship Id="rId32" Type="http://schemas.openxmlformats.org/officeDocument/2006/relationships/hyperlink" Target="https://ref.ly/John10:10" TargetMode="External"/><Relationship Id="rId33" Type="http://schemas.openxmlformats.org/officeDocument/2006/relationships/hyperlink" Target="https://ref.ly/John11:25" TargetMode="External"/><Relationship Id="rId34" Type="http://schemas.openxmlformats.org/officeDocument/2006/relationships/hyperlink" Target="https://ref.ly/John14:6" TargetMode="External"/><Relationship Id="rId35" Type="http://schemas.openxmlformats.org/officeDocument/2006/relationships/hyperlink" Target="https://ref.ly/John15:5" TargetMode="External"/><Relationship Id="rId36" Type="http://schemas.openxmlformats.org/officeDocument/2006/relationships/hyperlink" Target="https://ref.ly/John5:26-John5:29" TargetMode="External"/><Relationship Id="rId37" Type="http://schemas.openxmlformats.org/officeDocument/2006/relationships/hyperlink" Target="https://ref.ly/1Cor15:23" TargetMode="External"/><Relationship Id="rId38" Type="http://schemas.openxmlformats.org/officeDocument/2006/relationships/hyperlink" Target="https://ref.ly/John17:3" TargetMode="External"/><Relationship Id="rId39" Type="http://schemas.openxmlformats.org/officeDocument/2006/relationships/hyperlink" Target="https://ref.ly/Jer31:34" TargetMode="External"/><Relationship Id="rId40" Type="http://schemas.openxmlformats.org/officeDocument/2006/relationships/hyperlink" Target="https://ref.ly/Gen4:1" TargetMode="External"/><Relationship Id="rId41" Type="http://schemas.openxmlformats.org/officeDocument/2006/relationships/hyperlink" Target="https://ref.ly/John10:14-John10:15" TargetMode="External"/><Relationship Id="rId42" Type="http://schemas.openxmlformats.org/officeDocument/2006/relationships/hyperlink" Target="https://ref.ly/John1:18" TargetMode="External"/><Relationship Id="rId43" Type="http://schemas.openxmlformats.org/officeDocument/2006/relationships/hyperlink" Target="https://ref.ly/John1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