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i/>
          <w:lang w:val="hi_IN" w:bidi="hi_IN"/>
        </w:rPr>
        <w:t>ज्ञान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w:t>
      </w:r>
      <w:r>
        <w:rPr>
          <w:lang w:val="hi_IN" w:bidi="hi_IN"/>
        </w:rPr>
      </w:r>
    </w:p>
    <w:p>
      <w:pPr/>
      <w:r>
        <w:rPr>
          <w:lang w:val="hi_IN" w:bidi="hi_IN"/>
        </w:rPr>
      </w:r>
      <w:r>
        <w:rPr>
          <w:lang w:val="hi_IN" w:bidi="hi_IN"/>
        </w:rPr>
        <w:t>किसी की इन्द्रियों की सीमा के भीतर वस्तुओं का अवलोकन और पहचान; व्यक्तिगत प्रकृति की परिचितता जिसमें जानने वाले की प्रतिक्रिया शामिल होती है।</w:t>
      </w:r>
    </w:p>
    <w:p>
      <w:pPr/>
      <w:r>
        <w:rPr>
          <w:lang w:val="hi_IN" w:bidi="hi_IN"/>
        </w:rPr>
      </w:r>
      <w:r>
        <w:rPr>
          <w:lang w:val="hi_IN" w:bidi="hi_IN"/>
        </w:rPr>
        <w:t>बाइबल में "जानना" या "ज्ञान" शब्द 1,600 से अधिक बार आता है। यह शब्द समूह पुराने नियम और नए नियम दोनों के मूल सन्देशों में विशेष अन्तर्दृष्टि प्रदान करते है।</w:t>
      </w:r>
    </w:p>
    <w:p>
      <w:pPr/>
      <w:r>
        <w:rPr>
          <w:lang w:val="hi_IN" w:bidi="hi_IN"/>
        </w:rPr>
      </w:r>
      <w:r>
        <w:rPr>
          <w:lang w:val="hi_IN" w:bidi="hi_IN"/>
        </w:rP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hyperlink r:id="rId15">
        <w:r>
          <w:rPr>
            <w:lang w:val="hi_IN" w:bidi="hi_IN"/>
          </w:rPr>
          <w:rPr>
            <w:color w:val="0000EE"/>
            <w:u w:val="single"/>
          </w:rPr>
          <w:t>भज 49:3</w:t>
        </w:r>
      </w:hyperlink>
      <w:r>
        <w:rPr>
          <w:lang w:val="hi_IN" w:bidi="hi_IN"/>
        </w:rPr>
        <w:t xml:space="preserve">; </w:t>
      </w:r>
      <w:hyperlink r:id="rId16">
        <w:r>
          <w:rPr>
            <w:lang w:val="hi_IN" w:bidi="hi_IN"/>
          </w:rPr>
          <w:rPr>
            <w:color w:val="0000EE"/>
            <w:u w:val="single"/>
          </w:rPr>
          <w:t>यशा 6:10</w:t>
        </w:r>
      </w:hyperlink>
      <w:r>
        <w:rPr>
          <w:lang w:val="hi_IN" w:bidi="hi_IN"/>
        </w:rP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pPr/>
      <w:r>
        <w:rPr>
          <w:lang w:val="hi_IN" w:bidi="hi_IN"/>
        </w:rPr>
      </w:r>
      <w:r>
        <w:rPr>
          <w:lang w:val="hi_IN" w:bidi="hi_IN"/>
        </w:rPr>
        <w:t xml:space="preserve">यहूदी ज्ञान की अवधारणा को </w:t>
      </w:r>
      <w:hyperlink r:id="rId17">
        <w:r>
          <w:rPr>
            <w:lang w:val="hi_IN" w:bidi="hi_IN"/>
          </w:rPr>
          <w:rPr>
            <w:color w:val="0000EE"/>
            <w:u w:val="single"/>
          </w:rPr>
          <w:t>यशायाह 1:3</w:t>
        </w:r>
      </w:hyperlink>
      <w:r>
        <w:rPr>
          <w:lang w:val="hi_IN" w:bidi="hi_IN"/>
        </w:rPr>
        <w:t xml:space="preserve"> में खूबसूरती से दर्शाया गया है: “</w:t>
      </w:r>
      <w:r>
        <w:rPr>
          <w:lang w:val="hi_IN" w:bidi="hi_IN"/>
        </w:rPr>
        <w:t>बैल तो अपने मालिक को और गदहा अपने स्वामी की चरनी को पहचानता है, परन्तु इस्राएल मुझे नहीं जानता, मेरी प्रजा विचार नहीं करती।</w:t>
      </w:r>
      <w:r>
        <w:rPr>
          <w:lang w:val="hi_IN" w:bidi="hi_IN"/>
        </w:rP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pPr/>
      <w:r>
        <w:rPr>
          <w:lang w:val="hi_IN" w:bidi="hi_IN"/>
        </w:rPr>
      </w:r>
      <w:r>
        <w:rPr>
          <w:lang w:val="hi_IN" w:bidi="hi_IN"/>
        </w:rP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rPr>
          <w:lang w:val="hi_IN" w:bidi="hi_IN"/>
        </w:rPr>
        <w:t>यदि तुम ने मुझे जाना होता, तो मेरे पिता को भी जानते</w:t>
      </w:r>
      <w:r>
        <w:rPr>
          <w:lang w:val="hi_IN" w:bidi="hi_IN"/>
        </w:rPr>
        <w:t>" (</w:t>
      </w:r>
      <w:hyperlink r:id="rId18">
        <w:r>
          <w:rPr>
            <w:lang w:val="hi_IN" w:bidi="hi_IN"/>
          </w:rPr>
          <w:rPr>
            <w:color w:val="0000EE"/>
            <w:u w:val="single"/>
          </w:rPr>
          <w:t>यूह 14:7</w:t>
        </w:r>
      </w:hyperlink>
      <w:r>
        <w:rPr>
          <w:lang w:val="hi_IN" w:bidi="hi_IN"/>
        </w:rP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pPr/>
      <w:r>
        <w:rPr>
          <w:lang w:val="hi_IN" w:bidi="hi_IN"/>
        </w:rPr>
      </w:r>
      <w:hyperlink r:id="rId19">
        <w:r>
          <w:rPr>
            <w:lang w:val="hi_IN" w:bidi="hi_IN"/>
          </w:rPr>
          <w:rPr>
            <w:color w:val="0000EE"/>
            <w:u w:val="single"/>
          </w:rPr>
          <w:t>यूहन्ना 17:3</w:t>
        </w:r>
      </w:hyperlink>
      <w:r>
        <w:rPr>
          <w:lang w:val="hi_IN" w:bidi="hi_IN"/>
        </w:rPr>
        <w:t xml:space="preserve"> में अनन्त जीवन की परिभाषा इस अवधारणा में और अधिक विचार जोड़ती है: “</w:t>
      </w:r>
      <w:r>
        <w:rPr>
          <w:lang w:val="hi_IN" w:bidi="hi_IN"/>
        </w:rPr>
        <w:t>और अनन्त जीवन यह है, कि वे तुझ एकमात्र सच्चे परमेश्वर को और यीशु मसीह को, जिसे तूने भेजा है, जानें।</w:t>
      </w:r>
      <w:r>
        <w:rPr>
          <w:lang w:val="hi_IN" w:bidi="hi_IN"/>
        </w:rP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pPr/>
      <w:r>
        <w:rPr>
          <w:lang w:val="hi_IN" w:bidi="hi_IN"/>
        </w:rPr>
      </w:r>
      <w:r>
        <w:rPr>
          <w:lang w:val="hi_IN" w:bidi="hi_IN"/>
        </w:rP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hyperlink r:id="rId20">
        <w:r>
          <w:rPr>
            <w:lang w:val="hi_IN" w:bidi="hi_IN"/>
          </w:rPr>
          <w:rPr>
            <w:color w:val="0000EE"/>
            <w:u w:val="single"/>
          </w:rPr>
          <w:t>1 कुरि 2:12–16</w:t>
        </w:r>
      </w:hyperlink>
      <w:r>
        <w:rPr>
          <w:lang w:val="hi_IN" w:bidi="hi_IN"/>
        </w:rPr>
        <w:t>) और यीशु मसीह में प्रकट सत्य का प्रतिउत्तर दे पाता है। फिर से, ज्ञान की अवधारणा में सम्बन्ध और मुलाकात को आवश्यक तत्वों के रूप में जोर दिया गया है।</w:t>
      </w:r>
    </w:p>
    <w:p>
      <w:pPr/>
      <w:r>
        <w:rPr>
          <w:lang w:val="hi_IN" w:bidi="hi_IN"/>
        </w:rPr>
      </w:r>
      <w:r>
        <w:rPr>
          <w:lang w:val="hi_IN" w:bidi="hi_IN"/>
        </w:rP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pPr/>
      <w:r>
        <w:rPr>
          <w:lang w:val="hi_IN" w:bidi="hi_IN"/>
        </w:rPr>
      </w:r>
      <w:r>
        <w:rPr>
          <w:i/>
          <w:lang w:val="hi_IN" w:bidi="hi_IN"/>
        </w:rPr>
        <w:t>यह भी देखें</w:t>
      </w:r>
      <w:r>
        <w:rPr>
          <w:lang w:val="hi_IN" w:bidi="hi_IN"/>
        </w:rPr>
        <w:t xml:space="preserve"> </w:t>
      </w:r>
      <w:r>
        <w:rPr>
          <w:lang w:val="hi_IN" w:bidi="hi_IN"/>
        </w:rPr>
        <w:t xml:space="preserve"> प्रकाशन</w:t>
      </w:r>
      <w:r>
        <w:rPr>
          <w:lang w:val="hi_IN" w:bidi="hi_IN"/>
        </w:rPr>
        <w:t xml:space="preserve">; </w:t>
      </w:r>
      <w:r>
        <w:rPr>
          <w:lang w:val="hi_IN" w:bidi="hi_IN"/>
        </w:rPr>
        <w:t>सत्य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49:3" TargetMode="External"/><Relationship Id="rId16" Type="http://schemas.openxmlformats.org/officeDocument/2006/relationships/hyperlink" Target="https://ref.ly/Isa6:10" TargetMode="External"/><Relationship Id="rId17" Type="http://schemas.openxmlformats.org/officeDocument/2006/relationships/hyperlink" Target="https://ref.ly/Isa1:3" TargetMode="External"/><Relationship Id="rId18" Type="http://schemas.openxmlformats.org/officeDocument/2006/relationships/hyperlink" Target="https://ref.ly/John14:7" TargetMode="External"/><Relationship Id="rId19" Type="http://schemas.openxmlformats.org/officeDocument/2006/relationships/hyperlink" Target="https://ref.ly/John17:3" TargetMode="External"/><Relationship Id="rId20" Type="http://schemas.openxmlformats.org/officeDocument/2006/relationships/hyperlink" Target="https://ref.ly/1Cor2:12-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