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X</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Xanthicus</w:t>
      </w:r>
      <w:r>
        <w:rPr>
          <w:lang w:val="en_US" w:bidi="en_US"/>
        </w:rPr>
      </w:r>
    </w:p>
    <w:p>
      <w:pPr/>
      <w:r>
        <w:rPr>
          <w:lang w:val="en_US" w:bidi="en_US"/>
        </w:rPr>
      </w:r>
      <w:r>
        <w:rPr>
          <w:lang w:val="en_US" w:bidi="en_US"/>
        </w:rPr>
        <w:t xml:space="preserve">Name of the month in the Macedonian calendar corresponding to the Hebrew month Nisan (March–April); mentioned in </w:t>
      </w:r>
      <w:hyperlink r:id="rId13">
        <w:r>
          <w:rPr>
            <w:lang w:val="en_US" w:bidi="en_US"/>
          </w:rPr>
          <w:rPr>
            <w:color w:val="0000EE"/>
            <w:u w:val="single"/>
          </w:rPr>
          <w:t>2 Maccabees 11:27–38</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Xerxes</w:t>
      </w:r>
      <w:r>
        <w:rPr>
          <w:lang w:val="en_US" w:bidi="en_US"/>
        </w:rPr>
      </w:r>
    </w:p>
    <w:p>
      <w:pPr/>
      <w:r>
        <w:rPr>
          <w:lang w:val="en_US" w:bidi="en_US"/>
        </w:rPr>
      </w:r>
      <w:r>
        <w:rPr>
          <w:lang w:val="en_US" w:bidi="en_US"/>
        </w:rPr>
        <w:t xml:space="preserve">NIV and nlt rendering of Ahasuerus in </w:t>
      </w:r>
      <w:hyperlink r:id="rId14">
        <w:r>
          <w:rPr>
            <w:lang w:val="en_US" w:bidi="en_US"/>
          </w:rPr>
          <w:rPr>
            <w:color w:val="0000EE"/>
            <w:u w:val="single"/>
          </w:rPr>
          <w:t>Ezra 4:6</w:t>
        </w:r>
      </w:hyperlink>
      <w:r>
        <w:rPr>
          <w:lang w:val="en_US" w:bidi="en_US"/>
        </w:rPr>
        <w:t xml:space="preserve"> and the book of Esther. </w:t>
      </w:r>
      <w:r>
        <w:rPr>
          <w:i/>
          <w:lang w:val="en_US" w:bidi="en_US"/>
        </w:rPr>
        <w:t>See</w:t>
      </w:r>
      <w:r>
        <w:rPr>
          <w:lang w:val="en_US" w:bidi="en_US"/>
        </w:rPr>
        <w:t xml:space="preserve"> </w:t>
      </w:r>
      <w:r>
        <w:rPr>
          <w:lang w:val="en_US" w:bidi="en_US"/>
        </w:rPr>
        <w:t>Ahasuerus #1</w:t>
      </w:r>
      <w:r>
        <w:rPr>
          <w:lang w:val="en_US" w:bidi="en_US"/>
        </w:rPr>
        <w:t>.</w:t>
      </w:r>
      <w:r>
        <w:rPr>
          <w:lang w:val="en_US" w:bidi="en_US"/>
        </w:rPr>
      </w:r>
      <w:r>
        <w:rPr>
          <w:lang w:val="en_US" w:bidi="en_US"/>
        </w:rPr>
      </w:r>
    </w:p>
    <w:p>
      <w:pPr/>
      <w:r>
        <w:rPr>
          <w:lang w:val="en_US" w:bidi="en_US"/>
        </w:rPr>
      </w:r>
    </w:p>
    <w:p>
      <w:pPr>
        <w:pStyle w:val="Heading2"/>
      </w:pPr>
      <w:r>
        <w:rPr>
          <w:lang w:val="en_US" w:bidi="en_US"/>
        </w:rPr>
        <w:t>Xestes</w:t>
      </w:r>
      <w:r>
        <w:rPr>
          <w:lang w:val="en_US" w:bidi="en_US"/>
        </w:rPr>
      </w:r>
    </w:p>
    <w:p>
      <w:pPr/>
      <w:r>
        <w:rPr>
          <w:lang w:val="en_US" w:bidi="en_US"/>
        </w:rPr>
      </w:r>
      <w:r>
        <w:rPr>
          <w:lang w:val="en_US" w:bidi="en_US"/>
        </w:rPr>
        <w:t xml:space="preserve">Liquid measure equivalent to about one and one-sixth pints (552 milliliters).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Macc11:27-2Macc11:38" TargetMode="External"/><Relationship Id="rId14" Type="http://schemas.openxmlformats.org/officeDocument/2006/relationships/hyperlink" Target="https://ref.ly/Ezra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