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Bible Dictionary</w:t>
      </w:r>
      <w:r>
        <w:rPr>
          <w:lang w:val="fr_FR" w:bidi="fr_FR"/>
        </w:rPr>
      </w:r>
    </w:p>
    <w:p>
      <w:pPr/>
      <w:r>
        <w:rPr>
          <w:lang w:val="fr_FR" w:bidi="fr_FR"/>
        </w:rPr>
      </w:r>
      <w:r>
        <w:rPr>
          <w:b/>
          <w:lang w:val="fr_FR" w:bidi="fr_FR"/>
        </w:rPr>
        <w:t>Aquifer Open Bible Dictionary</w:t>
      </w:r>
    </w:p>
    <w:p>
      <w:pPr/>
      <w:r>
        <w:rPr>
          <w:lang w:val="fr_FR" w:bidi="fr_FR"/>
        </w:rPr>
      </w:r>
      <w:r>
        <w:rPr>
          <w:lang w:val="fr_FR" w:bidi="fr_FR"/>
        </w:rPr>
        <w:t xml:space="preserve">This work is an adaptation of </w:t>
      </w:r>
      <w:r>
        <w:rPr>
          <w:lang w:val="fr_FR" w:bidi="fr_FR"/>
        </w:rPr>
        <w:t>Tyndale Open Bible Dictionary</w:t>
      </w:r>
      <w:r>
        <w:rPr>
          <w:lang w:val="fr_FR" w:bidi="fr_FR"/>
        </w:rPr>
        <w:t xml:space="preserve"> © 2023 Tyndale House Publishers, licensed under the CC BY-SA 4.0 license. The adaptation, </w:t>
      </w:r>
      <w:r>
        <w:rPr>
          <w:lang w:val="fr_FR" w:bidi="fr_FR"/>
        </w:rPr>
        <w:t>Aquifer Open Bible Dictionary</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Q</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Qeriyoth</w:t>
      </w:r>
      <w:r>
        <w:rPr>
          <w:lang w:val="fr_FR" w:bidi="fr_FR"/>
        </w:rPr>
      </w:r>
    </w:p>
    <w:p>
      <w:pPr/>
      <w:r>
        <w:rPr>
          <w:lang w:val="fr_FR" w:bidi="fr_FR"/>
        </w:rPr>
      </w:r>
      <w:r>
        <w:rPr>
          <w:lang w:val="fr_FR" w:bidi="fr_FR"/>
        </w:rPr>
        <w:t xml:space="preserve">Autre orthographe du nom de la ville de Kerijoth dans plusieurs versions françaises dans </w:t>
      </w:r>
      <w:r>
        <w:rPr>
          <w:lang w:val="fr_FR" w:bidi="fr_FR"/>
        </w:rPr>
        <w:t>Amos 2.2</w:t>
      </w:r>
      <w:r>
        <w:rPr>
          <w:lang w:val="fr_FR" w:bidi="fr_FR"/>
        </w:rPr>
        <w:t>.</w:t>
      </w:r>
    </w:p>
    <w:p>
      <w:pPr/>
      <w:r>
        <w:rPr>
          <w:lang w:val="fr_FR" w:bidi="fr_FR"/>
        </w:rPr>
      </w:r>
      <w:r>
        <w:rPr>
          <w:i/>
          <w:lang w:val="fr_FR" w:bidi="fr_FR"/>
        </w:rPr>
        <w:t>Voir</w:t>
      </w:r>
      <w:r>
        <w:rPr>
          <w:lang w:val="fr_FR" w:bidi="fr_FR"/>
        </w:rPr>
        <w:t xml:space="preserve"> </w:t>
      </w:r>
      <w:r>
        <w:rPr>
          <w:lang w:val="fr_FR" w:bidi="fr_FR"/>
        </w:rPr>
        <w:t>Kerijoth nº 2</w:t>
      </w:r>
      <w:r>
        <w:rPr>
          <w:lang w:val="fr_FR" w:bidi="fr_FR"/>
        </w:rPr>
        <w:t>.</w:t>
      </w:r>
      <w:r>
        <w:rPr>
          <w:lang w:val="fr_FR" w:bidi="fr_FR"/>
        </w:rPr>
      </w:r>
      <w:r>
        <w:rPr>
          <w:lang w:val="fr_FR" w:bidi="fr_FR"/>
        </w:rPr>
      </w:r>
    </w:p>
    <w:p>
      <w:pPr/>
      <w:r>
        <w:rPr>
          <w:lang w:val="fr_FR" w:bidi="fr_FR"/>
        </w:rPr>
      </w:r>
    </w:p>
    <w:p>
      <w:pPr>
        <w:pStyle w:val="Heading2"/>
      </w:pPr>
      <w:r>
        <w:rPr>
          <w:lang w:val="fr_FR" w:bidi="fr_FR"/>
        </w:rPr>
        <w:t>Quirinius</w:t>
      </w:r>
      <w:r>
        <w:rPr>
          <w:lang w:val="fr_FR" w:bidi="fr_FR"/>
        </w:rPr>
      </w:r>
    </w:p>
    <w:p>
      <w:pPr/>
      <w:r>
        <w:rPr>
          <w:lang w:val="fr_FR" w:bidi="fr_FR"/>
        </w:rPr>
      </w:r>
      <w:r>
        <w:rPr>
          <w:lang w:val="fr_FR" w:bidi="fr_FR"/>
        </w:rPr>
        <w:t>Gouverneur romain de Syrie à l'époque de la naissance de Jésus (</w:t>
      </w:r>
      <w:r>
        <w:rPr>
          <w:lang w:val="fr_FR" w:bidi="fr_FR"/>
        </w:rPr>
        <w:t>Lc 2.2</w:t>
      </w:r>
      <w:r>
        <w:rPr>
          <w:lang w:val="fr_FR" w:bidi="fr_FR"/>
        </w:rPr>
        <w:t>). Selon l'historien romain Tacite (</w:t>
      </w:r>
      <w:r>
        <w:rPr>
          <w:i/>
          <w:lang w:val="fr_FR" w:bidi="fr_FR"/>
        </w:rPr>
        <w:t>Annales</w:t>
      </w:r>
      <w:r>
        <w:rPr>
          <w:lang w:val="fr_FR" w:bidi="fr_FR"/>
        </w:rPr>
        <w:t xml:space="preserve"> 3.48), Publius Sulpicius Quirinius est élu consul de Syrie en 12 av. J.-C. Il est nommé vers 7 av. J.-C., avec Varus, légat (ou gouverneur) de Syrie. C'est Quirinius qui est responsable des affaires militaires et étrangères. Varus s'occupe des affaires civiles. Le premier mandat de Quirinius en tant que gouverneur dure plusieurs années. Il mène une expédition réussie contre les Homonades. Les Homonades sont un groupe rebelle de montagnards dans la province cilicienne d'Asie mineure. Il supervise également un recensement dans tout l'Empire romain sur ordre de César Auguste. Luc rapporte que la naissance de Jésus a lieu au moment de ce premier recensement « pendant que Quirinius était gouverneur de Syrie » (</w:t>
      </w:r>
      <w:r>
        <w:rPr>
          <w:lang w:val="fr_FR" w:bidi="fr_FR"/>
        </w:rPr>
        <w:t>Lc 2.2</w:t>
      </w:r>
      <w:r>
        <w:rPr>
          <w:lang w:val="fr_FR" w:bidi="fr_FR"/>
        </w:rPr>
        <w:t>). Matthieu dit que la naissance a lieu pendant le règne du roi Hérode le Grand (</w:t>
      </w:r>
      <w:r>
        <w:rPr>
          <w:lang w:val="fr_FR" w:bidi="fr_FR"/>
        </w:rPr>
        <w:t>Mt 2.1</w:t>
      </w:r>
      <w:r>
        <w:rPr>
          <w:lang w:val="fr_FR" w:bidi="fr_FR"/>
        </w:rPr>
        <w:t>), vraisemblablement en 4 av. J.-C.</w:t>
      </w:r>
    </w:p>
    <w:p>
      <w:pPr/>
      <w:r>
        <w:rPr>
          <w:lang w:val="fr_FR" w:bidi="fr_FR"/>
        </w:rPr>
      </w:r>
      <w:r>
        <w:rPr>
          <w:lang w:val="fr_FR" w:bidi="fr_FR"/>
        </w:rPr>
        <w:t>Quirinius devient recteur du jeune Caius César en 1 av. J.-C. Quirinius épouse Æmilia Ledipa en 2 apr. J.-C., mais divorce ensuite. En 6 apr. J.-C., il est reconduit comme légat de Syrie et sert peut-être à ce poste pendant quelques années. Lors de cette deuxième administration, Quirinius supervise de nouveau un recensement de la Judée. Ce deuxième recensement n'est pas fait selon la coutume juive, contrairement au premier. Le deuxième recensement exige un impôt des Juifs en tant que peuple subordonné à Rome. Cela provoque l'opposition et la rébellion des Juifs contre Rome. Il s'agit probablement du recensement dont parlent l'historien juif Josèphe (</w:t>
      </w:r>
      <w:r>
        <w:rPr>
          <w:i/>
          <w:lang w:val="fr_FR" w:bidi="fr_FR"/>
        </w:rPr>
        <w:t>Antiquités</w:t>
      </w:r>
      <w:r>
        <w:rPr>
          <w:lang w:val="fr_FR" w:bidi="fr_FR"/>
        </w:rPr>
        <w:t xml:space="preserve"> 17.13.5) et le docteur de la loi Gamaliel (</w:t>
      </w:r>
      <w:r>
        <w:rPr>
          <w:lang w:val="fr_FR" w:bidi="fr_FR"/>
        </w:rPr>
        <w:t>Ac 5.37</w:t>
      </w:r>
      <w:r>
        <w:rPr>
          <w:lang w:val="fr_FR" w:bidi="fr_FR"/>
        </w:rPr>
        <w:t>).</w:t>
      </w:r>
    </w:p>
    <w:p>
      <w:pPr/>
      <w:r>
        <w:rPr>
          <w:lang w:val="fr_FR" w:bidi="fr_FR"/>
        </w:rPr>
      </w:r>
      <w:r>
        <w:rPr>
          <w:lang w:val="fr_FR" w:bidi="fr_FR"/>
        </w:rPr>
        <w:t>Le reste de la carrière de Quirinius se déroule probablement à Rome, où il meurt à un âge avancé en 21 apr. J.-C.</w:t>
      </w:r>
    </w:p>
    <w:p>
      <w:pPr/>
      <w:r>
        <w:rPr>
          <w:lang w:val="fr_FR" w:bidi="fr_FR"/>
        </w:rPr>
      </w:r>
      <w:r>
        <w:rPr>
          <w:i/>
          <w:lang w:val="fr_FR" w:bidi="fr_FR"/>
        </w:rPr>
        <w:t>Voir aussi</w:t>
      </w:r>
      <w:r>
        <w:rPr>
          <w:lang w:val="fr_FR" w:bidi="fr_FR"/>
        </w:rPr>
        <w:t xml:space="preserve"> </w:t>
      </w:r>
      <w:r>
        <w:rPr>
          <w:lang w:val="fr_FR" w:bidi="fr_FR"/>
        </w:rPr>
        <w:t>recensement</w:t>
      </w:r>
      <w:r>
        <w:rPr>
          <w:lang w:val="fr_FR" w:bidi="fr_FR"/>
        </w:rPr>
        <w:t xml:space="preserve"> ; </w:t>
      </w:r>
      <w:r>
        <w:rPr>
          <w:lang w:val="fr_FR" w:bidi="fr_FR"/>
        </w:rPr>
        <w:t>chronologie de la Bible (Nouveau Testament)</w:t>
      </w:r>
      <w:r>
        <w:rPr>
          <w:lang w:val="fr_FR" w:bidi="fr_FR"/>
        </w:rPr>
        <w:t>.</w:t>
      </w:r>
      <w:r>
        <w:rPr>
          <w:lang w:val="fr_FR" w:bidi="fr_FR"/>
        </w:rPr>
      </w:r>
      <w:r>
        <w:rPr>
          <w:lang w:val="fr_FR" w:bidi="fr_FR"/>
        </w:rPr>
      </w:r>
    </w:p>
    <w:p>
      <w:pPr/>
      <w:r>
        <w:rPr>
          <w:lang w:val="fr_FR" w:bidi="fr_FR"/>
        </w:rPr>
      </w:r>
    </w:p>
    <w:p>
      <w:pPr>
        <w:pStyle w:val="Heading2"/>
      </w:pPr>
      <w:r>
        <w:rPr>
          <w:lang w:val="fr_FR" w:bidi="fr_FR"/>
        </w:rPr>
        <w:t>Qumran</w:t>
      </w:r>
      <w:r>
        <w:rPr>
          <w:lang w:val="fr_FR" w:bidi="fr_FR"/>
        </w:rPr>
      </w:r>
    </w:p>
    <w:p>
      <w:pPr/>
      <w:r>
        <w:rPr>
          <w:lang w:val="fr_FR" w:bidi="fr_FR"/>
        </w:rPr>
      </w:r>
      <w:r>
        <w:rPr>
          <w:lang w:val="fr_FR" w:bidi="fr_FR"/>
        </w:rPr>
        <w:t>Communauté religieuse juive ancienne qui vivait près du site où ont été découverts les manuscrits de la mer Morte en 1947.</w:t>
      </w:r>
    </w:p>
    <w:p>
      <w:pPr/>
      <w:r>
        <w:rPr>
          <w:lang w:val="fr_FR" w:bidi="fr_FR"/>
        </w:rPr>
      </w:r>
      <w:r>
        <w:rPr>
          <w:lang w:val="fr_FR" w:bidi="fr_FR"/>
        </w:rPr>
        <w:t>Ce monastère juif, appelé Khirbet Qumran, se situe du côté nord du Wadi Qumran. Il se trouve à environ 1,5 km au sud de la grotte I. Les voyageurs avaient remarqué les ruines depuis des années.</w:t>
      </w:r>
    </w:p>
    <w:p>
      <w:pPr>
        <w:pStyle w:val="Heading3"/>
      </w:pPr>
      <w:r>
        <w:rPr>
          <w:lang w:val="fr_FR" w:bidi="fr_FR"/>
        </w:rPr>
        <w:t>Fouilles à Khirbet Qumrân</w:t>
      </w:r>
    </w:p>
    <w:p>
      <w:pPr/>
      <w:r>
        <w:rPr>
          <w:lang w:val="fr_FR" w:bidi="fr_FR"/>
        </w:rPr>
      </w:r>
      <w:r>
        <w:rPr>
          <w:lang w:val="fr_FR" w:bidi="fr_FR"/>
        </w:rPr>
        <w:t>Les premières fouilles de Khirbet Qumran ont été réalisées en 1949 par Harding et de Vaux. Le Musée archéologique jordanien et l'École Biblique ont commencé des fouilles régulières à partir de 1951. Ils ont trouvé le bâtiment principal du complexe et ont découvert qu'il se trouvait au centre d'une communauté bien organisée. On estime que 200 à 400 personnes vivaient à Qumran à un certain moment, la plupart d'entre elles dans des tentes à l'extérieur des bâtiments ou dans des grottes voisines. Il y avait aussi un grand cimetière à l'est, vers la mer Morte. De Vaux en a conclu que Khirbet Qumran était le quartier général d'une secte juive appelée les Esséniens.</w:t>
      </w:r>
    </w:p>
    <w:p>
      <w:pPr>
        <w:pStyle w:val="Heading4"/>
      </w:pPr>
      <w:r>
        <w:rPr>
          <w:lang w:val="fr_FR" w:bidi="fr_FR"/>
        </w:rPr>
        <w:t>Histoire de Khirbet Qumrân</w:t>
      </w:r>
    </w:p>
    <w:p>
      <w:pPr/>
      <w:r>
        <w:rPr>
          <w:lang w:val="fr_FR" w:bidi="fr_FR"/>
        </w:rPr>
      </w:r>
      <w:r>
        <w:rPr>
          <w:lang w:val="fr_FR" w:bidi="fr_FR"/>
        </w:rPr>
        <w:t xml:space="preserve">Le site a été occupé à différentes époques de l'histoire. La première occupation remonte aux 8e et 7e siècles av. J.‑C., peut-être pendant le règne du roi Ozias (voir </w:t>
      </w:r>
      <w:r>
        <w:rPr>
          <w:lang w:val="fr_FR" w:bidi="fr_FR"/>
        </w:rPr>
        <w:t>2Ch 26.10</w:t>
      </w:r>
      <w:r>
        <w:rPr>
          <w:lang w:val="fr_FR" w:bidi="fr_FR"/>
        </w:rPr>
        <w:t>). Il existe de nombreuses preuves d'occupation humaine pendant la période gréco-romaine (de 332 av. J.‑C. à 395 apr. J.‑C.). Un établissement majeur a commencé peu après 100 av. J.‑C., probablement à l'époque de Hyrcan 1er (le premier prêtre de la dynastie hasmonéenne, 134–104 av. J.‑C.). Cet établissement prendra fin avec un tremblement de terre en 31 av. J.‑C. Le site sera de nouveau occupé autour de la mort d'Hérode le Grand en 4 av. J.‑C. Le site sera abandonné lors de sa capture par les Romains en 68 apr. J.‑C. Les Romains y resteront jusqu'à 90 apr. J.‑C. environ. Plus tard, des rebelles juifs se serviront du site en 132–135 apr. J.‑C. lors de la deuxième révolte contre les Romains sous Bar-Kochba.</w:t>
      </w:r>
    </w:p>
    <w:p>
      <w:pPr>
        <w:pStyle w:val="Heading4"/>
      </w:pPr>
      <w:r>
        <w:rPr>
          <w:lang w:val="fr_FR" w:bidi="fr_FR"/>
        </w:rPr>
        <w:t>Caractéristiques de Khirbet Qumrân</w:t>
      </w:r>
    </w:p>
    <w:p>
      <w:pPr/>
      <w:r>
        <w:rPr>
          <w:lang w:val="fr_FR" w:bidi="fr_FR"/>
        </w:rPr>
      </w:r>
      <w:r>
        <w:rPr>
          <w:lang w:val="fr_FR" w:bidi="fr_FR"/>
        </w:rPr>
        <w:t>Le plus grand bâtiment était la salle de rassemblement principale, avec de nombreuses pièces adjacentes. De nombreuses poteries ont été trouvées, à la fois pour un usage culinaire et pour protéger les rouleaux qui étaient copiés dans la salle d'écriture ou scriptorium. Aucun manuscrit n'a été trouvé dans les ruines de Khirbet Qumran. Cependant, la poterie était identique à celle trouvée dans la grotte I, qui contenait les manuscrits de la mer Morte. Cela établit un lien entre les ruines et les manuscrits. Le scriptorium contenait des tables en plâtre romain, des bancs et des encriers.</w:t>
      </w:r>
    </w:p>
    <w:p>
      <w:pPr/>
      <w:r>
        <w:rPr>
          <w:lang w:val="fr_FR" w:bidi="fr_FR"/>
        </w:rPr>
      </w:r>
      <w:r>
        <w:rPr>
          <w:lang w:val="fr_FR" w:bidi="fr_FR"/>
        </w:rPr>
        <w:t>Le site possédait un système aquatique élaboré. De nombreuses citernes rondes et rectangulaires recueillaient l'eau des montagnes à l'ouest. Les citernes étaient sans doute utilisées pour des purifications rituelles et des baptêmes. Des centaines de pièces de monnaie de la période gréco-romaine ont été trouvées, ce qui a aidé à dater les différentes couches d'occupation. À environ 3 km au sud se trouve une source connue sous le nom de « ‘Aïn Feshka ». Elle semble avoir été un avant-poste agricole de Khirbet Qumran.</w:t>
      </w:r>
    </w:p>
    <w:p>
      <w:pPr>
        <w:pStyle w:val="Heading3"/>
      </w:pPr>
      <w:r>
        <w:rPr>
          <w:lang w:val="fr_FR" w:bidi="fr_FR"/>
        </w:rPr>
        <w:t>Identité de la secte de Qumrân</w:t>
      </w:r>
    </w:p>
    <w:p>
      <w:pPr/>
      <w:r>
        <w:rPr>
          <w:lang w:val="fr_FR" w:bidi="fr_FR"/>
        </w:rPr>
      </w:r>
      <w:r>
        <w:rPr>
          <w:lang w:val="fr_FR" w:bidi="fr_FR"/>
        </w:rPr>
        <w:t>La communauté de Qumrân était une secte juive formée au 2e siècle av. J.‑C. Il est probable que la secte s'est développée après l'imposition de la culture grecque aux Juifs par les dirigeants séleucides. La communauté a rejeté le temple de Jérusalem et s'est déplacée vers le désert. Ils appelaient probablement leur communauté « Damas ». Ils croyaient obéir à la volonté de Dieu et respecter son alliance.</w:t>
      </w:r>
    </w:p>
    <w:p>
      <w:pPr/>
      <w:r>
        <w:rPr>
          <w:lang w:val="fr_FR" w:bidi="fr_FR"/>
        </w:rPr>
      </w:r>
      <w:r>
        <w:rPr>
          <w:lang w:val="fr_FR" w:bidi="fr_FR"/>
        </w:rPr>
        <w:t>La secte a été identifiée avec divers groupes, mais la meilleure correspondance semble être les Esséniens. Des auteurs du 1er siècle apr. J.‑C., comme Josèphe, Philon et Pline l'Ancien, ont tous mentionné les Esséniens. Ces auteurs ont décrit les Esséniens comme un groupe ascétique (ils pratiquaient l'autodiscipline et le rejet du plaisir). Ils vivaient le long de la rive occidentale de la mer Morte. La secte partageait de nombreuses croyances et pratiques avec les Esséniens :</w:t>
      </w:r>
    </w:p>
    <w:p>
      <w:pPr>
        <w:pStyle w:val="ListBullet"/>
        <w:spacing w:line="240" w:lineRule="auto"/>
        <w:ind w:left="720"/>
      </w:pPr>
      <w:r>
        <w:rPr>
          <w:lang w:val="fr_FR" w:bidi="fr_FR"/>
        </w:rPr>
      </w:r>
      <w:r>
        <w:rPr>
          <w:lang w:val="fr_FR" w:bidi="fr_FR"/>
        </w:rPr>
        <w:t>Période probatoire de deux ans pour les membres</w:t>
      </w:r>
    </w:p>
    <w:p>
      <w:pPr>
        <w:pStyle w:val="ListBullet"/>
        <w:spacing w:line="240" w:lineRule="auto"/>
        <w:ind w:left="720"/>
      </w:pPr>
      <w:r>
        <w:rPr>
          <w:lang w:val="fr_FR" w:bidi="fr_FR"/>
        </w:rPr>
      </w:r>
      <w:r>
        <w:rPr>
          <w:lang w:val="fr_FR" w:bidi="fr_FR"/>
        </w:rPr>
        <w:t>Membres rangés en classes</w:t>
      </w:r>
    </w:p>
    <w:p>
      <w:pPr>
        <w:pStyle w:val="ListBullet"/>
        <w:spacing w:line="240" w:lineRule="auto"/>
        <w:ind w:left="720"/>
      </w:pPr>
      <w:r>
        <w:rPr>
          <w:lang w:val="fr_FR" w:bidi="fr_FR"/>
        </w:rPr>
      </w:r>
      <w:r>
        <w:rPr>
          <w:lang w:val="fr_FR" w:bidi="fr_FR"/>
        </w:rPr>
        <w:t>Richesse partagée au sein de la communauté</w:t>
      </w:r>
    </w:p>
    <w:p>
      <w:pPr>
        <w:pStyle w:val="ListBullet"/>
        <w:spacing w:line="240" w:lineRule="auto"/>
        <w:ind w:left="720"/>
      </w:pPr>
      <w:r>
        <w:rPr>
          <w:lang w:val="fr_FR" w:bidi="fr_FR"/>
        </w:rPr>
      </w:r>
      <w:r>
        <w:rPr>
          <w:lang w:val="fr_FR" w:bidi="fr_FR"/>
        </w:rPr>
        <w:t>Prise de repas en commun</w:t>
      </w:r>
    </w:p>
    <w:p>
      <w:pPr>
        <w:pStyle w:val="ListBullet"/>
        <w:spacing w:line="240" w:lineRule="auto"/>
        <w:ind w:left="720"/>
      </w:pPr>
      <w:r>
        <w:rPr>
          <w:lang w:val="fr_FR" w:bidi="fr_FR"/>
        </w:rPr>
      </w:r>
      <w:r>
        <w:rPr>
          <w:lang w:val="fr_FR" w:bidi="fr_FR"/>
        </w:rPr>
        <w:t>Pratique du baptême et du rituel de purification</w:t>
      </w:r>
    </w:p>
    <w:p>
      <w:pPr>
        <w:pStyle w:val="ListBullet"/>
        <w:spacing w:line="240" w:lineRule="auto"/>
        <w:ind w:left="720"/>
      </w:pPr>
      <w:r>
        <w:rPr>
          <w:lang w:val="fr_FR" w:bidi="fr_FR"/>
        </w:rPr>
      </w:r>
      <w:r>
        <w:rPr>
          <w:lang w:val="fr_FR" w:bidi="fr_FR"/>
        </w:rPr>
        <w:t>Discipline rigoureuse</w:t>
      </w:r>
    </w:p>
    <w:p>
      <w:pPr/>
      <w:r>
        <w:rPr>
          <w:lang w:val="fr_FR" w:bidi="fr_FR"/>
        </w:rPr>
      </w:r>
      <w:r>
        <w:rPr>
          <w:lang w:val="fr_FR" w:bidi="fr_FR"/>
        </w:rPr>
        <w:t>La secte de Qumrân comprenait à la fois des prêtres et des laïcs. La direction de la communauté comptait quinze hommes : trois prêtres et douze laïcs. Le chef du groupe était un surintendant ou un examinateur. Il y avait certaines différences entre la secte de Qumrân et les Esséniens. Contrairement aux Esséniens, les membres de la secte de Qumrân :</w:t>
      </w:r>
    </w:p>
    <w:p>
      <w:pPr>
        <w:pStyle w:val="ListBullet"/>
        <w:spacing w:line="240" w:lineRule="auto"/>
        <w:ind w:left="720"/>
      </w:pPr>
      <w:r>
        <w:rPr>
          <w:lang w:val="fr_FR" w:bidi="fr_FR"/>
        </w:rPr>
      </w:r>
      <w:r>
        <w:rPr>
          <w:lang w:val="fr_FR" w:bidi="fr_FR"/>
        </w:rPr>
        <w:t>étaient autorisés à se marier.</w:t>
      </w:r>
    </w:p>
    <w:p>
      <w:pPr>
        <w:pStyle w:val="ListBullet"/>
        <w:spacing w:line="240" w:lineRule="auto"/>
        <w:ind w:left="720"/>
      </w:pPr>
      <w:r>
        <w:rPr>
          <w:lang w:val="fr_FR" w:bidi="fr_FR"/>
        </w:rPr>
      </w:r>
      <w:r>
        <w:rPr>
          <w:lang w:val="fr_FR" w:bidi="fr_FR"/>
        </w:rPr>
        <w:t>permettaient aux femmes de devenir membres, et</w:t>
      </w:r>
    </w:p>
    <w:p>
      <w:pPr>
        <w:pStyle w:val="ListBullet"/>
        <w:spacing w:line="240" w:lineRule="auto"/>
        <w:ind w:left="720"/>
      </w:pPr>
      <w:r>
        <w:rPr>
          <w:lang w:val="fr_FR" w:bidi="fr_FR"/>
        </w:rPr>
      </w:r>
      <w:r>
        <w:rPr>
          <w:lang w:val="fr_FR" w:bidi="fr_FR"/>
        </w:rPr>
        <w:t>n'étaient pas pacifistes.</w:t>
      </w:r>
    </w:p>
    <w:p>
      <w:pPr>
        <w:pStyle w:val="Heading3"/>
      </w:pPr>
      <w:r>
        <w:rPr>
          <w:lang w:val="fr_FR" w:bidi="fr_FR"/>
        </w:rPr>
        <w:t>Croyances de la secte de Qumrân</w:t>
      </w:r>
    </w:p>
    <w:p>
      <w:pPr/>
      <w:r>
        <w:rPr>
          <w:lang w:val="fr_FR" w:bidi="fr_FR"/>
        </w:rPr>
      </w:r>
      <w:r>
        <w:rPr>
          <w:lang w:val="fr_FR" w:bidi="fr_FR"/>
        </w:rPr>
        <w:t>La secte de Qumran tenait les Écritures en haute estime. Ses membres se considéraient comme le peuple de l'alliance de Dieu. Ils se sont donc séparés de la vie juive traditionnelle pour étudier la loi de Dieu et se préparer à la venue du Seigneur. En tant que Juifs, ils croyaient au Dieu de l'Ancien Testament. Ils croyaient que Dieu était :</w:t>
      </w:r>
    </w:p>
    <w:p>
      <w:pPr>
        <w:pStyle w:val="ListBullet"/>
        <w:spacing w:line="240" w:lineRule="auto"/>
        <w:ind w:left="720"/>
      </w:pPr>
      <w:r>
        <w:rPr>
          <w:lang w:val="fr_FR" w:bidi="fr_FR"/>
        </w:rPr>
      </w:r>
      <w:r>
        <w:rPr>
          <w:lang w:val="fr_FR" w:bidi="fr_FR"/>
        </w:rPr>
        <w:t>Le Seigneur de la création</w:t>
      </w:r>
    </w:p>
    <w:p>
      <w:pPr>
        <w:pStyle w:val="ListBullet"/>
        <w:spacing w:line="240" w:lineRule="auto"/>
        <w:ind w:left="720"/>
      </w:pPr>
      <w:r>
        <w:rPr>
          <w:lang w:val="fr_FR" w:bidi="fr_FR"/>
        </w:rPr>
      </w:r>
      <w:r>
        <w:rPr>
          <w:lang w:val="fr_FR" w:bidi="fr_FR"/>
        </w:rPr>
        <w:t>Souverain sur toutes choses</w:t>
      </w:r>
    </w:p>
    <w:p>
      <w:pPr>
        <w:pStyle w:val="ListBullet"/>
        <w:spacing w:line="240" w:lineRule="auto"/>
        <w:ind w:left="720"/>
      </w:pPr>
      <w:r>
        <w:rPr>
          <w:lang w:val="fr_FR" w:bidi="fr_FR"/>
        </w:rPr>
      </w:r>
      <w:r>
        <w:rPr>
          <w:lang w:val="fr_FR" w:bidi="fr_FR"/>
        </w:rPr>
        <w:t>Celui qui prédestine les êtres humains soit au salut, soit à la condamnation.</w:t>
      </w:r>
    </w:p>
    <w:p>
      <w:pPr/>
      <w:r>
        <w:rPr>
          <w:lang w:val="fr_FR" w:bidi="fr_FR"/>
        </w:rPr>
      </w:r>
      <w:r>
        <w:rPr>
          <w:lang w:val="fr_FR" w:bidi="fr_FR"/>
        </w:rPr>
        <w:t>Les anges avaient une place importante dans leur théologie. Les anges étaient des créatures spirituelles qui combattraient aux côtés des « élus » dans la guerre contre le mal. Ils croyaient en un monothéisme strict (l'idée qu'il n'y a qu'un seul Dieu), et ils pensaient donc que Dieu était l'auteur à la fois du bien et du mal.</w:t>
      </w:r>
    </w:p>
    <w:p>
      <w:pPr/>
      <w:r>
        <w:rPr>
          <w:lang w:val="fr_FR" w:bidi="fr_FR"/>
        </w:rPr>
      </w:r>
      <w:r>
        <w:rPr>
          <w:lang w:val="fr_FR" w:bidi="fr_FR"/>
        </w:rPr>
        <w:t>Les enseignements de Qumrân décrivaient les humains comme pécheurs et comme ayant besoin de la grâce de Dieu. La purification ne venait qu'en obéissant aux lois de Dieu et aux enseignements de la communauté. Leurs enseignements provenaient d'un Maître de Justice anonyme, décrit dans le « Commentaire d'Habakuk » et d'autres rouleaux. Le Maître n'était pas le fondateur de la secte, mais avait été envoyé par Dieu pour enseigner la communauté. Il connaissait les plans de Dieu, qui seraient accomplis à la fin des temps. Il était prêtre et avait été instruit par Dieu pour interpréter les paroles des prophètes. Il n'était pas le Messie (le chef choisi par Dieu). Le Maître a été persécuté par un « Prêtre Impie ». Les tentatives d'identifier ces figures à des personnes historiques spécifiques sont spéculatives.</w:t>
      </w:r>
    </w:p>
    <w:p>
      <w:pPr/>
      <w:r>
        <w:rPr>
          <w:lang w:val="fr_FR" w:bidi="fr_FR"/>
        </w:rPr>
      </w:r>
      <w:r>
        <w:rPr>
          <w:lang w:val="fr_FR" w:bidi="fr_FR"/>
        </w:rPr>
        <w:t xml:space="preserve">La secte de Qumrân nourrissait un fort espoir messianique. Ils croyaient vivre dans les derniers jours précédant l'arrivée du Messie et la bataille finale contre le mal. Le « Document de Damas » mentionnait « les oints [messies] d'Aaron et d'Israël ». Cela pourrait faire référence à deux messies : un Messie sacerdotal d'Aaron et un Messie royal d'Israël. Certains chercheurs suggèrent trois figures messianiques : un roi issu David, un prêtre issu d'Aaron et un prophète issu de Moïse (voir </w:t>
      </w:r>
      <w:r>
        <w:rPr>
          <w:lang w:val="fr_FR" w:bidi="fr_FR"/>
        </w:rPr>
        <w:t>Dt 18.18</w:t>
      </w:r>
      <w:r>
        <w:rPr>
          <w:lang w:val="fr_FR" w:bidi="fr_FR"/>
        </w:rPr>
        <w:t>). Le Maître de Justice pourrait avoir été le prophète attendu. Les membres de la communauté croyaient en la résurrection des morts et à l'immortalité des justes. Les méchants, enseignaient-ils, seraient punis et détruits par le feu.</w:t>
      </w:r>
      <w:r>
        <w:rPr>
          <w:lang w:val="fr_FR" w:bidi="fr_FR"/>
        </w:rPr>
      </w:r>
      <w:r>
        <w:rPr>
          <w:lang w:val="fr_FR" w:bidi="fr_FR"/>
        </w:rPr>
      </w:r>
    </w:p>
    <w:p>
      <w:pPr/>
      <w:r>
        <w:rPr>
          <w:lang w:val="fr_FR" w:bidi="fr_FR"/>
        </w:rPr>
      </w:r>
    </w:p>
    <w:p>
      <w:pPr>
        <w:pStyle w:val="Heading2"/>
      </w:pPr>
      <w:r>
        <w:rPr>
          <w:lang w:val="fr_FR" w:bidi="fr_FR"/>
        </w:rPr>
        <w:t>Quoa, Koa, Coa, Qoa</w:t>
      </w:r>
      <w:r>
        <w:rPr>
          <w:lang w:val="fr_FR" w:bidi="fr_FR"/>
        </w:rPr>
      </w:r>
    </w:p>
    <w:p>
      <w:pPr/>
      <w:r>
        <w:rPr>
          <w:lang w:val="fr_FR" w:bidi="fr_FR"/>
        </w:rPr>
      </w:r>
      <w:r>
        <w:rPr>
          <w:lang w:val="fr_FR" w:bidi="fr_FR"/>
        </w:rPr>
        <w:t>Peuple ayant probablement vécu dans le nord-est de la Babylonie. Ils sont mentionnés avec Babylone, Pékod et Choa comme des peuples qui viendraient contre Jérusalem en tant qu'instruments du jugement de Dieu sur Israël (</w:t>
      </w:r>
      <w:r>
        <w:rPr>
          <w:lang w:val="fr_FR" w:bidi="fr_FR"/>
        </w:rPr>
        <w:t>Ez 23.23</w:t>
      </w:r>
      <w:r>
        <w:rPr>
          <w:lang w:val="fr_FR" w:bidi="fr_FR"/>
        </w:rPr>
        <w:t xml:space="preserve">). Il s'agit peut-être de Kutha (Cutha), dont il est fréquemment fait mention dans les inscriptions assyriennes. </w:t>
      </w:r>
    </w:p>
    <w:p>
      <w:pPr/>
      <w:r>
        <w:rPr>
          <w:lang w:val="fr_FR" w:bidi="fr_FR"/>
        </w:rPr>
      </w:r>
      <w:r>
        <w:rPr>
          <w:lang w:val="fr_FR" w:bidi="fr_FR"/>
        </w:rPr>
        <w:t>Noter que ces noms sont souvent traduits « nobles, princes et seigneurs » (ou formulation semblable) dans les versions françaises.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