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zui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罪</w:t>
      </w:r>
      <w:r>
        <w:rPr>
          <w:lang w:val="zh_TW" w:bidi="zh_TW"/>
        </w:rPr>
      </w:r>
    </w:p>
    <w:p>
      <w:pPr/>
      <w:r>
        <w:rPr>
          <w:lang w:val="zh_TW" w:bidi="zh_TW"/>
        </w:rPr>
      </w:r>
      <w:r>
        <w:rPr>
          <w:lang w:val="zh_TW" w:bidi="zh_TW"/>
        </w:rPr>
        <w:t>指不僅僅是對人類、社會、他人或自身的惡行，更是對神的冒犯。因此，神的概念賦予罪多方面的含義。其它神明通常被認為是反覆無常且沒有道德標準的，它們在不受約束的行為中行使無限的權力，因此不會像以色列的獨一神，聖潔、公義、完全良善的神那樣，產生強烈的罪惡感。這種與宗教相關的罪惡概念以及隨之而來的術語，一直延續到新約時期。</w:t>
      </w:r>
    </w:p>
    <w:p>
      <w:pPr>
        <w:pStyle w:val="Heading3"/>
      </w:pPr>
      <w:r>
        <w:rPr>
          <w:lang w:val="zh_TW" w:bidi="zh_TW"/>
        </w:rPr>
        <w:t>術語</w:t>
      </w:r>
    </w:p>
    <w:p>
      <w:pPr/>
      <w:r>
        <w:rPr>
          <w:lang w:val="zh_TW" w:bidi="zh_TW"/>
        </w:rPr>
      </w:r>
      <w:r>
        <w:rPr>
          <w:lang w:val="zh_TW" w:bidi="zh_TW"/>
        </w:rPr>
        <w:t>以色列的神為人類的行為設立了理想標準。聖經中關於罪的最常見詞語是指以某種方式違背這一標準。希伯來文hata’和希臘文hamartia原本的意思是「未達標準，未盡責任」（</w:t>
      </w:r>
      <w:r>
        <w:rPr>
          <w:lang w:val="zh_TW" w:bidi="zh_TW"/>
        </w:rPr>
        <w:t>羅3:23</w:t>
      </w:r>
      <w:r>
        <w:rPr>
          <w:lang w:val="zh_TW" w:bidi="zh_TW"/>
        </w:rPr>
        <w:t>）。神作為律法的賜予者，為人類的自由設置了界限；另一個常見的詞語（希伯來文‘abar</w:t>
      </w:r>
      <w:r>
        <w:rPr>
          <w:i/>
          <w:lang w:val="zh_TW" w:bidi="zh_TW"/>
        </w:rPr>
        <w:t>；</w:t>
      </w:r>
      <w:r>
        <w:rPr>
          <w:lang w:val="zh_TW" w:bidi="zh_TW"/>
        </w:rPr>
        <w:t>希臘文parabasis）將罪描述為「越界」，「超越設置的界限」。類似的詞語有pesha‘（希伯來文），意為「叛逆」，「違法」；’asham（希伯來文）表示「侵犯神的王權」，「承擔罪責」；paraptoma（希臘文）表示「偏離正路」，「闖入禁區」。 「罪孽」通常翻譯為‘aon（希伯來文，意為「邪惡」，「錯誤」），其在新約中最接近的對應詞是anomia（希臘文，「無法無天」）或paranomia（希臘文，「違法」）。</w:t>
      </w:r>
    </w:p>
    <w:p>
      <w:pPr>
        <w:pStyle w:val="Heading3"/>
      </w:pPr>
      <w:r>
        <w:rPr>
          <w:lang w:val="zh_TW" w:bidi="zh_TW"/>
        </w:rPr>
        <w:t>舊約中的罪</w:t>
      </w:r>
    </w:p>
    <w:p>
      <w:pPr/>
      <w:r>
        <w:rPr>
          <w:lang w:val="zh_TW" w:bidi="zh_TW"/>
        </w:rPr>
      </w:r>
      <w:r>
        <w:rPr>
          <w:lang w:val="zh_TW" w:bidi="zh_TW"/>
        </w:rPr>
        <w:t>創世記將罪的根源追溯到故意濫用神所賦予的自由，來違背了一個單獨的限制性禁令。以西結書強烈主張個人責任，反對傳統的集體罪責理論（</w:t>
      </w:r>
      <w:r>
        <w:rPr>
          <w:lang w:val="zh_TW" w:bidi="zh_TW"/>
        </w:rPr>
        <w:t>結18</w:t>
      </w:r>
      <w:r>
        <w:rPr>
          <w:lang w:val="zh_TW" w:bidi="zh_TW"/>
        </w:rPr>
        <w:t>）。繼耶利米之後，他強調如果要改變外在行為，內心的生命必須得到潔淨和更新；神的律法必須成為個人內心的動力，才能克服罪（</w:t>
      </w:r>
      <w:r>
        <w:rPr>
          <w:lang w:val="zh_TW" w:bidi="zh_TW"/>
        </w:rPr>
        <w:t>耶31:29–34</w:t>
      </w:r>
      <w:r>
        <w:rPr>
          <w:lang w:val="zh_TW" w:bidi="zh_TW"/>
        </w:rPr>
        <w:t>；</w:t>
      </w:r>
      <w:r>
        <w:rPr>
          <w:lang w:val="zh_TW" w:bidi="zh_TW"/>
        </w:rPr>
        <w:t>結36:24–29</w:t>
      </w:r>
      <w:r>
        <w:rPr>
          <w:lang w:val="zh_TW" w:bidi="zh_TW"/>
        </w:rPr>
        <w:t>）。</w:t>
      </w:r>
    </w:p>
    <w:p>
      <w:pPr/>
      <w:r>
        <w:rPr>
          <w:lang w:val="zh_TW" w:bidi="zh_TW"/>
        </w:rPr>
      </w:r>
      <w:r>
        <w:rPr>
          <w:lang w:val="zh_TW" w:bidi="zh_TW"/>
        </w:rPr>
        <w:t>詩篇第五十一篇</w:t>
      </w:r>
      <w:r>
        <w:rPr>
          <w:lang w:val="zh_TW" w:bidi="zh_TW"/>
        </w:rPr>
        <w:t>深刻分析了罪的內在意義。詩人承認「我是在罪孽裡生的」，表達他的生命從一開始就充滿罪。他的整個人格需要「潔淨」，因他被玷污了。儀式上的獻祭無法解決問題，唯有破碎、痛悔的心才能為神的潔淨做好準備。唯一的盼盼和唯一依靠之處，就在於神堅定的愛和豐富的憐憫。儘管舊約對罪的觀點十分嚴厲，但其中也包含了關於充滿恩典的赦免保證（</w:t>
      </w:r>
      <w:r>
        <w:rPr>
          <w:lang w:val="zh_TW" w:bidi="zh_TW"/>
        </w:rPr>
        <w:t>詩103:8–14；</w:t>
      </w:r>
      <w:r>
        <w:rPr>
          <w:lang w:val="zh_TW" w:bidi="zh_TW"/>
        </w:rPr>
        <w:t>賽1:18</w:t>
      </w:r>
      <w:r>
        <w:rPr>
          <w:lang w:val="zh_TW" w:bidi="zh_TW"/>
        </w:rPr>
        <w:t>，</w:t>
      </w:r>
      <w:r>
        <w:rPr>
          <w:lang w:val="zh_TW" w:bidi="zh_TW"/>
        </w:rPr>
        <w:t>55:6–7</w:t>
      </w:r>
      <w:r>
        <w:rPr>
          <w:lang w:val="zh_TW" w:bidi="zh_TW"/>
        </w:rPr>
        <w:t>）。</w:t>
      </w:r>
    </w:p>
    <w:p>
      <w:pPr>
        <w:pStyle w:val="Heading3"/>
      </w:pPr>
      <w:r>
        <w:rPr>
          <w:lang w:val="zh_TW" w:bidi="zh_TW"/>
        </w:rPr>
        <w:t>在耶穌的教導中</w:t>
      </w:r>
    </w:p>
    <w:p>
      <w:pPr/>
      <w:r>
        <w:rPr>
          <w:lang w:val="zh_TW" w:bidi="zh_TW"/>
        </w:rPr>
      </w:r>
      <w:r>
        <w:rPr>
          <w:lang w:val="zh_TW" w:bidi="zh_TW"/>
        </w:rPr>
        <w:t>耶穌關於罪的教導強調了神恩典的饒恕和更新，祂不僅以權柄宣告「你的罪赦了」，還透過許多憐憫性的行為和社會上的認同，來顯明祂成為罪人的朋友，呼召他們悔改，重建他們的盼望和尊嚴（</w:t>
      </w:r>
      <w:r>
        <w:rPr>
          <w:lang w:val="zh_TW" w:bidi="zh_TW"/>
        </w:rPr>
        <w:t>太9:1–13</w:t>
      </w:r>
      <w:r>
        <w:rPr>
          <w:lang w:val="zh_TW" w:bidi="zh_TW"/>
        </w:rPr>
        <w:t>，</w:t>
      </w:r>
      <w:r>
        <w:rPr>
          <w:lang w:val="zh_TW" w:bidi="zh_TW"/>
        </w:rPr>
        <w:t>11:19</w:t>
      </w:r>
      <w:r>
        <w:rPr>
          <w:lang w:val="zh_TW" w:bidi="zh_TW"/>
        </w:rPr>
        <w:t>；</w:t>
      </w:r>
      <w:r>
        <w:rPr>
          <w:lang w:val="zh_TW" w:bidi="zh_TW"/>
        </w:rPr>
        <w:t>路15章</w:t>
      </w:r>
      <w:r>
        <w:rPr>
          <w:lang w:val="zh_TW" w:bidi="zh_TW"/>
        </w:rPr>
        <w:t>，</w:t>
      </w:r>
      <w:r>
        <w:rPr>
          <w:lang w:val="zh_TW" w:bidi="zh_TW"/>
        </w:rPr>
        <w:t>19:1–10</w:t>
      </w:r>
      <w:r>
        <w:rPr>
          <w:lang w:val="zh_TW" w:bidi="zh_TW"/>
        </w:rPr>
        <w:t>）。</w:t>
      </w:r>
    </w:p>
    <w:p>
      <w:pPr/>
      <w:r>
        <w:rPr>
          <w:lang w:val="zh_TW" w:bidi="zh_TW"/>
        </w:rPr>
      </w:r>
      <w:r>
        <w:rPr>
          <w:lang w:val="zh_TW" w:bidi="zh_TW"/>
        </w:rPr>
        <w:t>耶穌對罪的來源所說不多，除了指出它源於人心和意志（</w:t>
      </w:r>
      <w:r>
        <w:rPr>
          <w:lang w:val="zh_TW" w:bidi="zh_TW"/>
        </w:rPr>
        <w:t>太6:22–23</w:t>
      </w:r>
      <w:r>
        <w:rPr>
          <w:lang w:val="zh_TW" w:bidi="zh_TW"/>
        </w:rPr>
        <w:t>，</w:t>
      </w:r>
      <w:r>
        <w:rPr>
          <w:lang w:val="zh_TW" w:bidi="zh_TW"/>
        </w:rPr>
        <w:t>7:17–19</w:t>
      </w:r>
      <w:r>
        <w:rPr>
          <w:lang w:val="zh_TW" w:bidi="zh_TW"/>
        </w:rPr>
        <w:t>，</w:t>
      </w:r>
      <w:r>
        <w:rPr>
          <w:lang w:val="zh_TW" w:bidi="zh_TW"/>
        </w:rPr>
        <w:t>18:7</w:t>
      </w:r>
      <w:r>
        <w:rPr>
          <w:lang w:val="zh_TW" w:bidi="zh_TW"/>
        </w:rPr>
        <w:t>；</w:t>
      </w:r>
      <w:r>
        <w:rPr>
          <w:lang w:val="zh_TW" w:bidi="zh_TW"/>
        </w:rPr>
        <w:t>可7:20–23</w:t>
      </w:r>
      <w:r>
        <w:rPr>
          <w:lang w:val="zh_TW" w:bidi="zh_TW"/>
        </w:rPr>
        <w:t>），但祂明顯重新定義了罪的範圍。律法只能評判人的行為，然而耶穌指出，憤怒、輕視、淫念、心硬和欺詐也都是罪。祂還提到忽視善行、無所作為的罪，如不結果子的樹、未使用的才幹、祭司忽視傷者，以及從未表現出的愛（</w:t>
      </w:r>
      <w:r>
        <w:rPr>
          <w:lang w:val="zh_TW" w:bidi="zh_TW"/>
        </w:rPr>
        <w:t>太25:41–46</w:t>
      </w:r>
      <w:r>
        <w:rPr>
          <w:lang w:val="zh_TW" w:bidi="zh_TW"/>
        </w:rPr>
        <w:t>）。祂特別譴責對愛的冒犯——不友善、固執敵意、自私、漠不關心（</w:t>
      </w:r>
      <w:r>
        <w:rPr>
          <w:lang w:val="zh_TW" w:bidi="zh_TW"/>
        </w:rPr>
        <w:t>路12:16–21，</w:t>
      </w:r>
      <w:r>
        <w:rPr>
          <w:lang w:val="zh_TW" w:bidi="zh_TW"/>
        </w:rPr>
        <w:t>16:19–31</w:t>
      </w:r>
      <w:r>
        <w:rPr>
          <w:lang w:val="zh_TW" w:bidi="zh_TW"/>
        </w:rPr>
        <w:t>）。祂還譴責自義和屬靈的瞎眼（</w:t>
      </w:r>
      <w:r>
        <w:rPr>
          <w:lang w:val="zh_TW" w:bidi="zh_TW"/>
        </w:rPr>
        <w:t>太23:16–26</w:t>
      </w:r>
      <w:r>
        <w:rPr>
          <w:lang w:val="zh_TW" w:bidi="zh_TW"/>
        </w:rPr>
        <w:t>；</w:t>
      </w:r>
      <w:r>
        <w:rPr>
          <w:lang w:val="zh_TW" w:bidi="zh_TW"/>
        </w:rPr>
        <w:t>可3:22–30</w:t>
      </w:r>
      <w:r>
        <w:rPr>
          <w:lang w:val="zh_TW" w:bidi="zh_TW"/>
        </w:rPr>
        <w:t>）。耶穌將罪比作疾病（</w:t>
      </w:r>
      <w:r>
        <w:rPr>
          <w:lang w:val="zh_TW" w:bidi="zh_TW"/>
        </w:rPr>
        <w:t>可2:17</w:t>
      </w:r>
      <w:r>
        <w:rPr>
          <w:lang w:val="zh_TW" w:bidi="zh_TW"/>
        </w:rPr>
        <w:t>），有時比作愚蠢（</w:t>
      </w:r>
      <w:r>
        <w:rPr>
          <w:lang w:val="zh_TW" w:bidi="zh_TW"/>
        </w:rPr>
        <w:t>路12:20</w:t>
      </w:r>
      <w:r>
        <w:rPr>
          <w:lang w:val="zh_TW" w:bidi="zh_TW"/>
        </w:rPr>
        <w:t>）。儘管如此，耶穌宣稱墮落的人，在神的幫助下可以得到醫治（</w:t>
      </w:r>
      <w:r>
        <w:rPr>
          <w:lang w:val="zh_TW" w:bidi="zh_TW"/>
        </w:rPr>
        <w:t>7:36–50</w:t>
      </w:r>
      <w:r>
        <w:rPr>
          <w:lang w:val="zh_TW" w:bidi="zh_TW"/>
        </w:rPr>
        <w:t>）。</w:t>
      </w:r>
    </w:p>
    <w:p>
      <w:pPr>
        <w:pStyle w:val="Heading3"/>
      </w:pPr>
      <w:r>
        <w:rPr>
          <w:lang w:val="zh_TW" w:bidi="zh_TW"/>
        </w:rPr>
        <w:t>在約翰的著作中</w:t>
      </w:r>
    </w:p>
    <w:p>
      <w:pPr/>
      <w:r>
        <w:rPr>
          <w:lang w:val="zh_TW" w:bidi="zh_TW"/>
        </w:rPr>
      </w:r>
      <w:r>
        <w:rPr>
          <w:lang w:val="zh_TW" w:bidi="zh_TW"/>
        </w:rPr>
        <w:t>約翰福音假定罪人的需要，而基督作為羔羊，為擔當世人的罪而犧牲，並在基督裡提供光與生命。新約中強調的重點是，罪是拒絕接受基督所提供的救恩，並拒絕神對世界的愛——拒絕相信。人因愛黑暗、拒絕光明、不接受救主基督而受到審判（</w:t>
      </w:r>
      <w:r>
        <w:rPr>
          <w:lang w:val="zh_TW" w:bidi="zh_TW"/>
        </w:rPr>
        <w:t>約3:16–21</w:t>
      </w:r>
      <w:r>
        <w:rPr>
          <w:lang w:val="zh_TW" w:bidi="zh_TW"/>
        </w:rPr>
        <w:t>）。</w:t>
      </w:r>
    </w:p>
    <w:p>
      <w:pPr/>
      <w:r>
        <w:rPr>
          <w:lang w:val="zh_TW" w:bidi="zh_TW"/>
        </w:rPr>
      </w:r>
      <w:r>
        <w:rPr>
          <w:lang w:val="zh_TW" w:bidi="zh_TW"/>
        </w:rPr>
        <w:t>針對諾斯底主義（Gnosticism）所認為的，高階基督徒的罪無關緊要，約翰壹書強調基督徒的生活中不能容忍罪，列舉了15個理由，並重申罪既是對真理的無知，也是缺乏愛心（</w:t>
      </w:r>
      <w:r>
        <w:rPr>
          <w:lang w:val="zh_TW" w:bidi="zh_TW"/>
        </w:rPr>
        <w:t>約一3:3–10</w:t>
      </w:r>
      <w:r>
        <w:rPr>
          <w:lang w:val="zh_TW" w:bidi="zh_TW"/>
        </w:rPr>
        <w:t>）。然而，神會赦免那些承認自己的罪的人，基督為他們贖罪，並為他們代求（</w:t>
      </w:r>
      <w:r>
        <w:rPr>
          <w:lang w:val="zh_TW" w:bidi="zh_TW"/>
        </w:rPr>
        <w:t>1:7–2:2</w:t>
      </w:r>
      <w:r>
        <w:rPr>
          <w:lang w:val="zh_TW" w:bidi="zh_TW"/>
        </w:rPr>
        <w:t>）。</w:t>
      </w:r>
    </w:p>
    <w:p>
      <w:pPr>
        <w:pStyle w:val="Heading3"/>
      </w:pPr>
      <w:r>
        <w:rPr>
          <w:lang w:val="zh_TW" w:bidi="zh_TW"/>
        </w:rPr>
        <w:t>在保羅的著作中</w:t>
      </w:r>
    </w:p>
    <w:p>
      <w:pPr/>
      <w:r>
        <w:rPr>
          <w:lang w:val="zh_TW" w:bidi="zh_TW"/>
        </w:rPr>
      </w:r>
      <w:r>
        <w:rPr>
          <w:lang w:val="zh_TW" w:bidi="zh_TW"/>
        </w:rPr>
        <w:t>保羅從觀察和聖經中強烈地指出，所有人都犯了罪（</w:t>
      </w:r>
      <w:r>
        <w:rPr>
          <w:lang w:val="zh_TW" w:bidi="zh_TW"/>
        </w:rPr>
        <w:t>羅1–3章</w:t>
      </w:r>
      <w:r>
        <w:rPr>
          <w:lang w:val="zh_TW" w:bidi="zh_TW"/>
        </w:rPr>
        <w:t>）。對他來說，罪是一股力量、一種權勢、一種統治人內在的「律」（</w:t>
      </w:r>
      <w:r>
        <w:rPr>
          <w:lang w:val="zh_TW" w:bidi="zh_TW"/>
        </w:rPr>
        <w:t>羅5:21</w:t>
      </w:r>
      <w:r>
        <w:rPr>
          <w:lang w:val="zh_TW" w:bidi="zh_TW"/>
        </w:rPr>
        <w:t>，</w:t>
      </w:r>
      <w:r>
        <w:rPr>
          <w:lang w:val="zh_TW" w:bidi="zh_TW"/>
        </w:rPr>
        <w:t>7:23</w:t>
      </w:r>
      <w:r>
        <w:rPr>
          <w:lang w:val="zh_TW" w:bidi="zh_TW"/>
        </w:rPr>
        <w:t>，</w:t>
      </w:r>
      <w:r>
        <w:rPr>
          <w:lang w:val="zh_TW" w:bidi="zh_TW"/>
        </w:rPr>
        <w:t>8:2</w:t>
      </w:r>
      <w:r>
        <w:rPr>
          <w:lang w:val="zh_TW" w:bidi="zh_TW"/>
        </w:rPr>
        <w:t>；</w:t>
      </w:r>
      <w:r>
        <w:rPr>
          <w:lang w:val="zh_TW" w:bidi="zh_TW"/>
        </w:rPr>
        <w:t>林前15:56</w:t>
      </w:r>
      <w:r>
        <w:rPr>
          <w:lang w:val="zh_TW" w:bidi="zh_TW"/>
        </w:rPr>
        <w:t>），導致各種邪惡的行為——良心麻木（</w:t>
      </w:r>
      <w:r>
        <w:rPr>
          <w:lang w:val="zh_TW" w:bidi="zh_TW"/>
        </w:rPr>
        <w:t>羅7:21–24</w:t>
      </w:r>
      <w:r>
        <w:rPr>
          <w:lang w:val="zh_TW" w:bidi="zh_TW"/>
        </w:rPr>
        <w:t>）、與神的隔絕和死亡的轄制（</w:t>
      </w:r>
      <w:r>
        <w:rPr>
          <w:lang w:val="zh_TW" w:bidi="zh_TW"/>
        </w:rPr>
        <w:t>羅5:10</w:t>
      </w:r>
      <w:r>
        <w:rPr>
          <w:lang w:val="zh_TW" w:bidi="zh_TW"/>
        </w:rPr>
        <w:t>，</w:t>
      </w:r>
      <w:r>
        <w:rPr>
          <w:lang w:val="zh_TW" w:bidi="zh_TW"/>
        </w:rPr>
        <w:t>6:23</w:t>
      </w:r>
      <w:r>
        <w:rPr>
          <w:lang w:val="zh_TW" w:bidi="zh_TW"/>
        </w:rPr>
        <w:t>；</w:t>
      </w:r>
      <w:r>
        <w:rPr>
          <w:lang w:val="zh_TW" w:bidi="zh_TW"/>
        </w:rPr>
        <w:t>弗2:1–5，12</w:t>
      </w:r>
      <w:r>
        <w:rPr>
          <w:lang w:val="zh_TW" w:bidi="zh_TW"/>
        </w:rPr>
        <w:t>；</w:t>
      </w:r>
      <w:r>
        <w:rPr>
          <w:lang w:val="zh_TW" w:bidi="zh_TW"/>
        </w:rPr>
        <w:t>西1:21</w:t>
      </w:r>
      <w:r>
        <w:rPr>
          <w:lang w:val="zh_TW" w:bidi="zh_TW"/>
        </w:rPr>
        <w:t>）。人無法自我改造（</w:t>
      </w:r>
      <w:r>
        <w:rPr>
          <w:lang w:val="zh_TW" w:bidi="zh_TW"/>
        </w:rPr>
        <w:t>羅7:24</w:t>
      </w:r>
      <w:r>
        <w:rPr>
          <w:lang w:val="zh_TW" w:bidi="zh_TW"/>
        </w:rPr>
        <w:t>）。保羅對這種絕望的普遍狀況有不同的解釋。一些讀者認為</w:t>
      </w:r>
      <w:r>
        <w:rPr>
          <w:lang w:val="zh_TW" w:bidi="zh_TW"/>
        </w:rPr>
        <w:t>羅馬書五章12至21節</w:t>
      </w:r>
      <w:r>
        <w:rPr>
          <w:lang w:val="zh_TW" w:bidi="zh_TW"/>
        </w:rPr>
        <w:t>說亞當的罪是所有罪的根源；另一些人則認為這是所有罪的「樣式（similitude）」。無論如何，保羅的核心思想是「每個人都是自己的亞當」，意即每個人都要為自己的罪性負上完全的責任，即使這罪性是從亞當遺傳而來。</w:t>
      </w:r>
    </w:p>
    <w:p>
      <w:pPr/>
      <w:r>
        <w:rPr>
          <w:lang w:val="zh_TW" w:bidi="zh_TW"/>
        </w:rPr>
      </w:r>
      <w:r>
        <w:rPr>
          <w:lang w:val="zh_TW" w:bidi="zh_TW"/>
        </w:rPr>
        <w:t>保羅認為，解決罪的方法在於信徒與基督同死——對罪、對自我、對世界的死。與此同時，充滿大能的聖靈使人的生命從內裡更新，將人塑造成為基督的樣式，成為新造的人（</w:t>
      </w:r>
      <w:r>
        <w:rPr>
          <w:lang w:val="zh_TW" w:bidi="zh_TW"/>
        </w:rPr>
        <w:t>羅3:21–26</w:t>
      </w:r>
      <w:r>
        <w:rPr>
          <w:lang w:val="zh_TW" w:bidi="zh_TW"/>
        </w:rPr>
        <w:t>，</w:t>
      </w:r>
      <w:r>
        <w:rPr>
          <w:lang w:val="zh_TW" w:bidi="zh_TW"/>
        </w:rPr>
        <w:t>5:6–9</w:t>
      </w:r>
      <w:r>
        <w:rPr>
          <w:lang w:val="zh_TW" w:bidi="zh_TW"/>
        </w:rPr>
        <w:t>、</w:t>
      </w:r>
      <w:r>
        <w:rPr>
          <w:lang w:val="zh_TW" w:bidi="zh_TW"/>
        </w:rPr>
        <w:t>6</w:t>
      </w:r>
      <w:r>
        <w:rPr>
          <w:lang w:val="zh_TW" w:bidi="zh_TW"/>
        </w:rPr>
        <w:t>，</w:t>
      </w:r>
      <w:r>
        <w:rPr>
          <w:lang w:val="zh_TW" w:bidi="zh_TW"/>
        </w:rPr>
        <w:t>8:1–4、28–29</w:t>
      </w:r>
      <w:r>
        <w:rPr>
          <w:lang w:val="zh_TW" w:bidi="zh_TW"/>
        </w:rPr>
        <w:t>；</w:t>
      </w:r>
      <w:r>
        <w:rPr>
          <w:lang w:val="zh_TW" w:bidi="zh_TW"/>
        </w:rPr>
        <w:t>林後5:14–21</w:t>
      </w:r>
      <w:r>
        <w:rPr>
          <w:lang w:val="zh_TW" w:bidi="zh_TW"/>
        </w:rPr>
        <w:t>）。</w:t>
      </w:r>
    </w:p>
    <w:p>
      <w:pPr/>
      <w:r>
        <w:rPr>
          <w:lang w:val="zh_TW" w:bidi="zh_TW"/>
        </w:rPr>
      </w:r>
      <w:r>
        <w:rPr>
          <w:i/>
          <w:lang w:val="zh_TW" w:bidi="zh_TW"/>
        </w:rPr>
        <w:t>另見</w:t>
      </w:r>
      <w:r>
        <w:rPr>
          <w:lang w:val="zh_TW" w:bidi="zh_TW"/>
        </w:rPr>
        <w:t xml:space="preserve"> </w:t>
      </w:r>
      <w:r>
        <w:rPr>
          <w:lang w:val="zh_TW" w:bidi="zh_TW"/>
        </w:rPr>
        <w:t>肉體</w:t>
      </w:r>
      <w:r>
        <w:rPr>
          <w:lang w:val="zh_TW" w:bidi="zh_TW"/>
        </w:rPr>
        <w:t>；</w:t>
      </w:r>
      <w:r>
        <w:rPr>
          <w:lang w:val="zh_TW" w:bidi="zh_TW"/>
        </w:rPr>
        <w:t>稱義</w:t>
      </w:r>
      <w:r>
        <w:rPr>
          <w:lang w:val="zh_TW" w:bidi="zh_TW"/>
        </w:rPr>
        <w:t>，</w:t>
      </w:r>
      <w:r>
        <w:rPr>
          <w:lang w:val="zh_TW" w:bidi="zh_TW"/>
        </w:rPr>
        <w:t>被</w:t>
      </w:r>
      <w:r>
        <w:rPr>
          <w:lang w:val="zh_TW" w:bidi="zh_TW"/>
        </w:rPr>
        <w:t>稱義</w:t>
      </w:r>
      <w:r>
        <w:rPr>
          <w:lang w:val="zh_TW" w:bidi="zh_TW"/>
        </w:rPr>
        <w:t>；</w:t>
      </w:r>
      <w:r>
        <w:rPr>
          <w:lang w:val="zh_TW" w:bidi="zh_TW"/>
        </w:rPr>
        <w:t>至死的罪</w:t>
      </w:r>
      <w:r>
        <w:rPr>
          <w:lang w:val="zh_TW" w:bidi="zh_TW"/>
        </w:rPr>
        <w:t>；</w:t>
      </w:r>
      <w:r>
        <w:rPr>
          <w:lang w:val="zh_TW" w:bidi="zh_TW"/>
        </w:rPr>
        <w:t>不可赦免的罪</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