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 xml:space="preserve">Most holy name for God in the OT, usually translated “Lord.” </w:t>
      </w:r>
      <w:r>
        <w:rPr>
          <w:i/>
          <w:lang w:val="en_US" w:bidi="en_US"/>
        </w:rPr>
        <w:t>See</w:t>
      </w:r>
      <w:r>
        <w:rPr>
          <w:lang w:val="en_US" w:bidi="en_US"/>
        </w:rPr>
        <w:t xml:space="preserve"> </w:t>
      </w:r>
      <w:r>
        <w:rPr>
          <w:lang w:val="en_US" w:bidi="en_US"/>
        </w:rPr>
        <w:t>God, Names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hyperlink r:id="rId13">
        <w:r>
          <w:rPr>
            <w:lang w:val="en_US" w:bidi="en_US"/>
          </w:rPr>
          <w:rPr>
            <w:color w:val="0000EE"/>
            <w:u w:val="single"/>
          </w:rPr>
          <w:t>Leviticus 13:30</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36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hyperlink r:id="rId16">
        <w:r>
          <w:rPr>
            <w:lang w:val="en_US" w:bidi="en_US"/>
          </w:rPr>
          <w:rPr>
            <w:color w:val="0000EE"/>
            <w:u w:val="single"/>
          </w:rPr>
          <w:t>Jos 19:38</w:t>
        </w:r>
      </w:hyperlink>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hyperlink r:id="rId17">
        <w:r>
          <w:rPr>
            <w:lang w:val="en_US" w:bidi="en_US"/>
          </w:rPr>
          <w:rPr>
            <w:color w:val="0000EE"/>
            <w:u w:val="single"/>
          </w:rPr>
          <w:t>Numbers 19:2</w:t>
        </w:r>
      </w:hyperlink>
      <w:r>
        <w:rPr>
          <w:lang w:val="en_US" w:bidi="en_US"/>
        </w:rPr>
        <w:t xml:space="preserve">; </w:t>
      </w:r>
      <w:hyperlink r:id="rId18">
        <w:r>
          <w:rPr>
            <w:lang w:val="en_US" w:bidi="en_US"/>
          </w:rPr>
          <w:rPr>
            <w:color w:val="0000EE"/>
            <w:u w:val="single"/>
          </w:rPr>
          <w:t>1 Kings 19:19</w:t>
        </w:r>
      </w:hyperlink>
      <w:r>
        <w:rPr>
          <w:lang w:val="en_US" w:bidi="en_US"/>
        </w:rPr>
        <w:t xml:space="preserve">; </w:t>
      </w:r>
      <w:hyperlink r:id="rId19">
        <w:r>
          <w:rPr>
            <w:lang w:val="en_US" w:bidi="en_US"/>
          </w:rPr>
          <w:rPr>
            <w:color w:val="0000EE"/>
            <w:u w:val="single"/>
          </w:rPr>
          <w:t>Job 1:3</w:t>
        </w:r>
      </w:hyperlink>
      <w:r>
        <w:rPr>
          <w:lang w:val="en_US" w:bidi="en_US"/>
        </w:rPr>
        <w:t>). Besides its literal use, the Bible often uses the term metaphorically. It refers to work or bondage (</w:t>
      </w:r>
      <w:hyperlink r:id="rId20">
        <w:r>
          <w:rPr>
            <w:lang w:val="en_US" w:bidi="en_US"/>
          </w:rPr>
          <w:rPr>
            <w:color w:val="0000EE"/>
            <w:u w:val="single"/>
          </w:rPr>
          <w:t>Leviticus 26:13</w:t>
        </w:r>
      </w:hyperlink>
      <w:r>
        <w:rPr>
          <w:lang w:val="en_US" w:bidi="en_US"/>
        </w:rPr>
        <w:t>). Israel's own kings, not just foreign oppressors, applied the yoke of bondage (</w:t>
      </w:r>
      <w:hyperlink r:id="rId21">
        <w:r>
          <w:rPr>
            <w:lang w:val="en_US" w:bidi="en_US"/>
          </w:rPr>
          <w:rPr>
            <w:color w:val="0000EE"/>
            <w:u w:val="single"/>
          </w:rPr>
          <w:t>1 Kings 12:4</w:t>
        </w:r>
      </w:hyperlink>
      <w:hyperlink r:id="rId21">
        <w:r>
          <w:rPr>
            <w:lang w:val="en_US" w:bidi="en_US"/>
          </w:rPr>
          <w:rPr>
            <w:color w:val="0000EE"/>
            <w:u w:val="single"/>
          </w:rPr>
          <w:t>–</w:t>
        </w:r>
      </w:hyperlink>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2 Chronicles 10:4</w:t>
        </w:r>
      </w:hyperlink>
      <w:hyperlink r:id="rId22">
        <w:r>
          <w:rPr>
            <w:lang w:val="en_US" w:bidi="en_US"/>
          </w:rPr>
          <w:rPr>
            <w:color w:val="0000EE"/>
            <w:u w:val="single"/>
          </w:rPr>
          <w:t>–</w:t>
        </w:r>
      </w:hyperlink>
      <w:hyperlink r:id="rId22">
        <w:r>
          <w:rPr>
            <w:lang w:val="en_US" w:bidi="en_US"/>
          </w:rPr>
          <w:rPr>
            <w:color w:val="0000EE"/>
            <w:u w:val="single"/>
          </w:rPr>
          <w:t>14</w:t>
        </w:r>
      </w:hyperlink>
      <w:r>
        <w:rPr>
          <w:lang w:val="en_US" w:bidi="en_US"/>
        </w:rPr>
        <w:t>). In prophetic writings, the yoke of bondage was linked to divine judgment (</w:t>
      </w:r>
      <w:hyperlink r:id="rId23">
        <w:r>
          <w:rPr>
            <w:lang w:val="en_US" w:bidi="en_US"/>
          </w:rPr>
          <w:rPr>
            <w:color w:val="0000EE"/>
            <w:u w:val="single"/>
          </w:rPr>
          <w:t>Lamentations 1:14</w:t>
        </w:r>
      </w:hyperlink>
      <w:r>
        <w:rPr>
          <w:lang w:val="en_US" w:bidi="en_US"/>
        </w:rPr>
        <w:t>). So, deliverance was seen as God breaking the yoke that had enslaved Israel (</w:t>
      </w:r>
      <w:hyperlink r:id="rId24">
        <w:r>
          <w:rPr>
            <w:lang w:val="en_US" w:bidi="en_US"/>
          </w:rPr>
          <w:rPr>
            <w:color w:val="0000EE"/>
            <w:u w:val="single"/>
          </w:rPr>
          <w:t>Isaiah 9:4</w:t>
        </w:r>
      </w:hyperlink>
      <w:r>
        <w:rPr>
          <w:lang w:val="en_US" w:bidi="en_US"/>
        </w:rPr>
        <w:t xml:space="preserve">; </w:t>
      </w:r>
      <w:hyperlink r:id="rId25">
        <w:r>
          <w:rPr>
            <w:lang w:val="en_US" w:bidi="en_US"/>
          </w:rPr>
          <w:rPr>
            <w:color w:val="0000EE"/>
            <w:u w:val="single"/>
          </w:rPr>
          <w:t>10:27</w:t>
        </w:r>
      </w:hyperlink>
      <w:r>
        <w:rPr>
          <w:lang w:val="en_US" w:bidi="en_US"/>
        </w:rPr>
        <w:t xml:space="preserve">; </w:t>
      </w:r>
      <w:hyperlink r:id="rId26">
        <w:r>
          <w:rPr>
            <w:lang w:val="en_US" w:bidi="en_US"/>
          </w:rPr>
          <w:rPr>
            <w:color w:val="0000EE"/>
            <w:u w:val="single"/>
          </w:rPr>
          <w:t>14:25</w:t>
        </w:r>
      </w:hyperlink>
      <w:r>
        <w:rPr>
          <w:lang w:val="en_US" w:bidi="en_US"/>
        </w:rPr>
        <w:t xml:space="preserve">; </w:t>
      </w:r>
      <w:hyperlink r:id="rId27">
        <w:r>
          <w:rPr>
            <w:lang w:val="en_US" w:bidi="en_US"/>
          </w:rPr>
          <w:rPr>
            <w:color w:val="0000EE"/>
            <w:u w:val="single"/>
          </w:rPr>
          <w:t>58:6</w:t>
        </w:r>
      </w:hyperlink>
      <w:r>
        <w:rPr>
          <w:lang w:val="en_US" w:bidi="en_US"/>
        </w:rPr>
        <w:t xml:space="preserve">; </w:t>
      </w:r>
      <w:hyperlink r:id="rId28">
        <w:r>
          <w:rPr>
            <w:lang w:val="en_US" w:bidi="en_US"/>
          </w:rPr>
          <w:rPr>
            <w:color w:val="0000EE"/>
            <w:u w:val="single"/>
          </w:rPr>
          <w:t>Jeremiah 2:20</w:t>
        </w:r>
      </w:hyperlink>
      <w:r>
        <w:rPr>
          <w:lang w:val="en_US" w:bidi="en_US"/>
        </w:rPr>
        <w:t xml:space="preserve">; </w:t>
      </w:r>
      <w:hyperlink r:id="rId29">
        <w:r>
          <w:rPr>
            <w:lang w:val="en_US" w:bidi="en_US"/>
          </w:rPr>
          <w:rPr>
            <w:color w:val="0000EE"/>
            <w:u w:val="single"/>
          </w:rPr>
          <w:t>5:5</w:t>
        </w:r>
      </w:hyperlink>
      <w:r>
        <w:rPr>
          <w:lang w:val="en_US" w:bidi="en_US"/>
        </w:rPr>
        <w:t>). Jeremiah's dispute with Hananiah's prophecy was about the yoke of bondage. Hananiah claimed that Judah would soon be freed from Babylonian captivity (</w:t>
      </w:r>
      <w:hyperlink r:id="rId30">
        <w:r>
          <w:rPr>
            <w:lang w:val="en_US" w:bidi="en_US"/>
          </w:rPr>
          <w:rPr>
            <w:color w:val="0000EE"/>
            <w:u w:val="single"/>
          </w:rPr>
          <w:t>Jeremiah 27:8</w:t>
        </w:r>
      </w:hyperlink>
      <w:hyperlink r:id="rId30">
        <w:r>
          <w:rPr>
            <w:lang w:val="en_US" w:bidi="en_US"/>
          </w:rPr>
          <w:rPr>
            <w:color w:val="0000EE"/>
            <w:u w:val="single"/>
          </w:rPr>
          <w:t>–</w:t>
        </w:r>
      </w:hyperlink>
      <w:hyperlink r:id="rId30">
        <w:r>
          <w:rPr>
            <w:lang w:val="en_US" w:bidi="en_US"/>
          </w:rPr>
          <w:rPr>
            <w:color w:val="0000EE"/>
            <w:u w:val="single"/>
          </w:rPr>
          <w:t>11</w:t>
        </w:r>
      </w:hyperlink>
      <w:r>
        <w:rPr>
          <w:lang w:val="en_US" w:bidi="en_US"/>
        </w:rPr>
        <w:t xml:space="preserve">; </w:t>
      </w:r>
      <w:hyperlink r:id="rId31">
        <w:r>
          <w:rPr>
            <w:lang w:val="en_US" w:bidi="en_US"/>
          </w:rPr>
          <w:rPr>
            <w:color w:val="0000EE"/>
            <w:u w:val="single"/>
          </w:rPr>
          <w:t>28:1</w:t>
        </w:r>
      </w:hyperlink>
      <w:hyperlink r:id="rId31">
        <w:r>
          <w:rPr>
            <w:lang w:val="en_US" w:bidi="en_US"/>
          </w:rPr>
          <w:rPr>
            <w:color w:val="0000EE"/>
            <w:u w:val="single"/>
          </w:rPr>
          <w:t>–</w:t>
        </w:r>
      </w:hyperlink>
      <w:hyperlink r:id="rId31">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In the New Testament, Jesus makes </w:t>
      </w:r>
      <w:r>
        <w:rPr>
          <w:i/>
          <w:lang w:val="en_US" w:bidi="en_US"/>
        </w:rPr>
        <w:t>yoke</w:t>
      </w:r>
      <w:r>
        <w:rPr>
          <w:lang w:val="en_US" w:bidi="en_US"/>
        </w:rPr>
        <w:t xml:space="preserve"> a positive term. He asks people to take up his yoke, which is not burdensome. He will give them rest for their souls (</w:t>
      </w:r>
      <w:hyperlink r:id="rId32">
        <w:r>
          <w:rPr>
            <w:lang w:val="en_US" w:bidi="en_US"/>
          </w:rPr>
          <w:rPr>
            <w:color w:val="0000EE"/>
            <w:u w:val="single"/>
          </w:rPr>
          <w:t>Matthew 11:29</w:t>
        </w:r>
      </w:hyperlink>
      <w:hyperlink r:id="rId32">
        <w:r>
          <w:rPr>
            <w:lang w:val="en_US" w:bidi="en_US"/>
          </w:rPr>
          <w:rPr>
            <w:color w:val="0000EE"/>
            <w:u w:val="single"/>
          </w:rPr>
          <w:t>–</w:t>
        </w:r>
      </w:hyperlink>
      <w:hyperlink r:id="rId32">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lang w:val="en_US" w:bidi="en_US"/>
          </w:rPr>
          <w:rPr>
            <w:color w:val="0000EE"/>
            <w:u w:val="single"/>
          </w:rPr>
          <w:t>Leviticus 23:26–32</w:t>
        </w:r>
      </w:hyperlink>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