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i/>
          <w:lang w:val="zh_TW" w:bidi="zh_TW"/>
        </w:rPr>
        <w:t>安息日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hyperlink r:id="rId13">
        <w:r>
          <w:rPr>
            <w:lang w:val="zh_TW" w:bidi="zh_TW"/>
          </w:rPr>
          <w:rPr>
            <w:color w:val="0000EE"/>
            <w:u w:val="single"/>
          </w:rPr>
          <w:t>創世記二章2至3節</w:t>
        </w:r>
      </w:hyperlink>
      <w:r>
        <w:rPr>
          <w:lang w:val="zh_TW" w:bidi="zh_TW"/>
        </w:rPr>
        <w:t>中表達出來。神在六天創造之後「歇了」祂的工作，並且「賜福」給第七日，並「定為聖日」。在第四條誡命中（</w:t>
      </w:r>
      <w:hyperlink r:id="rId14">
        <w:r>
          <w:rPr>
            <w:lang w:val="zh_TW" w:bidi="zh_TW"/>
          </w:rPr>
          <w:rPr>
            <w:color w:val="0000EE"/>
            <w:u w:val="single"/>
          </w:rPr>
          <w:t>出20:8–11</w:t>
        </w:r>
      </w:hyperlink>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hyperlink r:id="rId15">
        <w:r>
          <w:rPr>
            <w:lang w:val="zh_TW" w:bidi="zh_TW"/>
          </w:rPr>
          <w:rPr>
            <w:color w:val="0000EE"/>
            <w:u w:val="single"/>
          </w:rPr>
          <w:t>出埃及記三十一章17節</w:t>
        </w:r>
      </w:hyperlink>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16">
        <w:r>
          <w:rPr>
            <w:lang w:val="zh_TW" w:bidi="zh_TW"/>
          </w:rPr>
          <w:rPr>
            <w:color w:val="0000EE"/>
            <w:u w:val="single"/>
          </w:rPr>
          <w:t>出20:10</w:t>
        </w:r>
      </w:hyperlink>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17">
        <w:r>
          <w:rPr>
            <w:lang w:val="zh_TW" w:bidi="zh_TW"/>
          </w:rPr>
          <w:rPr>
            <w:color w:val="0000EE"/>
            <w:u w:val="single"/>
          </w:rPr>
          <w:t>出20:1</w:t>
        </w:r>
      </w:hyperlink>
      <w:r>
        <w:rPr>
          <w:lang w:val="zh_TW" w:bidi="zh_TW"/>
        </w:rPr>
        <w:t>），由祂的指頭寫下（</w:t>
      </w:r>
      <w:hyperlink r:id="rId18">
        <w:r>
          <w:rPr>
            <w:lang w:val="zh_TW" w:bidi="zh_TW"/>
          </w:rPr>
          <w:rPr>
            <w:color w:val="0000EE"/>
            <w:u w:val="single"/>
          </w:rPr>
          <w:t>31:18</w:t>
        </w:r>
      </w:hyperlink>
      <w:r>
        <w:rPr>
          <w:lang w:val="zh_TW" w:bidi="zh_TW"/>
        </w:rPr>
        <w:t>），最後放置於帳幕的約櫃中，成為以色列敬拜的中心（</w:t>
      </w:r>
      <w:hyperlink r:id="rId19">
        <w:r>
          <w:rPr>
            <w:lang w:val="zh_TW" w:bidi="zh_TW"/>
          </w:rPr>
          <w:rPr>
            <w:color w:val="0000EE"/>
            <w:u w:val="single"/>
          </w:rPr>
          <w:t>25:16</w:t>
        </w:r>
      </w:hyperlink>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hyperlink r:id="rId14">
        <w:r>
          <w:rPr>
            <w:lang w:val="zh_TW" w:bidi="zh_TW"/>
          </w:rPr>
          <w:rPr>
            <w:color w:val="0000EE"/>
            <w:u w:val="single"/>
          </w:rPr>
          <w:t>出20:8–11</w:t>
        </w:r>
      </w:hyperlink>
      <w:r>
        <w:rPr>
          <w:lang w:val="zh_TW" w:bidi="zh_TW"/>
        </w:rPr>
        <w:t>中提到）在</w:t>
      </w:r>
      <w:hyperlink r:id="rId20">
        <w:r>
          <w:rPr>
            <w:lang w:val="zh_TW" w:bidi="zh_TW"/>
          </w:rPr>
          <w:rPr>
            <w:color w:val="0000EE"/>
            <w:u w:val="single"/>
          </w:rPr>
          <w:t>申命記五章12至15節</w:t>
        </w:r>
      </w:hyperlink>
      <w:r>
        <w:rPr>
          <w:lang w:val="zh_TW" w:bidi="zh_TW"/>
        </w:rPr>
        <w:t>中再次出現，為守安息日附加了一個不同的理由：「記念你在埃及地作過奴僕；耶和華—你神用大能的手和伸出來的膀臂將你從那裡領出來。因此，耶和華—你的神吩咐你守安息日。」（</w:t>
      </w:r>
      <w:hyperlink r:id="rId21">
        <w:r>
          <w:rPr>
            <w:lang w:val="zh_TW" w:bidi="zh_TW"/>
          </w:rPr>
          <w:rPr>
            <w:color w:val="0000EE"/>
            <w:u w:val="single"/>
          </w:rPr>
          <w:t>15</w:t>
        </w:r>
      </w:hyperlink>
      <w:r>
        <w:rPr>
          <w:lang w:val="zh_TW" w:bidi="zh_TW"/>
        </w:rPr>
        <w:t>節，和合本）。</w:t>
      </w:r>
    </w:p>
    <w:p>
      <w:pPr/>
      <w:r>
        <w:rPr>
          <w:lang w:val="zh_TW" w:bidi="zh_TW"/>
        </w:rPr>
      </w:r>
      <w:r>
        <w:rPr>
          <w:lang w:val="zh_TW" w:bidi="zh_TW"/>
        </w:rPr>
        <w:t>這兩個關於第四誡敘述之間的差異十分重要。第一個（</w:t>
      </w:r>
      <w:hyperlink r:id="rId22">
        <w:r>
          <w:rPr>
            <w:lang w:val="zh_TW" w:bidi="zh_TW"/>
          </w:rPr>
          <w:rPr>
            <w:color w:val="0000EE"/>
            <w:u w:val="single"/>
          </w:rPr>
          <w:t>出20章</w:t>
        </w:r>
      </w:hyperlink>
      <w:r>
        <w:rPr>
          <w:lang w:val="zh_TW" w:bidi="zh_TW"/>
        </w:rPr>
        <w:t>）是通過以色列向所有受造之人發出的，第二個（</w:t>
      </w:r>
      <w:hyperlink r:id="rId23">
        <w:r>
          <w:rPr>
            <w:lang w:val="zh_TW" w:bidi="zh_TW"/>
          </w:rPr>
          <w:rPr>
            <w:color w:val="0000EE"/>
            <w:u w:val="single"/>
          </w:rPr>
          <w:t>申5章</w:t>
        </w:r>
      </w:hyperlink>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24">
        <w:r>
          <w:rPr>
            <w:lang w:val="zh_TW" w:bidi="zh_TW"/>
          </w:rPr>
          <w:rPr>
            <w:color w:val="0000EE"/>
            <w:u w:val="single"/>
          </w:rPr>
          <w:t>申5:14</w:t>
        </w:r>
      </w:hyperlink>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25">
        <w:r>
          <w:rPr>
            <w:lang w:val="zh_TW" w:bidi="zh_TW"/>
          </w:rPr>
          <w:rPr>
            <w:color w:val="0000EE"/>
            <w:u w:val="single"/>
          </w:rPr>
          <w:t>可3:1–5</w:t>
        </w:r>
      </w:hyperlink>
      <w:r>
        <w:rPr>
          <w:lang w:val="zh_TW" w:bidi="zh_TW"/>
        </w:rPr>
        <w:t>）。</w:t>
      </w:r>
    </w:p>
    <w:p>
      <w:pPr/>
      <w:r>
        <w:rPr>
          <w:lang w:val="zh_TW" w:bidi="zh_TW"/>
        </w:rPr>
      </w:r>
      <w:r>
        <w:rPr>
          <w:lang w:val="zh_TW" w:bidi="zh_TW"/>
        </w:rPr>
        <w:t>舊約中有關「安息年」的規定，進一步發展了這個人道主義的主題（見</w:t>
      </w:r>
      <w:hyperlink r:id="rId26">
        <w:r>
          <w:rPr>
            <w:lang w:val="zh_TW" w:bidi="zh_TW"/>
          </w:rPr>
          <w:rPr>
            <w:color w:val="0000EE"/>
            <w:u w:val="single"/>
          </w:rPr>
          <w:t>出23:10–12</w:t>
        </w:r>
      </w:hyperlink>
      <w:r>
        <w:rPr>
          <w:lang w:val="zh_TW" w:bidi="zh_TW"/>
        </w:rPr>
        <w:t>；</w:t>
      </w:r>
      <w:hyperlink r:id="rId27">
        <w:r>
          <w:rPr>
            <w:lang w:val="zh_TW" w:bidi="zh_TW"/>
          </w:rPr>
          <w:rPr>
            <w:color w:val="0000EE"/>
            <w:u w:val="single"/>
          </w:rPr>
          <w:t>利25:1–7</w:t>
        </w:r>
      </w:hyperlink>
      <w:r>
        <w:rPr>
          <w:lang w:val="zh_TW" w:bidi="zh_TW"/>
        </w:rPr>
        <w:t>；</w:t>
      </w:r>
      <w:hyperlink r:id="rId28">
        <w:r>
          <w:rPr>
            <w:lang w:val="zh_TW" w:bidi="zh_TW"/>
          </w:rPr>
          <w:rPr>
            <w:color w:val="0000EE"/>
            <w:u w:val="single"/>
          </w:rPr>
          <w:t>申15:1–11</w:t>
        </w:r>
      </w:hyperlink>
      <w:r>
        <w:rPr>
          <w:lang w:val="zh_TW" w:bidi="zh_TW"/>
        </w:rPr>
        <w:t>；以及</w:t>
      </w:r>
      <w:hyperlink r:id="rId29">
        <w:r>
          <w:rPr>
            <w:lang w:val="zh_TW" w:bidi="zh_TW"/>
          </w:rPr>
          <w:rPr>
            <w:color w:val="0000EE"/>
            <w:u w:val="single"/>
          </w:rPr>
          <w:t>利25:8–55</w:t>
        </w:r>
      </w:hyperlink>
      <w:r>
        <w:rPr>
          <w:lang w:val="zh_TW" w:bidi="zh_TW"/>
        </w:rPr>
        <w:t>的「禧年」規定）。每逢第七年，土地要休耕不耕種（</w:t>
      </w:r>
      <w:hyperlink r:id="rId30">
        <w:r>
          <w:rPr>
            <w:lang w:val="zh_TW" w:bidi="zh_TW"/>
          </w:rPr>
          <w:rPr>
            <w:color w:val="0000EE"/>
            <w:u w:val="single"/>
          </w:rPr>
          <w:t>利25:4</w:t>
        </w:r>
      </w:hyperlink>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31">
        <w:r>
          <w:rPr>
            <w:lang w:val="zh_TW" w:bidi="zh_TW"/>
          </w:rPr>
          <w:rPr>
            <w:color w:val="0000EE"/>
            <w:u w:val="single"/>
          </w:rPr>
          <w:t>6–7</w:t>
        </w:r>
      </w:hyperlink>
      <w:r>
        <w:rPr>
          <w:lang w:val="zh_TW" w:bidi="zh_TW"/>
        </w:rPr>
        <w:t>節）。</w:t>
      </w:r>
      <w:hyperlink r:id="rId28">
        <w:r>
          <w:rPr>
            <w:lang w:val="zh_TW" w:bidi="zh_TW"/>
          </w:rPr>
          <w:rPr>
            <w:color w:val="0000EE"/>
            <w:u w:val="single"/>
          </w:rPr>
          <w:t>申命記十五章1至11節</w:t>
        </w:r>
      </w:hyperlink>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32">
        <w:r>
          <w:rPr>
            <w:lang w:val="zh_TW" w:bidi="zh_TW"/>
          </w:rPr>
          <w:rPr>
            <w:color w:val="0000EE"/>
            <w:u w:val="single"/>
          </w:rPr>
          <w:t>申15:9–10</w:t>
        </w:r>
      </w:hyperlink>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33">
        <w:r>
          <w:rPr>
            <w:lang w:val="zh_TW" w:bidi="zh_TW"/>
          </w:rPr>
          <w:rPr>
            <w:color w:val="0000EE"/>
            <w:u w:val="single"/>
          </w:rPr>
          <w:t>出20:11</w:t>
        </w:r>
      </w:hyperlink>
      <w:r>
        <w:rPr>
          <w:lang w:val="zh_TW" w:bidi="zh_TW"/>
        </w:rPr>
        <w:t>），那麼對這日最明顯的褻瀆，就是把它視為普通的一天。這些規則以具體的方式列出，以便農夫（</w:t>
      </w:r>
      <w:hyperlink r:id="rId34">
        <w:r>
          <w:rPr>
            <w:lang w:val="zh_TW" w:bidi="zh_TW"/>
          </w:rPr>
          <w:rPr>
            <w:color w:val="0000EE"/>
            <w:u w:val="single"/>
          </w:rPr>
          <w:t>34:21</w:t>
        </w:r>
      </w:hyperlink>
      <w:r>
        <w:rPr>
          <w:lang w:val="zh_TW" w:bidi="zh_TW"/>
        </w:rPr>
        <w:t>）、商人（</w:t>
      </w:r>
      <w:hyperlink r:id="rId35">
        <w:r>
          <w:rPr>
            <w:lang w:val="zh_TW" w:bidi="zh_TW"/>
          </w:rPr>
          <w:rPr>
            <w:color w:val="0000EE"/>
            <w:u w:val="single"/>
          </w:rPr>
          <w:t>耶17:27</w:t>
        </w:r>
      </w:hyperlink>
      <w:r>
        <w:rPr>
          <w:lang w:val="zh_TW" w:bidi="zh_TW"/>
        </w:rPr>
        <w:t>）甚至主婦（</w:t>
      </w:r>
      <w:hyperlink r:id="rId36">
        <w:r>
          <w:rPr>
            <w:lang w:val="zh_TW" w:bidi="zh_TW"/>
          </w:rPr>
          <w:rPr>
            <w:color w:val="0000EE"/>
            <w:u w:val="single"/>
          </w:rPr>
          <w:t>出35:2–3</w:t>
        </w:r>
      </w:hyperlink>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hyperlink r:id="rId37">
        <w:r>
          <w:rPr>
            <w:lang w:val="zh_TW" w:bidi="zh_TW"/>
          </w:rPr>
          <w:rPr>
            <w:color w:val="0000EE"/>
            <w:u w:val="single"/>
          </w:rPr>
          <w:t>出35:2</w:t>
        </w:r>
      </w:hyperlink>
      <w:r>
        <w:rPr>
          <w:lang w:val="zh_TW" w:bidi="zh_TW"/>
        </w:rPr>
        <w:t>），而那個在安息日違規撿柴的人所遭受的命運讓我們看見這並非只是嚇人的空談（</w:t>
      </w:r>
      <w:hyperlink r:id="rId38">
        <w:r>
          <w:rPr>
            <w:lang w:val="zh_TW" w:bidi="zh_TW"/>
          </w:rPr>
          <w:rPr>
            <w:color w:val="0000EE"/>
            <w:u w:val="single"/>
          </w:rPr>
          <w:t>民15:32–36</w:t>
        </w:r>
      </w:hyperlink>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39">
        <w:r>
          <w:rPr>
            <w:lang w:val="zh_TW" w:bidi="zh_TW"/>
          </w:rPr>
          <w:rPr>
            <w:color w:val="0000EE"/>
            <w:u w:val="single"/>
          </w:rPr>
          <w:t>賽58:13–14</w:t>
        </w:r>
      </w:hyperlink>
      <w:r>
        <w:rPr>
          <w:lang w:val="zh_TW" w:bidi="zh_TW"/>
        </w:rPr>
        <w:t>）。舊約中所表達的在安息日敬拜的歡欣，沒有能超過</w:t>
      </w:r>
      <w:hyperlink r:id="rId40">
        <w:r>
          <w:rPr>
            <w:lang w:val="zh_TW" w:bidi="zh_TW"/>
          </w:rPr>
          <w:rPr>
            <w:color w:val="0000EE"/>
            <w:u w:val="single"/>
          </w:rPr>
          <w:t>詩篇第九十二篇</w:t>
        </w:r>
      </w:hyperlink>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hyperlink r:id="rId41">
        <w:r>
          <w:rPr>
            <w:lang w:val="zh_TW" w:bidi="zh_TW"/>
          </w:rPr>
          <w:rPr>
            <w:color w:val="0000EE"/>
            <w:u w:val="single"/>
          </w:rPr>
          <w:t>賽58:13</w:t>
        </w:r>
      </w:hyperlink>
      <w:r>
        <w:rPr>
          <w:lang w:val="zh_TW" w:bidi="zh_TW"/>
        </w:rPr>
        <w:t>）。一些貪婪的商人則視這天的限制為障礙（</w:t>
      </w:r>
      <w:hyperlink r:id="rId42">
        <w:r>
          <w:rPr>
            <w:lang w:val="zh_TW" w:bidi="zh_TW"/>
          </w:rPr>
          <w:rPr>
            <w:color w:val="0000EE"/>
            <w:u w:val="single"/>
          </w:rPr>
          <w:t>摩8:5</w:t>
        </w:r>
      </w:hyperlink>
      <w:r>
        <w:rPr>
          <w:lang w:val="zh_TW" w:bidi="zh_TW"/>
        </w:rPr>
        <w:t>）。</w:t>
      </w:r>
    </w:p>
    <w:p>
      <w:pPr/>
      <w:r>
        <w:rPr>
          <w:lang w:val="zh_TW" w:bidi="zh_TW"/>
        </w:rPr>
      </w:r>
      <w:r>
        <w:rPr>
          <w:lang w:val="zh_TW" w:bidi="zh_TW"/>
        </w:rPr>
        <w:t>作為神的代言人，先知們毫不畏懼地揭露這種忽視和濫用（</w:t>
      </w:r>
      <w:hyperlink r:id="rId43">
        <w:r>
          <w:rPr>
            <w:lang w:val="zh_TW" w:bidi="zh_TW"/>
          </w:rPr>
          <w:rPr>
            <w:color w:val="0000EE"/>
            <w:u w:val="single"/>
          </w:rPr>
          <w:t>結22:26</w:t>
        </w:r>
      </w:hyperlink>
      <w:r>
        <w:rPr>
          <w:lang w:val="zh_TW" w:bidi="zh_TW"/>
        </w:rPr>
        <w:t>）。以賽亞說，那些心未悔改卻參與安息日敬拜的人，令耶和華感到憎惡（</w:t>
      </w:r>
      <w:hyperlink r:id="rId44">
        <w:r>
          <w:rPr>
            <w:lang w:val="zh_TW" w:bidi="zh_TW"/>
          </w:rPr>
          <w:rPr>
            <w:color w:val="0000EE"/>
            <w:u w:val="single"/>
          </w:rPr>
          <w:t>賽1:10–15</w:t>
        </w:r>
      </w:hyperlink>
      <w:r>
        <w:rPr>
          <w:lang w:val="zh_TW" w:bidi="zh_TW"/>
        </w:rPr>
        <w:t>）。耶利米則怒吼，耶路撒冷違背安息日，反映他們背叛神，這將會招致該城被毀（</w:t>
      </w:r>
      <w:hyperlink r:id="rId35">
        <w:r>
          <w:rPr>
            <w:lang w:val="zh_TW" w:bidi="zh_TW"/>
          </w:rPr>
          <w:rPr>
            <w:color w:val="0000EE"/>
            <w:u w:val="single"/>
          </w:rPr>
          <w:t>耶17:27</w:t>
        </w:r>
      </w:hyperlink>
      <w:r>
        <w:rPr>
          <w:lang w:val="zh_TW" w:bidi="zh_TW"/>
        </w:rPr>
        <w:t>）。以西結警告說，耶和華對祂的百姓極其忍耐，但百姓長期忽視祂的安息日，審判終將會臨到他們（</w:t>
      </w:r>
      <w:hyperlink r:id="rId45">
        <w:r>
          <w:rPr>
            <w:lang w:val="zh_TW" w:bidi="zh_TW"/>
          </w:rPr>
          <w:rPr>
            <w:color w:val="0000EE"/>
            <w:u w:val="single"/>
          </w:rPr>
          <w:t>結20:12–24</w:t>
        </w:r>
      </w:hyperlink>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46">
        <w:r>
          <w:rPr>
            <w:lang w:val="zh_TW" w:bidi="zh_TW"/>
          </w:rPr>
          <w:rPr>
            <w:color w:val="0000EE"/>
            <w:u w:val="single"/>
          </w:rPr>
          <w:t>結44:24</w:t>
        </w:r>
      </w:hyperlink>
      <w:r>
        <w:rPr>
          <w:lang w:val="zh_TW" w:bidi="zh_TW"/>
        </w:rPr>
        <w:t>，</w:t>
      </w:r>
      <w:hyperlink r:id="rId47">
        <w:r>
          <w:rPr>
            <w:lang w:val="zh_TW" w:bidi="zh_TW"/>
          </w:rPr>
          <w:rPr>
            <w:color w:val="0000EE"/>
            <w:u w:val="single"/>
          </w:rPr>
          <w:t>45:17</w:t>
        </w:r>
      </w:hyperlink>
      <w:r>
        <w:rPr>
          <w:lang w:val="zh_TW" w:bidi="zh_TW"/>
        </w:rPr>
        <w:t>，</w:t>
      </w:r>
      <w:hyperlink r:id="rId48">
        <w:r>
          <w:rPr>
            <w:lang w:val="zh_TW" w:bidi="zh_TW"/>
          </w:rPr>
          <w:rPr>
            <w:color w:val="0000EE"/>
            <w:u w:val="single"/>
          </w:rPr>
          <w:t>46:3</w:t>
        </w:r>
      </w:hyperlink>
      <w:r>
        <w:rPr>
          <w:lang w:val="zh_TW" w:bidi="zh_TW"/>
        </w:rPr>
        <w:t>），並在尼希米等人的帶領下，被擄歸回的人比他們的祖先更謹慎地遵守安息日（</w:t>
      </w:r>
      <w:hyperlink r:id="rId49">
        <w:r>
          <w:rPr>
            <w:lang w:val="zh_TW" w:bidi="zh_TW"/>
          </w:rPr>
          <w:rPr>
            <w:color w:val="0000EE"/>
            <w:u w:val="single"/>
          </w:rPr>
          <w:t>尼10:31</w:t>
        </w:r>
      </w:hyperlink>
      <w:r>
        <w:rPr>
          <w:lang w:val="zh_TW" w:bidi="zh_TW"/>
        </w:rPr>
        <w:t>，</w:t>
      </w:r>
      <w:hyperlink r:id="rId50">
        <w:r>
          <w:rPr>
            <w:lang w:val="zh_TW" w:bidi="zh_TW"/>
          </w:rPr>
          <w:rPr>
            <w:color w:val="0000EE"/>
            <w:u w:val="single"/>
          </w:rPr>
          <w:t>13:15–22</w:t>
        </w:r>
      </w:hyperlink>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hyperlink r:id="rId51">
        <w:r>
          <w:rPr>
            <w:lang w:val="zh_TW" w:bidi="zh_TW"/>
          </w:rPr>
          <w:rPr>
            <w:color w:val="0000EE"/>
            <w:u w:val="single"/>
          </w:rPr>
          <w:t>路4:16</w:t>
        </w:r>
      </w:hyperlink>
      <w:r>
        <w:rPr>
          <w:lang w:val="zh_TW" w:bidi="zh_TW"/>
        </w:rPr>
        <w:t>），在那裡讀經、宣講和教訓人（</w:t>
      </w:r>
      <w:hyperlink r:id="rId52">
        <w:r>
          <w:rPr>
            <w:lang w:val="zh_TW" w:bidi="zh_TW"/>
          </w:rPr>
          <w:rPr>
            <w:color w:val="0000EE"/>
            <w:u w:val="single"/>
          </w:rPr>
          <w:t>可1:21</w:t>
        </w:r>
      </w:hyperlink>
      <w:r>
        <w:rPr>
          <w:lang w:val="zh_TW" w:bidi="zh_TW"/>
        </w:rPr>
        <w:t>；</w:t>
      </w:r>
      <w:hyperlink r:id="rId53">
        <w:r>
          <w:rPr>
            <w:lang w:val="zh_TW" w:bidi="zh_TW"/>
          </w:rPr>
          <w:rPr>
            <w:color w:val="0000EE"/>
            <w:u w:val="single"/>
          </w:rPr>
          <w:t>路13:10</w:t>
        </w:r>
      </w:hyperlink>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hyperlink r:id="rId54">
        <w:r>
          <w:rPr>
            <w:lang w:val="zh_TW" w:bidi="zh_TW"/>
          </w:rPr>
          <w:rPr>
            <w:color w:val="0000EE"/>
            <w:u w:val="single"/>
          </w:rPr>
          <w:t>可2:23–26</w:t>
        </w:r>
      </w:hyperlink>
      <w:r>
        <w:rPr>
          <w:lang w:val="zh_TW" w:bidi="zh_TW"/>
        </w:rPr>
        <w:t>），耶穌引用聖經為門徒們辯護，並隨即指出：「安息日是為人設立的，人不是為安息日設立的」（</w:t>
      </w:r>
      <w:hyperlink r:id="rId55">
        <w:r>
          <w:rPr>
            <w:lang w:val="zh_TW" w:bidi="zh_TW"/>
          </w:rPr>
          <w:rPr>
            <w:color w:val="0000EE"/>
            <w:u w:val="single"/>
          </w:rPr>
          <w:t>可2:27</w:t>
        </w:r>
      </w:hyperlink>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56">
        <w:r>
          <w:rPr>
            <w:lang w:val="zh_TW" w:bidi="zh_TW"/>
          </w:rPr>
          <w:rPr>
            <w:color w:val="0000EE"/>
            <w:u w:val="single"/>
          </w:rPr>
          <w:t>路13:10–17</w:t>
        </w:r>
      </w:hyperlink>
      <w:r>
        <w:rPr>
          <w:lang w:val="zh_TW" w:bidi="zh_TW"/>
        </w:rPr>
        <w:t>；</w:t>
      </w:r>
      <w:hyperlink r:id="rId57">
        <w:r>
          <w:rPr>
            <w:lang w:val="zh_TW" w:bidi="zh_TW"/>
          </w:rPr>
          <w:rPr>
            <w:color w:val="0000EE"/>
            <w:u w:val="single"/>
          </w:rPr>
          <w:t>約7:21–24</w:t>
        </w:r>
      </w:hyperlink>
      <w:r>
        <w:rPr>
          <w:lang w:val="zh_TW" w:bidi="zh_TW"/>
        </w:rPr>
        <w:t>）？祂教導說，安息日是特別適合行善的日子（</w:t>
      </w:r>
      <w:hyperlink r:id="rId58">
        <w:r>
          <w:rPr>
            <w:lang w:val="zh_TW" w:bidi="zh_TW"/>
          </w:rPr>
          <w:rPr>
            <w:color w:val="0000EE"/>
            <w:u w:val="single"/>
          </w:rPr>
          <w:t>可3:4–5</w:t>
        </w:r>
      </w:hyperlink>
      <w:r>
        <w:rPr>
          <w:lang w:val="zh_TW" w:bidi="zh_TW"/>
        </w:rPr>
        <w:t>）。</w:t>
      </w:r>
    </w:p>
    <w:p>
      <w:pPr/>
      <w:r>
        <w:rPr>
          <w:lang w:val="zh_TW" w:bidi="zh_TW"/>
        </w:rPr>
      </w:r>
      <w:r>
        <w:rPr>
          <w:lang w:val="zh_TW" w:bidi="zh_TW"/>
        </w:rPr>
        <w:t>耶穌是來自天上的人，宣稱祂是安息日的主（</w:t>
      </w:r>
      <w:hyperlink r:id="rId59">
        <w:r>
          <w:rPr>
            <w:lang w:val="zh_TW" w:bidi="zh_TW"/>
          </w:rPr>
          <w:rPr>
            <w:color w:val="0000EE"/>
            <w:u w:val="single"/>
          </w:rPr>
          <w:t>可2:28</w:t>
        </w:r>
      </w:hyperlink>
      <w:r>
        <w:rPr>
          <w:lang w:val="zh_TW" w:bidi="zh_TW"/>
        </w:rPr>
        <w:t>；參</w:t>
      </w:r>
      <w:hyperlink r:id="rId60">
        <w:r>
          <w:rPr>
            <w:lang w:val="zh_TW" w:bidi="zh_TW"/>
          </w:rPr>
          <w:rPr>
            <w:color w:val="0000EE"/>
            <w:u w:val="single"/>
          </w:rPr>
          <w:t>太12:5–8</w:t>
        </w:r>
      </w:hyperlink>
      <w:r>
        <w:rPr>
          <w:lang w:val="zh_TW" w:bidi="zh_TW"/>
        </w:rPr>
        <w:t>）。正如神雖然有創造之後的安息，但祂仍然持續作工，並以祂慈愛顧念世界，耶穌也會繼續在安息日教導和醫治（</w:t>
      </w:r>
      <w:hyperlink r:id="rId61">
        <w:r>
          <w:rPr>
            <w:lang w:val="zh_TW" w:bidi="zh_TW"/>
          </w:rPr>
          <w:rPr>
            <w:color w:val="0000EE"/>
            <w:u w:val="single"/>
          </w:rPr>
          <w:t>約5:2–17</w:t>
        </w:r>
      </w:hyperlink>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hyperlink r:id="rId62">
        <w:r>
          <w:rPr>
            <w:lang w:val="zh_TW" w:bidi="zh_TW"/>
          </w:rPr>
          <w:rPr>
            <w:color w:val="0000EE"/>
            <w:u w:val="single"/>
          </w:rPr>
          <w:t>徒13:14–16</w:t>
        </w:r>
      </w:hyperlink>
      <w:r>
        <w:rPr>
          <w:lang w:val="zh_TW" w:bidi="zh_TW"/>
        </w:rPr>
        <w:t>）。堅持保持安息日習慣的猶太基督徒可以自由這樣做，只要他們尊重那些有不同觀點的人（</w:t>
      </w:r>
      <w:hyperlink r:id="rId63">
        <w:r>
          <w:rPr>
            <w:lang w:val="zh_TW" w:bidi="zh_TW"/>
          </w:rPr>
          <w:rPr>
            <w:color w:val="0000EE"/>
            <w:u w:val="single"/>
          </w:rPr>
          <w:t>羅14:5–6、13</w:t>
        </w:r>
      </w:hyperlink>
      <w:r>
        <w:rPr>
          <w:lang w:val="zh_TW" w:bidi="zh_TW"/>
        </w:rPr>
        <w:t>）。但任何認為遵守猶太曆法是得救的必要條件的觀點，都必須加以抵制（</w:t>
      </w:r>
      <w:hyperlink r:id="rId64">
        <w:r>
          <w:rPr>
            <w:lang w:val="zh_TW" w:bidi="zh_TW"/>
          </w:rPr>
          <w:rPr>
            <w:color w:val="0000EE"/>
            <w:u w:val="single"/>
          </w:rPr>
          <w:t>加4:8–11</w:t>
        </w:r>
      </w:hyperlink>
      <w:r>
        <w:rPr>
          <w:lang w:val="zh_TW" w:bidi="zh_TW"/>
        </w:rPr>
        <w:t>）。因為保羅認為安息日是影兒，而基督自己才是那形體（</w:t>
      </w:r>
      <w:hyperlink r:id="rId65">
        <w:r>
          <w:rPr>
            <w:lang w:val="zh_TW" w:bidi="zh_TW"/>
          </w:rPr>
          <w:rPr>
            <w:color w:val="0000EE"/>
            <w:u w:val="single"/>
          </w:rPr>
          <w:t>西2:17</w:t>
        </w:r>
      </w:hyperlink>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66">
        <w:r>
          <w:rPr>
            <w:lang w:val="zh_TW" w:bidi="zh_TW"/>
          </w:rPr>
          <w:rPr>
            <w:color w:val="0000EE"/>
            <w:u w:val="single"/>
          </w:rPr>
          <w:t>來4:1–11</w:t>
        </w:r>
      </w:hyperlink>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67">
        <w:r>
          <w:rPr>
            <w:lang w:val="zh_TW" w:bidi="zh_TW"/>
          </w:rPr>
          <w:rPr>
            <w:color w:val="0000EE"/>
            <w:u w:val="single"/>
          </w:rPr>
          <w:t>9</w:t>
        </w:r>
      </w:hyperlink>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Gen2:3" TargetMode="External"/><Relationship Id="rId14" Type="http://schemas.openxmlformats.org/officeDocument/2006/relationships/hyperlink" Target="https://ref.ly/Exod20:8-Exod20:11" TargetMode="External"/><Relationship Id="rId15" Type="http://schemas.openxmlformats.org/officeDocument/2006/relationships/hyperlink" Target="https://ref.ly/Exod31:17" TargetMode="External"/><Relationship Id="rId16" Type="http://schemas.openxmlformats.org/officeDocument/2006/relationships/hyperlink" Target="https://ref.ly/Exod20:10" TargetMode="External"/><Relationship Id="rId17" Type="http://schemas.openxmlformats.org/officeDocument/2006/relationships/hyperlink" Target="https://ref.ly/Exod20:1" TargetMode="External"/><Relationship Id="rId18" Type="http://schemas.openxmlformats.org/officeDocument/2006/relationships/hyperlink" Target="https://ref.ly/Exod31:18" TargetMode="External"/><Relationship Id="rId19" Type="http://schemas.openxmlformats.org/officeDocument/2006/relationships/hyperlink" Target="https://ref.ly/Exod25:16" TargetMode="External"/><Relationship Id="rId20" Type="http://schemas.openxmlformats.org/officeDocument/2006/relationships/hyperlink" Target="https://ref.ly/Deut5:12-Deut5:15" TargetMode="External"/><Relationship Id="rId21" Type="http://schemas.openxmlformats.org/officeDocument/2006/relationships/hyperlink" Target="https://ref.ly/Deut5:15" TargetMode="External"/><Relationship Id="rId22" Type="http://schemas.openxmlformats.org/officeDocument/2006/relationships/hyperlink" Target="https://ref.ly/Exod20:1-Exod20:26" TargetMode="External"/><Relationship Id="rId23" Type="http://schemas.openxmlformats.org/officeDocument/2006/relationships/hyperlink" Target="https://ref.ly/Deut5:1-Deut5:33" TargetMode="External"/><Relationship Id="rId24" Type="http://schemas.openxmlformats.org/officeDocument/2006/relationships/hyperlink" Target="https://ref.ly/Deut5:14" TargetMode="External"/><Relationship Id="rId25" Type="http://schemas.openxmlformats.org/officeDocument/2006/relationships/hyperlink" Target="https://ref.ly/Mark3:1-Mark3:5" TargetMode="External"/><Relationship Id="rId26" Type="http://schemas.openxmlformats.org/officeDocument/2006/relationships/hyperlink" Target="https://ref.ly/Exod23:10-Exod23:12" TargetMode="External"/><Relationship Id="rId27" Type="http://schemas.openxmlformats.org/officeDocument/2006/relationships/hyperlink" Target="https://ref.ly/Lev25:1-Lev25:7" TargetMode="External"/><Relationship Id="rId28" Type="http://schemas.openxmlformats.org/officeDocument/2006/relationships/hyperlink" Target="https://ref.ly/Deut15:1-Deut15:11" TargetMode="External"/><Relationship Id="rId29" Type="http://schemas.openxmlformats.org/officeDocument/2006/relationships/hyperlink" Target="https://ref.ly/Lev25:8-Lev25:55" TargetMode="External"/><Relationship Id="rId30" Type="http://schemas.openxmlformats.org/officeDocument/2006/relationships/hyperlink" Target="https://ref.ly/Lev25:4" TargetMode="External"/><Relationship Id="rId31" Type="http://schemas.openxmlformats.org/officeDocument/2006/relationships/hyperlink" Target="https://ref.ly/Lev25:6-Lev25:7" TargetMode="External"/><Relationship Id="rId32" Type="http://schemas.openxmlformats.org/officeDocument/2006/relationships/hyperlink" Target="https://ref.ly/Deut15:9-Deut15:10" TargetMode="External"/><Relationship Id="rId33" Type="http://schemas.openxmlformats.org/officeDocument/2006/relationships/hyperlink" Target="https://ref.ly/Exod20:11" TargetMode="External"/><Relationship Id="rId34" Type="http://schemas.openxmlformats.org/officeDocument/2006/relationships/hyperlink" Target="https://ref.ly/Exod34:21" TargetMode="External"/><Relationship Id="rId35" Type="http://schemas.openxmlformats.org/officeDocument/2006/relationships/hyperlink" Target="https://ref.ly/Jer17:27" TargetMode="External"/><Relationship Id="rId36" Type="http://schemas.openxmlformats.org/officeDocument/2006/relationships/hyperlink" Target="https://ref.ly/Exod35:2-Exod35:3" TargetMode="External"/><Relationship Id="rId37" Type="http://schemas.openxmlformats.org/officeDocument/2006/relationships/hyperlink" Target="https://ref.ly/Exod35:2" TargetMode="External"/><Relationship Id="rId38" Type="http://schemas.openxmlformats.org/officeDocument/2006/relationships/hyperlink" Target="https://ref.ly/Num15:32-Num15:36" TargetMode="External"/><Relationship Id="rId39" Type="http://schemas.openxmlformats.org/officeDocument/2006/relationships/hyperlink" Target="https://ref.ly/Isa58:13-Isa58:14" TargetMode="External"/><Relationship Id="rId40" Type="http://schemas.openxmlformats.org/officeDocument/2006/relationships/hyperlink" Target="https://ref.ly/Ps92:1-Ps92:15" TargetMode="External"/><Relationship Id="rId41" Type="http://schemas.openxmlformats.org/officeDocument/2006/relationships/hyperlink" Target="https://ref.ly/Isa58:13" TargetMode="External"/><Relationship Id="rId42" Type="http://schemas.openxmlformats.org/officeDocument/2006/relationships/hyperlink" Target="https://ref.ly/Amos8:5" TargetMode="External"/><Relationship Id="rId43" Type="http://schemas.openxmlformats.org/officeDocument/2006/relationships/hyperlink" Target="https://ref.ly/Ezek22:26" TargetMode="External"/><Relationship Id="rId44" Type="http://schemas.openxmlformats.org/officeDocument/2006/relationships/hyperlink" Target="https://ref.ly/Isa1:10-Isa1:15" TargetMode="External"/><Relationship Id="rId45" Type="http://schemas.openxmlformats.org/officeDocument/2006/relationships/hyperlink" Target="https://ref.ly/Ezek20:12-Ezek20:24" TargetMode="External"/><Relationship Id="rId46" Type="http://schemas.openxmlformats.org/officeDocument/2006/relationships/hyperlink" Target="https://ref.ly/Ezek44:24" TargetMode="External"/><Relationship Id="rId47" Type="http://schemas.openxmlformats.org/officeDocument/2006/relationships/hyperlink" Target="https://ref.ly/Ezek45:17" TargetMode="External"/><Relationship Id="rId48" Type="http://schemas.openxmlformats.org/officeDocument/2006/relationships/hyperlink" Target="https://ref.ly/Ezek46:3" TargetMode="External"/><Relationship Id="rId49" Type="http://schemas.openxmlformats.org/officeDocument/2006/relationships/hyperlink" Target="https://ref.ly/Neh10:31" TargetMode="External"/><Relationship Id="rId50" Type="http://schemas.openxmlformats.org/officeDocument/2006/relationships/hyperlink" Target="https://ref.ly/Neh13:15-Neh13:22" TargetMode="External"/><Relationship Id="rId51" Type="http://schemas.openxmlformats.org/officeDocument/2006/relationships/hyperlink" Target="https://ref.ly/Luke4:16" TargetMode="External"/><Relationship Id="rId52" Type="http://schemas.openxmlformats.org/officeDocument/2006/relationships/hyperlink" Target="https://ref.ly/Mark1:21" TargetMode="External"/><Relationship Id="rId53" Type="http://schemas.openxmlformats.org/officeDocument/2006/relationships/hyperlink" Target="https://ref.ly/Luke13:10" TargetMode="External"/><Relationship Id="rId54" Type="http://schemas.openxmlformats.org/officeDocument/2006/relationships/hyperlink" Target="https://ref.ly/Mark2:23-Mark2:26" TargetMode="External"/><Relationship Id="rId55" Type="http://schemas.openxmlformats.org/officeDocument/2006/relationships/hyperlink" Target="https://ref.ly/Mark2:27" TargetMode="External"/><Relationship Id="rId56" Type="http://schemas.openxmlformats.org/officeDocument/2006/relationships/hyperlink" Target="https://ref.ly/Luke13:10-Luke13:17" TargetMode="External"/><Relationship Id="rId57" Type="http://schemas.openxmlformats.org/officeDocument/2006/relationships/hyperlink" Target="https://ref.ly/John7:21-John7:24" TargetMode="External"/><Relationship Id="rId58" Type="http://schemas.openxmlformats.org/officeDocument/2006/relationships/hyperlink" Target="https://ref.ly/Mark3:4-Mark3:5" TargetMode="External"/><Relationship Id="rId59" Type="http://schemas.openxmlformats.org/officeDocument/2006/relationships/hyperlink" Target="https://ref.ly/Mark2:28" TargetMode="External"/><Relationship Id="rId60" Type="http://schemas.openxmlformats.org/officeDocument/2006/relationships/hyperlink" Target="https://ref.ly/Matt12:5-Matt12:8" TargetMode="External"/><Relationship Id="rId61" Type="http://schemas.openxmlformats.org/officeDocument/2006/relationships/hyperlink" Target="https://ref.ly/John5:2-John5:17" TargetMode="External"/><Relationship Id="rId62" Type="http://schemas.openxmlformats.org/officeDocument/2006/relationships/hyperlink" Target="https://ref.ly/Acts13:14-Acts13:16" TargetMode="External"/><Relationship Id="rId63" Type="http://schemas.openxmlformats.org/officeDocument/2006/relationships/hyperlink" Target="https://ref.ly/Rom14:5-Rom14:6,Rom14:13" TargetMode="External"/><Relationship Id="rId64" Type="http://schemas.openxmlformats.org/officeDocument/2006/relationships/hyperlink" Target="https://ref.ly/Gal4:8-Gal4:11" TargetMode="External"/><Relationship Id="rId65" Type="http://schemas.openxmlformats.org/officeDocument/2006/relationships/hyperlink" Target="https://ref.ly/Col2:17" TargetMode="External"/><Relationship Id="rId66" Type="http://schemas.openxmlformats.org/officeDocument/2006/relationships/hyperlink" Target="https://ref.ly/Heb4:1-Heb4:11" TargetMode="External"/><Relationship Id="rId67" Type="http://schemas.openxmlformats.org/officeDocument/2006/relationships/hyperlink" Target="https://ref.ly/Heb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