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i/>
          <w:lang w:val="zh_TW" w:bidi="zh_TW"/>
        </w:rPr>
        <w:t>工作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這個詞語指的是神的活動，或人們的常規職業或從事的事務。</w:t>
      </w:r>
    </w:p>
    <w:p>
      <w:pPr>
        <w:pStyle w:val="Heading3"/>
      </w:pPr>
      <w:r>
        <w:rPr>
          <w:lang w:val="zh_TW" w:bidi="zh_TW"/>
        </w:rPr>
        <w:t>工作的價值</w:t>
      </w:r>
    </w:p>
    <w:p>
      <w:pPr/>
      <w:r>
        <w:rPr>
          <w:lang w:val="zh_TW" w:bidi="zh_TW"/>
        </w:rPr>
      </w:r>
      <w:r>
        <w:rPr>
          <w:lang w:val="zh_TW" w:bidi="zh_TW"/>
        </w:rPr>
        <w:t>聖經對工作的正面看法根植於聖經關於神的教導。其它古代宗教著作認為創造是不符合至高者尊嚴之事，但聖經毫不掩飾地描述神在工作。神像一位手工勞動者，將宇宙創造成為「他</w:t>
      </w:r>
      <w:r>
        <w:rPr>
          <w:lang w:val="zh_TW" w:bidi="zh_TW"/>
        </w:rPr>
        <w:t>指頭所造的</w:t>
      </w:r>
      <w:r>
        <w:rPr>
          <w:lang w:val="zh_TW" w:bidi="zh_TW"/>
        </w:rPr>
        <w:t>」（</w:t>
      </w:r>
      <w:hyperlink r:id="rId13">
        <w:r>
          <w:rPr>
            <w:lang w:val="zh_TW" w:bidi="zh_TW"/>
          </w:rPr>
          <w:rPr>
            <w:color w:val="0000EE"/>
            <w:u w:val="single"/>
          </w:rPr>
          <w:t>詩篇8:3</w:t>
        </w:r>
      </w:hyperlink>
      <w:r>
        <w:rPr>
          <w:lang w:val="zh_TW" w:bidi="zh_TW"/>
        </w:rPr>
        <w:t>）。神像陶匠一樣用原材料做工（</w:t>
      </w:r>
      <w:hyperlink r:id="rId14">
        <w:r>
          <w:rPr>
            <w:lang w:val="zh_TW" w:bidi="zh_TW"/>
          </w:rPr>
          <w:rPr>
            <w:color w:val="0000EE"/>
            <w:u w:val="single"/>
          </w:rPr>
          <w:t>以賽亞書45:9</w:t>
        </w:r>
      </w:hyperlink>
      <w:r>
        <w:rPr>
          <w:lang w:val="zh_TW" w:bidi="zh_TW"/>
        </w:rPr>
        <w:t>）。未出生的孩子在母腹中的成長和廣闊壯麗的諸天，都顯示了祂的卓越工藝（</w:t>
      </w:r>
      <w:hyperlink r:id="rId15">
        <w:r>
          <w:rPr>
            <w:lang w:val="zh_TW" w:bidi="zh_TW"/>
          </w:rPr>
          <w:rPr>
            <w:color w:val="0000EE"/>
            <w:u w:val="single"/>
          </w:rPr>
          <w:t>詩篇139:13–16</w:t>
        </w:r>
      </w:hyperlink>
      <w:r>
        <w:rPr>
          <w:lang w:val="zh_TW" w:bidi="zh_TW"/>
        </w:rPr>
        <w:t>；</w:t>
      </w:r>
      <w:hyperlink r:id="rId16">
        <w:r>
          <w:rPr>
            <w:lang w:val="zh_TW" w:bidi="zh_TW"/>
          </w:rPr>
          <w:rPr>
            <w:color w:val="0000EE"/>
            <w:u w:val="single"/>
          </w:rPr>
          <w:t>19:1</w:t>
        </w:r>
      </w:hyperlink>
      <w:r>
        <w:rPr>
          <w:lang w:val="zh_TW" w:bidi="zh_TW"/>
        </w:rPr>
        <w:t>）。事實上，所有創造都見證了神的智慧和技藝（</w:t>
      </w:r>
      <w:hyperlink r:id="rId17">
        <w:r>
          <w:rPr>
            <w:lang w:val="zh_TW" w:bidi="zh_TW"/>
          </w:rPr>
          <w:rPr>
            <w:color w:val="0000EE"/>
            <w:u w:val="single"/>
          </w:rPr>
          <w:t>104:24</w:t>
        </w:r>
      </w:hyperlink>
      <w:r>
        <w:rPr>
          <w:lang w:val="zh_TW" w:bidi="zh_TW"/>
        </w:rPr>
        <w:t>）。全能的創造者甚至有祂的安息日（</w:t>
      </w:r>
      <w:hyperlink r:id="rId18">
        <w:r>
          <w:rPr>
            <w:lang w:val="zh_TW" w:bidi="zh_TW"/>
          </w:rPr>
          <w:rPr>
            <w:color w:val="0000EE"/>
            <w:u w:val="single"/>
          </w:rPr>
          <w:t>創世記2:2–3</w:t>
        </w:r>
      </w:hyperlink>
      <w:r>
        <w:rPr>
          <w:lang w:val="zh_TW" w:bidi="zh_TW"/>
        </w:rPr>
        <w:t>），並在第六日觀看祂所造的，以之為美（</w:t>
      </w:r>
      <w:hyperlink r:id="rId19">
        <w:r>
          <w:rPr>
            <w:lang w:val="zh_TW" w:bidi="zh_TW"/>
          </w:rPr>
          <w:rPr>
            <w:color w:val="0000EE"/>
            <w:u w:val="single"/>
          </w:rPr>
          <w:t>1:31</w:t>
        </w:r>
      </w:hyperlink>
      <w:r>
        <w:rPr>
          <w:lang w:val="zh_TW" w:bidi="zh_TW"/>
        </w:rPr>
        <w:t>）。</w:t>
      </w:r>
    </w:p>
    <w:p>
      <w:pPr/>
      <w:r>
        <w:rPr>
          <w:lang w:val="zh_TW" w:bidi="zh_TW"/>
        </w:rPr>
      </w:r>
      <w:r>
        <w:rPr>
          <w:lang w:val="zh_TW" w:bidi="zh_TW"/>
        </w:rPr>
        <w:t>關於神工作的生動描述，在耶穌的道成肉身中達到了高潮。耶穌被賦予的「工作」（</w:t>
      </w:r>
      <w:hyperlink r:id="rId20">
        <w:r>
          <w:rPr>
            <w:lang w:val="zh_TW" w:bidi="zh_TW"/>
          </w:rPr>
          <w:rPr>
            <w:color w:val="0000EE"/>
            <w:u w:val="single"/>
          </w:rPr>
          <w:t>約翰福音4:34</w:t>
        </w:r>
      </w:hyperlink>
      <w:r>
        <w:rPr>
          <w:lang w:val="zh_TW" w:bidi="zh_TW"/>
        </w:rPr>
        <w:t>）當然是獨特的救贖任務。但祂在一般的意義上也是工作的人。耶穌同時代的人稱祂為「木匠」（</w:t>
      </w:r>
      <w:hyperlink r:id="rId21">
        <w:r>
          <w:rPr>
            <w:lang w:val="zh_TW" w:bidi="zh_TW"/>
          </w:rPr>
          <w:rPr>
            <w:color w:val="0000EE"/>
            <w:u w:val="single"/>
          </w:rPr>
          <w:t>馬可福音6:3</w:t>
        </w:r>
      </w:hyperlink>
      <w:r>
        <w:rPr>
          <w:lang w:val="zh_TW" w:bidi="zh_TW"/>
        </w:rPr>
        <w:t>）。在新約時代，木匠工作和木工是要付出體力的行業。因此，那位在聖殿中發怒，推翻桌子並驅趕人和動物的耶穌（</w:t>
      </w:r>
      <w:hyperlink r:id="rId22">
        <w:r>
          <w:rPr>
            <w:lang w:val="zh_TW" w:bidi="zh_TW"/>
          </w:rPr>
          <w:rPr>
            <w:color w:val="0000EE"/>
            <w:u w:val="single"/>
          </w:rPr>
          <w:t>約翰福音2:14–16</w:t>
        </w:r>
      </w:hyperlink>
      <w:r>
        <w:rPr>
          <w:lang w:val="zh_TW" w:bidi="zh_TW"/>
        </w:rPr>
        <w:t>），並不是一個蒼白的弱者，而是一位雙手因多年使用斧頭、鋸子和錘子而變得強硬的工人。艱苦的體力勞動並非不符合神兒子的尊榮。</w:t>
      </w:r>
    </w:p>
    <w:p>
      <w:pPr/>
      <w:r>
        <w:rPr>
          <w:lang w:val="zh_TW" w:bidi="zh_TW"/>
        </w:rPr>
      </w:r>
      <w:r>
        <w:rPr>
          <w:lang w:val="zh_TW" w:bidi="zh_TW"/>
        </w:rPr>
        <w:t>假如聖經關於神的教導提升了工作的尊嚴，那麼聖經對人類創造的描述則賦予所有的人類勞動一個標記：這是常態。神「</w:t>
      </w:r>
      <w:r>
        <w:rPr>
          <w:lang w:val="zh_TW" w:bidi="zh_TW"/>
        </w:rPr>
        <w:t>將那人安置在 伊甸園，使他修理，看守</w:t>
      </w:r>
      <w:r>
        <w:rPr>
          <w:lang w:val="zh_TW" w:bidi="zh_TW"/>
        </w:rPr>
        <w:t>」（</w:t>
      </w:r>
      <w:hyperlink r:id="rId23">
        <w:r>
          <w:rPr>
            <w:lang w:val="zh_TW" w:bidi="zh_TW"/>
          </w:rPr>
          <w:rPr>
            <w:color w:val="0000EE"/>
            <w:u w:val="single"/>
          </w:rPr>
          <w:t>創世記2:15</w:t>
        </w:r>
      </w:hyperlink>
      <w:r>
        <w:rPr>
          <w:lang w:val="zh_TW" w:bidi="zh_TW"/>
        </w:rPr>
        <w:t>）。而神的第一個命令，「要遍滿地面，治理這地」（</w:t>
      </w:r>
      <w:hyperlink r:id="rId24">
        <w:r>
          <w:rPr>
            <w:lang w:val="zh_TW" w:bidi="zh_TW"/>
          </w:rPr>
          <w:rPr>
            <w:color w:val="0000EE"/>
            <w:u w:val="single"/>
          </w:rPr>
          <w:t>1:28</w:t>
        </w:r>
      </w:hyperlink>
      <w:r>
        <w:rPr>
          <w:lang w:val="zh_TW" w:bidi="zh_TW"/>
        </w:rPr>
        <w:t>），意味著男人和女人都有大量的工作。在某種重要意義上，今天的人們在做日常工作時，不論他們是否承認神，都是在遵循他們創造者的命令。因此，工作並不是因墮入罪而直接進入世界的（雖然罪確實破壞了工作狀態，</w:t>
      </w:r>
      <w:hyperlink r:id="rId25">
        <w:r>
          <w:rPr>
            <w:lang w:val="zh_TW" w:bidi="zh_TW"/>
          </w:rPr>
          <w:rPr>
            <w:color w:val="0000EE"/>
            <w:u w:val="single"/>
          </w:rPr>
          <w:t>3:17–19</w:t>
        </w:r>
      </w:hyperlink>
      <w:r>
        <w:rPr>
          <w:lang w:val="zh_TW" w:bidi="zh_TW"/>
        </w:rPr>
        <w:t>）。從歷史的黎明起，工作就是神為人類的益處所設計的——對男人和女人來說，工作就像日落之於白晝一樣自然（</w:t>
      </w:r>
      <w:hyperlink r:id="rId26">
        <w:r>
          <w:rPr>
            <w:lang w:val="zh_TW" w:bidi="zh_TW"/>
          </w:rPr>
          <w:rPr>
            <w:color w:val="0000EE"/>
            <w:u w:val="single"/>
          </w:rPr>
          <w:t>詩篇104:19–23</w:t>
        </w:r>
      </w:hyperlink>
      <w:r>
        <w:rPr>
          <w:lang w:val="zh_TW" w:bidi="zh_TW"/>
        </w:rPr>
        <w:t>）。</w:t>
      </w:r>
    </w:p>
    <w:p>
      <w:pPr/>
      <w:r>
        <w:rPr>
          <w:lang w:val="zh_TW" w:bidi="zh_TW"/>
        </w:rPr>
      </w:r>
      <w:r>
        <w:rPr>
          <w:lang w:val="zh_TW" w:bidi="zh_TW"/>
        </w:rPr>
        <w:t>聖經強調工作的尊嚴和正常性，不足為奇的是，聖經強烈譴責懶惰。「</w:t>
      </w:r>
      <w:r>
        <w:rPr>
          <w:lang w:val="zh_TW" w:bidi="zh_TW"/>
        </w:rPr>
        <w:t>懶惰人哪， 你去察看螞蟻的動作就可得智慧</w:t>
      </w:r>
      <w:r>
        <w:rPr>
          <w:lang w:val="zh_TW" w:bidi="zh_TW"/>
        </w:rPr>
        <w:t>」（</w:t>
      </w:r>
      <w:hyperlink r:id="rId27">
        <w:r>
          <w:rPr>
            <w:lang w:val="zh_TW" w:bidi="zh_TW"/>
          </w:rPr>
          <w:rPr>
            <w:color w:val="0000EE"/>
            <w:u w:val="single"/>
          </w:rPr>
          <w:t>箴言6:6</w:t>
        </w:r>
      </w:hyperlink>
      <w:r>
        <w:rPr>
          <w:lang w:val="zh_TW" w:bidi="zh_TW"/>
        </w:rPr>
        <w:t>）。保羅同樣直言不諱：「</w:t>
      </w:r>
      <w:r>
        <w:rPr>
          <w:lang w:val="zh_TW" w:bidi="zh_TW"/>
        </w:rPr>
        <w:t>若有人不肯做工，就不可吃飯。</w:t>
      </w:r>
      <w:r>
        <w:rPr>
          <w:lang w:val="zh_TW" w:bidi="zh_TW"/>
        </w:rPr>
        <w:t>」（</w:t>
      </w:r>
      <w:hyperlink r:id="rId28">
        <w:r>
          <w:rPr>
            <w:lang w:val="zh_TW" w:bidi="zh_TW"/>
          </w:rPr>
          <w:rPr>
            <w:color w:val="0000EE"/>
            <w:u w:val="single"/>
          </w:rPr>
          <w:t>帖撒羅尼迦後書3:10</w:t>
        </w:r>
      </w:hyperlink>
      <w:r>
        <w:rPr>
          <w:lang w:val="zh_TW" w:bidi="zh_TW"/>
        </w:rPr>
        <w:t>）。保羅樹立了良好的榜樣（</w:t>
      </w:r>
      <w:hyperlink r:id="rId29">
        <w:r>
          <w:rPr>
            <w:lang w:val="zh_TW" w:bidi="zh_TW"/>
          </w:rPr>
          <w:rPr>
            <w:color w:val="0000EE"/>
            <w:u w:val="single"/>
          </w:rPr>
          <w:t>使徒行傳20:33–35</w:t>
        </w:r>
      </w:hyperlink>
      <w:r>
        <w:rPr>
          <w:lang w:val="zh_TW" w:bidi="zh_TW"/>
        </w:rPr>
        <w:t>；</w:t>
      </w:r>
      <w:hyperlink r:id="rId30">
        <w:r>
          <w:rPr>
            <w:lang w:val="zh_TW" w:bidi="zh_TW"/>
          </w:rPr>
          <w:rPr>
            <w:color w:val="0000EE"/>
            <w:u w:val="single"/>
          </w:rPr>
          <w:t>帖撒羅尼迦前書2:9</w:t>
        </w:r>
      </w:hyperlink>
      <w:r>
        <w:rPr>
          <w:lang w:val="zh_TW" w:bidi="zh_TW"/>
        </w:rPr>
        <w:t>）。他堅持認為，那些不願工作的人，即使是出於屬靈的原因，依賴他人支付賬單，並不會贏得非基督徒旁觀者的尊重（</w:t>
      </w:r>
      <w:hyperlink r:id="rId31">
        <w:r>
          <w:rPr>
            <w:lang w:val="zh_TW" w:bidi="zh_TW"/>
          </w:rPr>
          <w:rPr>
            <w:color w:val="0000EE"/>
            <w:u w:val="single"/>
          </w:rPr>
          <w:t>帖撒羅尼迦前書4:11–12</w:t>
        </w:r>
      </w:hyperlink>
      <w:r>
        <w:rPr>
          <w:lang w:val="zh_TW" w:bidi="zh_TW"/>
        </w:rPr>
        <w:t>）。另一方面，工作的人有物質資源可以服事別人（</w:t>
      </w:r>
      <w:hyperlink r:id="rId32">
        <w:r>
          <w:rPr>
            <w:lang w:val="zh_TW" w:bidi="zh_TW"/>
          </w:rPr>
          <w:rPr>
            <w:color w:val="0000EE"/>
            <w:u w:val="single"/>
          </w:rPr>
          <w:t>以弗所書4:28</w:t>
        </w:r>
      </w:hyperlink>
      <w:r>
        <w:rPr>
          <w:lang w:val="zh_TW" w:bidi="zh_TW"/>
        </w:rPr>
        <w:t>）。</w:t>
      </w:r>
    </w:p>
    <w:p>
      <w:pPr>
        <w:pStyle w:val="Heading3"/>
      </w:pPr>
      <w:r>
        <w:rPr>
          <w:lang w:val="zh_TW" w:bidi="zh_TW"/>
        </w:rPr>
        <w:t>職業</w:t>
      </w:r>
    </w:p>
    <w:p>
      <w:pPr/>
      <w:r>
        <w:rPr>
          <w:lang w:val="zh_TW" w:bidi="zh_TW"/>
        </w:rPr>
      </w:r>
      <w:r>
        <w:rPr>
          <w:lang w:val="zh_TW" w:bidi="zh_TW"/>
        </w:rPr>
        <w:t>在聖經時代，希臘人和羅馬人根據重要性或可取性對工作進行分類。比如，日常重複的體力勞動，被認為低於涉及腦力活動的工作。</w:t>
      </w:r>
    </w:p>
    <w:p>
      <w:pPr/>
      <w:r>
        <w:rPr>
          <w:lang w:val="zh_TW" w:bidi="zh_TW"/>
        </w:rPr>
      </w:r>
      <w:r>
        <w:rPr>
          <w:lang w:val="zh_TW" w:bidi="zh_TW"/>
        </w:rPr>
        <w:t>猶太教的教導與這種態度形成鮮明對比。拉比們教導道（</w:t>
      </w:r>
      <w:hyperlink r:id="rId33">
        <w:r>
          <w:rPr>
            <w:lang w:val="zh_TW" w:bidi="zh_TW"/>
          </w:rPr>
          <w:rPr>
            <w:color w:val="0000EE"/>
            <w:u w:val="single"/>
          </w:rPr>
          <w:t>便西拉智訓7:15</w:t>
        </w:r>
      </w:hyperlink>
      <w:r>
        <w:rPr>
          <w:lang w:val="zh_TW" w:bidi="zh_TW"/>
        </w:rPr>
        <w:t>）「不可厭惡辛勤的工作」。即使是學者也必須花一些時間從事體力工作。一些行業，如製革業，被認為是不受歡迎的（這一禁忌很快就被早期教會打破了——見</w:t>
      </w:r>
      <w:hyperlink r:id="rId34">
        <w:r>
          <w:rPr>
            <w:lang w:val="zh_TW" w:bidi="zh_TW"/>
          </w:rPr>
          <w:rPr>
            <w:color w:val="0000EE"/>
            <w:u w:val="single"/>
          </w:rPr>
          <w:t>使徒行傳9:43</w:t>
        </w:r>
      </w:hyperlink>
      <w:r>
        <w:rPr>
          <w:lang w:val="zh_TW" w:bidi="zh_TW"/>
        </w:rPr>
        <w:t>），但在聖經中沒有跡象表明某些工作在神的眼中比其它工作更有價值。主召喚工匠為服事祂（</w:t>
      </w:r>
      <w:hyperlink r:id="rId35">
        <w:r>
          <w:rPr>
            <w:lang w:val="zh_TW" w:bidi="zh_TW"/>
          </w:rPr>
          <w:rPr>
            <w:color w:val="0000EE"/>
            <w:u w:val="single"/>
          </w:rPr>
          <w:t>出埃及記31:1–11</w:t>
        </w:r>
      </w:hyperlink>
      <w:r>
        <w:rPr>
          <w:lang w:val="zh_TW" w:bidi="zh_TW"/>
        </w:rPr>
        <w:t>），就像呼召先知一樣（</w:t>
      </w:r>
      <w:hyperlink r:id="rId36">
        <w:r>
          <w:rPr>
            <w:lang w:val="zh_TW" w:bidi="zh_TW"/>
          </w:rPr>
          <w:rPr>
            <w:color w:val="0000EE"/>
            <w:u w:val="single"/>
          </w:rPr>
          <w:t>以賽亞書6:8–9</w:t>
        </w:r>
      </w:hyperlink>
      <w:r>
        <w:rPr>
          <w:lang w:val="zh_TW" w:bidi="zh_TW"/>
        </w:rPr>
        <w:t>）。因此，阿摩司從</w:t>
      </w:r>
      <w:r>
        <w:rPr>
          <w:lang w:val="zh_TW" w:bidi="zh_TW"/>
        </w:rPr>
        <w:t>修理桑樹</w:t>
      </w:r>
      <w:r>
        <w:rPr>
          <w:lang w:val="zh_TW" w:bidi="zh_TW"/>
        </w:rPr>
        <w:t>被召說預言（</w:t>
      </w:r>
      <w:hyperlink r:id="rId37">
        <w:r>
          <w:rPr>
            <w:lang w:val="zh_TW" w:bidi="zh_TW"/>
          </w:rPr>
          <w:rPr>
            <w:color w:val="0000EE"/>
            <w:u w:val="single"/>
          </w:rPr>
          <w:t>阿摩司書7:14–15</w:t>
        </w:r>
      </w:hyperlink>
      <w:r>
        <w:rPr>
          <w:lang w:val="zh_TW" w:bidi="zh_TW"/>
        </w:rPr>
        <w:t>），但沒有暗示他被提升到一個更高的角色。重要的不是職業的性質，而是準備好順服神的呼召，並忠實地見證祂，無論所做的工作是什麼。</w:t>
      </w:r>
    </w:p>
    <w:p>
      <w:pPr/>
      <w:r>
        <w:rPr>
          <w:lang w:val="zh_TW" w:bidi="zh_TW"/>
        </w:rPr>
      </w:r>
      <w:r>
        <w:rPr>
          <w:lang w:val="zh_TW" w:bidi="zh_TW"/>
        </w:rPr>
        <w:t>聖經對於雇主與工人之間的關係有一些深刻的見解。舊約先知發出了最強烈的批評。神特別關心看到弱者得到公平的待遇（</w:t>
      </w:r>
      <w:hyperlink r:id="rId38">
        <w:r>
          <w:rPr>
            <w:lang w:val="zh_TW" w:bidi="zh_TW"/>
          </w:rPr>
          <w:rPr>
            <w:color w:val="0000EE"/>
            <w:u w:val="single"/>
          </w:rPr>
          <w:t>以賽亞書1:17</w:t>
        </w:r>
      </w:hyperlink>
      <w:r>
        <w:rPr>
          <w:lang w:val="zh_TW" w:bidi="zh_TW"/>
        </w:rPr>
        <w:t>；</w:t>
      </w:r>
      <w:hyperlink r:id="rId39">
        <w:r>
          <w:rPr>
            <w:lang w:val="zh_TW" w:bidi="zh_TW"/>
          </w:rPr>
          <w:rPr>
            <w:color w:val="0000EE"/>
            <w:u w:val="single"/>
          </w:rPr>
          <w:t>彌迦書6:8</w:t>
        </w:r>
      </w:hyperlink>
      <w:r>
        <w:rPr>
          <w:lang w:val="zh_TW" w:bidi="zh_TW"/>
        </w:rPr>
        <w:t>）。因此，當雇主剝削工人並欺騙他們的工價時（</w:t>
      </w:r>
      <w:hyperlink r:id="rId40">
        <w:r>
          <w:rPr>
            <w:lang w:val="zh_TW" w:bidi="zh_TW"/>
          </w:rPr>
          <w:rPr>
            <w:color w:val="0000EE"/>
            <w:u w:val="single"/>
          </w:rPr>
          <w:t>耶利米書22:13</w:t>
        </w:r>
      </w:hyperlink>
      <w:r>
        <w:rPr>
          <w:lang w:val="zh_TW" w:bidi="zh_TW"/>
        </w:rPr>
        <w:t>；</w:t>
      </w:r>
      <w:hyperlink r:id="rId41">
        <w:r>
          <w:rPr>
            <w:lang w:val="zh_TW" w:bidi="zh_TW"/>
          </w:rPr>
          <w:rPr>
            <w:color w:val="0000EE"/>
            <w:u w:val="single"/>
          </w:rPr>
          <w:t>瑪拉基書3:5</w:t>
        </w:r>
      </w:hyperlink>
      <w:r>
        <w:rPr>
          <w:lang w:val="zh_TW" w:bidi="zh_TW"/>
        </w:rPr>
        <w:t>；參</w:t>
      </w:r>
      <w:hyperlink r:id="rId42">
        <w:r>
          <w:rPr>
            <w:lang w:val="zh_TW" w:bidi="zh_TW"/>
          </w:rPr>
          <w:rPr>
            <w:color w:val="0000EE"/>
            <w:u w:val="single"/>
          </w:rPr>
          <w:t>雅各書5:4</w:t>
        </w:r>
      </w:hyperlink>
      <w:r>
        <w:rPr>
          <w:lang w:val="zh_TW" w:bidi="zh_TW"/>
        </w:rPr>
        <w:t>），自然地，神的先知就宣告祂的忿怒。一個想要討神喜悅人應該「停止壓迫那些為〔他〕工作的人，公平對待他們，並給他們應得的工價」（直譯</w:t>
      </w:r>
      <w:hyperlink r:id="rId43">
        <w:r>
          <w:rPr>
            <w:lang w:val="zh_TW" w:bidi="zh_TW"/>
          </w:rPr>
          <w:rPr>
            <w:color w:val="0000EE"/>
            <w:u w:val="single"/>
          </w:rPr>
          <w:t>以賽亞書58:6</w:t>
        </w:r>
      </w:hyperlink>
      <w:r>
        <w:rPr>
          <w:lang w:val="zh_TW" w:bidi="zh_TW"/>
        </w:rPr>
        <w:t>）。</w:t>
      </w:r>
    </w:p>
    <w:p>
      <w:pPr/>
      <w:r>
        <w:rPr>
          <w:lang w:val="zh_TW" w:bidi="zh_TW"/>
        </w:rPr>
      </w:r>
      <w:r>
        <w:rPr>
          <w:lang w:val="zh_TW" w:bidi="zh_TW"/>
        </w:rPr>
        <w:t>在聖經時代，天平的重量偏向於雇主。但聖經並不忽視自私、貪婪的工人的存在。每個工人都應該得到公正的工資（</w:t>
      </w:r>
      <w:hyperlink r:id="rId44">
        <w:r>
          <w:rPr>
            <w:lang w:val="zh_TW" w:bidi="zh_TW"/>
          </w:rPr>
          <w:rPr>
            <w:color w:val="0000EE"/>
            <w:u w:val="single"/>
          </w:rPr>
          <w:t>路加福音10:7</w:t>
        </w:r>
      </w:hyperlink>
      <w:r>
        <w:rPr>
          <w:lang w:val="zh_TW" w:bidi="zh_TW"/>
        </w:rPr>
        <w:t>），但那些擁有特權的人不應該試圖通過威脅和暴力來增加他們的薪水（</w:t>
      </w:r>
      <w:hyperlink r:id="rId45">
        <w:r>
          <w:rPr>
            <w:lang w:val="zh_TW" w:bidi="zh_TW"/>
          </w:rPr>
          <w:rPr>
            <w:color w:val="0000EE"/>
            <w:u w:val="single"/>
          </w:rPr>
          <w:t>3:14</w:t>
        </w:r>
      </w:hyperlink>
      <w:r>
        <w:rPr>
          <w:lang w:val="zh_TW" w:bidi="zh_TW"/>
        </w:rPr>
        <w:t>）。</w:t>
      </w:r>
    </w:p>
    <w:p>
      <w:pPr>
        <w:pStyle w:val="Heading3"/>
      </w:pPr>
      <w:r>
        <w:rPr>
          <w:lang w:val="zh_TW" w:bidi="zh_TW"/>
        </w:rPr>
        <w:t>為基督工作</w:t>
      </w:r>
    </w:p>
    <w:p>
      <w:pPr/>
      <w:r>
        <w:rPr>
          <w:lang w:val="zh_TW" w:bidi="zh_TW"/>
        </w:rPr>
      </w:r>
      <w:r>
        <w:rPr>
          <w:lang w:val="zh_TW" w:bidi="zh_TW"/>
        </w:rPr>
        <w:t>神是一位工作的神，當祂的百姓努力工作並認真負責時，神就喜悅。這種信念是聖經關於基督徒對世俗工作的態度教導的核心。很自然地，新約也將這種積極的強調擴展到所有基督徒的工作，無論是有償還是無償的。耶穌說，世界是神收割莊稼的地方，正等待基督的工人進入其中並廣傳福音（</w:t>
      </w:r>
      <w:hyperlink r:id="rId46">
        <w:r>
          <w:rPr>
            <w:lang w:val="zh_TW" w:bidi="zh_TW"/>
          </w:rPr>
          <w:rPr>
            <w:color w:val="0000EE"/>
            <w:u w:val="single"/>
          </w:rPr>
          <w:t>馬太福音9:37–38</w:t>
        </w:r>
      </w:hyperlink>
      <w:r>
        <w:rPr>
          <w:lang w:val="zh_TW" w:bidi="zh_TW"/>
        </w:rPr>
        <w:t>）。保羅使用了相同的農業比喻，並從建築行業中添加了另一個比喻來描述主傳福音和教導的工作（</w:t>
      </w:r>
      <w:hyperlink r:id="rId47">
        <w:r>
          <w:rPr>
            <w:lang w:val="zh_TW" w:bidi="zh_TW"/>
          </w:rPr>
          <w:rPr>
            <w:color w:val="0000EE"/>
            <w:u w:val="single"/>
          </w:rPr>
          <w:t>哥林多前書3:6–15</w:t>
        </w:r>
      </w:hyperlink>
      <w:r>
        <w:rPr>
          <w:lang w:val="zh_TW" w:bidi="zh_TW"/>
        </w:rPr>
        <w:t>）。他說，教會領袖尤其應該努力工作（</w:t>
      </w:r>
      <w:hyperlink r:id="rId48">
        <w:r>
          <w:rPr>
            <w:lang w:val="zh_TW" w:bidi="zh_TW"/>
          </w:rPr>
          <w:rPr>
            <w:color w:val="0000EE"/>
            <w:u w:val="single"/>
          </w:rPr>
          <w:t>帖撒羅尼迦前書5:12</w:t>
        </w:r>
      </w:hyperlink>
      <w:r>
        <w:rPr>
          <w:lang w:val="zh_TW" w:bidi="zh_TW"/>
        </w:rPr>
        <w:t>），以激勵</w:t>
      </w:r>
      <w:r>
        <w:rPr>
          <w:i/>
          <w:lang w:val="zh_TW" w:bidi="zh_TW"/>
        </w:rPr>
        <w:t>所有</w:t>
      </w:r>
      <w:r>
        <w:rPr>
          <w:lang w:val="zh_TW" w:bidi="zh_TW"/>
        </w:rPr>
        <w:t>神的百姓參與神的工作中（</w:t>
      </w:r>
      <w:hyperlink r:id="rId49">
        <w:r>
          <w:rPr>
            <w:lang w:val="zh_TW" w:bidi="zh_TW"/>
          </w:rPr>
          <w:rPr>
            <w:color w:val="0000EE"/>
            <w:u w:val="single"/>
          </w:rPr>
          <w:t>哥林多前書15:58</w:t>
        </w:r>
      </w:hyperlink>
      <w:r>
        <w:rPr>
          <w:lang w:val="zh_TW" w:bidi="zh_TW"/>
        </w:rPr>
        <w:t>）。所有基督徒都應該視自己為「神的同工」（</w:t>
      </w:r>
      <w:hyperlink r:id="rId50">
        <w:r>
          <w:rPr>
            <w:lang w:val="zh_TW" w:bidi="zh_TW"/>
          </w:rPr>
          <w:rPr>
            <w:color w:val="0000EE"/>
            <w:u w:val="single"/>
          </w:rPr>
          <w:t>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3" TargetMode="External"/><Relationship Id="rId14" Type="http://schemas.openxmlformats.org/officeDocument/2006/relationships/hyperlink" Target="https://ref.ly/Isa45:9" TargetMode="External"/><Relationship Id="rId15" Type="http://schemas.openxmlformats.org/officeDocument/2006/relationships/hyperlink" Target="https://ref.ly/Ps139:13-Ps139:16" TargetMode="External"/><Relationship Id="rId16" Type="http://schemas.openxmlformats.org/officeDocument/2006/relationships/hyperlink" Target="https://ref.ly/Ps19:1" TargetMode="External"/><Relationship Id="rId17" Type="http://schemas.openxmlformats.org/officeDocument/2006/relationships/hyperlink" Target="https://ref.ly/Ps104:24" TargetMode="External"/><Relationship Id="rId18" Type="http://schemas.openxmlformats.org/officeDocument/2006/relationships/hyperlink" Target="https://ref.ly/Gen2:2-Gen2:3" TargetMode="External"/><Relationship Id="rId19" Type="http://schemas.openxmlformats.org/officeDocument/2006/relationships/hyperlink" Target="https://ref.ly/Gen1:31" TargetMode="External"/><Relationship Id="rId20" Type="http://schemas.openxmlformats.org/officeDocument/2006/relationships/hyperlink" Target="https://ref.ly/John4:34" TargetMode="External"/><Relationship Id="rId21" Type="http://schemas.openxmlformats.org/officeDocument/2006/relationships/hyperlink" Target="https://ref.ly/Mark6:3" TargetMode="External"/><Relationship Id="rId22" Type="http://schemas.openxmlformats.org/officeDocument/2006/relationships/hyperlink" Target="https://ref.ly/John2:14-John2:16" TargetMode="External"/><Relationship Id="rId23" Type="http://schemas.openxmlformats.org/officeDocument/2006/relationships/hyperlink" Target="https://ref.ly/Gen2:15" TargetMode="External"/><Relationship Id="rId24" Type="http://schemas.openxmlformats.org/officeDocument/2006/relationships/hyperlink" Target="https://ref.ly/Gen1:28" TargetMode="External"/><Relationship Id="rId25" Type="http://schemas.openxmlformats.org/officeDocument/2006/relationships/hyperlink" Target="https://ref.ly/Gen3:17-Gen3:19" TargetMode="External"/><Relationship Id="rId26" Type="http://schemas.openxmlformats.org/officeDocument/2006/relationships/hyperlink" Target="https://ref.ly/Ps104:19-Ps104:23" TargetMode="External"/><Relationship Id="rId27" Type="http://schemas.openxmlformats.org/officeDocument/2006/relationships/hyperlink" Target="https://ref.ly/Prov6:6" TargetMode="External"/><Relationship Id="rId28" Type="http://schemas.openxmlformats.org/officeDocument/2006/relationships/hyperlink" Target="https://ref.ly/2Thess3:10" TargetMode="External"/><Relationship Id="rId29" Type="http://schemas.openxmlformats.org/officeDocument/2006/relationships/hyperlink" Target="https://ref.ly/Acts20:33-Acts20:35" TargetMode="External"/><Relationship Id="rId30" Type="http://schemas.openxmlformats.org/officeDocument/2006/relationships/hyperlink" Target="https://ref.ly/1Thess2:9" TargetMode="External"/><Relationship Id="rId31" Type="http://schemas.openxmlformats.org/officeDocument/2006/relationships/hyperlink" Target="https://ref.ly/1Thess4:11-1Thess4:12" TargetMode="External"/><Relationship Id="rId32" Type="http://schemas.openxmlformats.org/officeDocument/2006/relationships/hyperlink" Target="https://ref.ly/Eph4:28" TargetMode="External"/><Relationship Id="rId33" Type="http://schemas.openxmlformats.org/officeDocument/2006/relationships/hyperlink" Target="https://ref.ly/Sir7:15" TargetMode="External"/><Relationship Id="rId34" Type="http://schemas.openxmlformats.org/officeDocument/2006/relationships/hyperlink" Target="https://ref.ly/Acts9:43" TargetMode="External"/><Relationship Id="rId35" Type="http://schemas.openxmlformats.org/officeDocument/2006/relationships/hyperlink" Target="https://ref.ly/Exod31:1-Exod31:11" TargetMode="External"/><Relationship Id="rId36" Type="http://schemas.openxmlformats.org/officeDocument/2006/relationships/hyperlink" Target="https://ref.ly/Isa6:8-Isa6:9" TargetMode="External"/><Relationship Id="rId37" Type="http://schemas.openxmlformats.org/officeDocument/2006/relationships/hyperlink" Target="https://ref.ly/Amos7:14-Amos7:15" TargetMode="External"/><Relationship Id="rId38" Type="http://schemas.openxmlformats.org/officeDocument/2006/relationships/hyperlink" Target="https://ref.ly/Isa1:17" TargetMode="External"/><Relationship Id="rId39" Type="http://schemas.openxmlformats.org/officeDocument/2006/relationships/hyperlink" Target="https://ref.ly/Mic6:8" TargetMode="External"/><Relationship Id="rId40" Type="http://schemas.openxmlformats.org/officeDocument/2006/relationships/hyperlink" Target="https://ref.ly/Jer22:13" TargetMode="External"/><Relationship Id="rId41" Type="http://schemas.openxmlformats.org/officeDocument/2006/relationships/hyperlink" Target="https://ref.ly/Mal3:5" TargetMode="External"/><Relationship Id="rId42" Type="http://schemas.openxmlformats.org/officeDocument/2006/relationships/hyperlink" Target="https://ref.ly/Jas5:4" TargetMode="External"/><Relationship Id="rId43" Type="http://schemas.openxmlformats.org/officeDocument/2006/relationships/hyperlink" Target="https://ref.ly/Isa58:6" TargetMode="External"/><Relationship Id="rId44" Type="http://schemas.openxmlformats.org/officeDocument/2006/relationships/hyperlink" Target="https://ref.ly/Luke10:7" TargetMode="External"/><Relationship Id="rId45" Type="http://schemas.openxmlformats.org/officeDocument/2006/relationships/hyperlink" Target="https://ref.ly/Luke3:14" TargetMode="External"/><Relationship Id="rId46" Type="http://schemas.openxmlformats.org/officeDocument/2006/relationships/hyperlink" Target="https://ref.ly/Matt9:37-Matt9:38" TargetMode="External"/><Relationship Id="rId47" Type="http://schemas.openxmlformats.org/officeDocument/2006/relationships/hyperlink" Target="https://ref.ly/1Cor3:6-1Cor3:15" TargetMode="External"/><Relationship Id="rId48" Type="http://schemas.openxmlformats.org/officeDocument/2006/relationships/hyperlink" Target="https://ref.ly/1Thess5:12" TargetMode="External"/><Relationship Id="rId49" Type="http://schemas.openxmlformats.org/officeDocument/2006/relationships/hyperlink" Target="https://ref.ly/1Cor15:58" TargetMode="External"/><Relationship Id="rId50" Type="http://schemas.openxmlformats.org/officeDocument/2006/relationships/hyperlink" Target="https://ref.ly/1Cor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