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i/>
          <w:lang w:val="fr_FR" w:bidi="fr_FR"/>
        </w:rPr>
        <w:t>Quirinius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3">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3">
        <w:r>
          <w:rPr>
            <w:lang w:val="fr_FR" w:bidi="fr_FR"/>
          </w:rPr>
          <w:rPr>
            <w:color w:val="0000EE"/>
            <w:u w:val="single"/>
          </w:rPr>
          <w:t>Lc 2.2</w:t>
        </w:r>
      </w:hyperlink>
      <w:r>
        <w:rPr>
          <w:lang w:val="fr_FR" w:bidi="fr_FR"/>
        </w:rPr>
        <w:t>). Matthieu dit que la naissance a lieu pendant le règne du roi Hérode le Grand (</w:t>
      </w:r>
      <w:hyperlink r:id="rId14">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5">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2" TargetMode="External"/><Relationship Id="rId14" Type="http://schemas.openxmlformats.org/officeDocument/2006/relationships/hyperlink" Target="https://ref.ly/Matt2:1" TargetMode="External"/><Relationship Id="rId15"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