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r>
        <w:rPr>
          <w:lang w:val="hi_IN" w:bidi="hi_IN"/>
        </w:rPr>
        <w:t>रोम 16:23</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r>
        <w:rPr>
          <w:lang w:val="hi_IN" w:bidi="hi_IN"/>
        </w:rPr>
        <w:t>लूका 2:2</w:t>
      </w:r>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r>
        <w:rPr>
          <w:lang w:val="hi_IN" w:bidi="hi_IN"/>
        </w:rPr>
        <w:t>लूका 2:2</w:t>
      </w:r>
      <w:r>
        <w:rPr>
          <w:lang w:val="hi_IN" w:bidi="hi_IN"/>
        </w:rPr>
        <w:t>)। मत्ती कहते हैं कि यह राजा हेरोदेस महान के शासनकाल के दौरान था (</w:t>
      </w:r>
      <w:r>
        <w:rPr>
          <w:lang w:val="hi_IN" w:bidi="hi_IN"/>
        </w:rPr>
        <w:t>मत्ती 2:1</w:t>
      </w:r>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r>
        <w:rPr>
          <w:lang w:val="hi_IN" w:bidi="hi_IN"/>
        </w:rPr>
        <w:t>प्रेरि 5:37</w:t>
      </w:r>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