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r>
        <w:rPr>
          <w:lang w:val="zh_TW" w:bidi="zh_TW"/>
        </w:rPr>
        <w:t>撒下5:11；</w:t>
      </w:r>
      <w:r>
        <w:rPr>
          <w:lang w:val="zh_TW" w:bidi="zh_TW"/>
        </w:rPr>
        <w:t>王上10:14</w:t>
      </w:r>
      <w:r>
        <w:rPr>
          <w:lang w:val="zh_TW" w:bidi="zh_TW"/>
        </w:rPr>
        <w:t>–</w:t>
      </w:r>
      <w:r>
        <w:rPr>
          <w:lang w:val="zh_TW" w:bidi="zh_TW"/>
        </w:rPr>
        <w:t>29</w:t>
      </w:r>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r>
        <w:rPr>
          <w:lang w:val="zh_TW" w:bidi="zh_TW"/>
        </w:rPr>
        <w:t>馬太福音17:24</w:t>
      </w:r>
    </w:p>
    <w:p>
      <w:pPr>
        <w:pStyle w:val="ListBullet"/>
        <w:spacing w:line="240" w:lineRule="auto"/>
        <w:ind w:left="720"/>
      </w:pPr>
      <w:r>
        <w:rPr>
          <w:lang w:val="zh_TW" w:bidi="zh_TW"/>
        </w:rPr>
      </w:r>
      <w:r>
        <w:rPr>
          <w:lang w:val="zh_TW" w:bidi="zh_TW"/>
        </w:rPr>
        <w:t>馬太福音21:12</w:t>
      </w:r>
    </w:p>
    <w:p>
      <w:pPr>
        <w:pStyle w:val="ListBullet"/>
        <w:spacing w:line="240" w:lineRule="auto"/>
        <w:ind w:left="720"/>
      </w:pPr>
      <w:r>
        <w:rPr>
          <w:lang w:val="zh_TW" w:bidi="zh_TW"/>
        </w:rPr>
      </w:r>
      <w:r>
        <w:rPr>
          <w:lang w:val="zh_TW" w:bidi="zh_TW"/>
        </w:rPr>
        <w:t>馬太福音25:27</w:t>
      </w:r>
    </w:p>
    <w:p>
      <w:pPr>
        <w:pStyle w:val="ListBullet"/>
        <w:spacing w:line="240" w:lineRule="auto"/>
        <w:ind w:left="720"/>
      </w:pPr>
      <w:r>
        <w:rPr>
          <w:lang w:val="zh_TW" w:bidi="zh_TW"/>
        </w:rPr>
      </w:r>
      <w:r>
        <w:rPr>
          <w:lang w:val="zh_TW" w:bidi="zh_TW"/>
        </w:rPr>
        <w:t>馬可福音11:15</w:t>
      </w:r>
    </w:p>
    <w:p>
      <w:pPr>
        <w:pStyle w:val="ListBullet"/>
        <w:spacing w:line="240" w:lineRule="auto"/>
        <w:ind w:left="720"/>
      </w:pPr>
      <w:r>
        <w:rPr>
          <w:lang w:val="zh_TW" w:bidi="zh_TW"/>
        </w:rPr>
      </w:r>
      <w:r>
        <w:rPr>
          <w:lang w:val="zh_TW" w:bidi="zh_TW"/>
        </w:rPr>
        <w:t>路加福音19:23</w:t>
      </w:r>
    </w:p>
    <w:p>
      <w:pPr>
        <w:pStyle w:val="ListBullet"/>
        <w:spacing w:line="240" w:lineRule="auto"/>
        <w:ind w:left="720"/>
      </w:pPr>
      <w:r>
        <w:rPr>
          <w:lang w:val="zh_TW" w:bidi="zh_TW"/>
        </w:rPr>
      </w:r>
      <w:r>
        <w:rPr>
          <w:lang w:val="zh_TW" w:bidi="zh_TW"/>
        </w:rPr>
        <w:t>約翰福音2:14</w:t>
      </w:r>
      <w:r>
        <w:rPr>
          <w:lang w:val="zh_TW" w:bidi="zh_TW"/>
        </w:rPr>
        <w:t>–</w:t>
      </w:r>
      <w:r>
        <w:rPr>
          <w:lang w:val="zh_TW" w:bidi="zh_TW"/>
        </w:rPr>
        <w:t>15</w:t>
      </w:r>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r>
        <w:rPr>
          <w:lang w:val="zh_TW" w:bidi="zh_TW"/>
        </w:rPr>
        <w:t>出22:25；</w:t>
      </w:r>
      <w:r>
        <w:rPr>
          <w:lang w:val="zh_TW" w:bidi="zh_TW"/>
        </w:rPr>
        <w:t>申15:1–18</w:t>
      </w:r>
      <w:r>
        <w:rPr>
          <w:lang w:val="zh_TW" w:bidi="zh_TW"/>
        </w:rPr>
        <w:t>）。然而，一些人無視此律法，向借款人收取極高的利息。先知和領袖對這種行為提出譴責（</w:t>
      </w:r>
      <w:r>
        <w:rPr>
          <w:lang w:val="zh_TW" w:bidi="zh_TW"/>
        </w:rPr>
        <w:t>尼5:6</w:t>
      </w:r>
      <w:r>
        <w:rPr>
          <w:lang w:val="zh_TW" w:bidi="zh_TW"/>
        </w:rPr>
        <w:t>–</w:t>
      </w:r>
      <w:r>
        <w:rPr>
          <w:lang w:val="zh_TW" w:bidi="zh_TW"/>
        </w:rPr>
        <w:t>13；</w:t>
      </w:r>
      <w:r>
        <w:rPr>
          <w:lang w:val="zh_TW" w:bidi="zh_TW"/>
        </w:rPr>
        <w:t>結18:8、13、7，</w:t>
      </w:r>
      <w:r>
        <w:rPr>
          <w:lang w:val="zh_TW" w:bidi="zh_TW"/>
        </w:rPr>
        <w:t>22:12</w:t>
      </w:r>
      <w:r>
        <w:rPr>
          <w:lang w:val="zh_TW" w:bidi="zh_TW"/>
        </w:rPr>
        <w:t>）。</w:t>
      </w:r>
    </w:p>
    <w:p>
      <w:pPr/>
      <w:r>
        <w:rPr>
          <w:lang w:val="zh_TW" w:bidi="zh_TW"/>
        </w:rPr>
      </w:r>
      <w:r>
        <w:rPr>
          <w:lang w:val="zh_TW" w:bidi="zh_TW"/>
        </w:rPr>
        <w:t>以色列人經常害怕債主（</w:t>
      </w:r>
      <w:r>
        <w:rPr>
          <w:lang w:val="zh_TW" w:bidi="zh_TW"/>
        </w:rPr>
        <w:t>王下4:1；</w:t>
      </w:r>
      <w:r>
        <w:rPr>
          <w:lang w:val="zh_TW" w:bidi="zh_TW"/>
        </w:rPr>
        <w:t>詩109:11；</w:t>
      </w:r>
      <w:r>
        <w:rPr>
          <w:lang w:val="zh_TW" w:bidi="zh_TW"/>
        </w:rPr>
        <w:t>賽24:2，</w:t>
      </w:r>
      <w:r>
        <w:rPr>
          <w:lang w:val="zh_TW" w:bidi="zh_TW"/>
        </w:rPr>
        <w:t>50:1</w:t>
      </w:r>
      <w:r>
        <w:rPr>
          <w:lang w:val="zh_TW" w:bidi="zh_TW"/>
        </w:rPr>
        <w:t>）。債主可以進入欠債人的家中，取走用以償還債務的物品。他們甚至可以把孩子作為奴僕以抵償債務（</w:t>
      </w:r>
      <w:r>
        <w:rPr>
          <w:lang w:val="zh_TW" w:bidi="zh_TW"/>
        </w:rPr>
        <w:t>王下4:1；</w:t>
      </w:r>
      <w:r>
        <w:rPr>
          <w:lang w:val="zh_TW" w:bidi="zh_TW"/>
        </w:rPr>
        <w:t>賽50:1</w:t>
      </w:r>
      <w:r>
        <w:rPr>
          <w:lang w:val="zh_TW" w:bidi="zh_TW"/>
        </w:rPr>
        <w:t>）。在</w:t>
      </w:r>
      <w:r>
        <w:rPr>
          <w:lang w:val="zh_TW" w:bidi="zh_TW"/>
        </w:rPr>
        <w:t>路加福音七章41至42節</w:t>
      </w:r>
      <w:r>
        <w:rPr>
          <w:lang w:val="zh_TW" w:bidi="zh_TW"/>
        </w:rPr>
        <w:t>中，耶穌講述了一個關於仁慈債主的故事。這個故事被稱為比喻。類似的故事還記載於</w:t>
      </w:r>
      <w:r>
        <w:rPr>
          <w:lang w:val="zh_TW" w:bidi="zh_TW"/>
        </w:rPr>
        <w:t>馬太福音二十五章14至30節</w:t>
      </w:r>
      <w:r>
        <w:rPr>
          <w:lang w:val="zh_TW" w:bidi="zh_TW"/>
        </w:rPr>
        <w:t>和</w:t>
      </w:r>
      <w:r>
        <w:rPr>
          <w:lang w:val="zh_TW" w:bidi="zh_TW"/>
        </w:rPr>
        <w:t>路加福音十九章11至27節</w:t>
      </w:r>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r>
        <w:rPr>
          <w:lang w:val="zh_TW" w:bidi="zh_TW"/>
        </w:rPr>
        <w:t>創20:16</w:t>
      </w:r>
      <w:r>
        <w:rPr>
          <w:lang w:val="zh_TW" w:bidi="zh_TW"/>
        </w:rPr>
        <w:t>，</w:t>
      </w:r>
      <w:r>
        <w:rPr>
          <w:lang w:val="zh_TW" w:bidi="zh_TW"/>
        </w:rPr>
        <w:t>37:28</w:t>
      </w:r>
      <w:r>
        <w:rPr>
          <w:lang w:val="zh_TW" w:bidi="zh_TW"/>
        </w:rPr>
        <w:t>；</w:t>
      </w:r>
      <w:r>
        <w:rPr>
          <w:lang w:val="zh_TW" w:bidi="zh_TW"/>
        </w:rPr>
        <w:t>士17:2</w:t>
      </w:r>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r>
        <w:rPr>
          <w:lang w:val="zh_TW" w:bidi="zh_TW"/>
        </w:rPr>
        <w:t>出30:11–16</w:t>
      </w:r>
      <w:r>
        <w:rPr>
          <w:lang w:val="zh_TW" w:bidi="zh_TW"/>
        </w:rPr>
        <w:t>）。來自各國的猶太人來繳納這筆款項時，可能會帶來各種不同的銀錢。聖殿當局必須授權一種適合此用途的銀錢。這就是泰爾的銀幣，即半舍客勒或四德拉克馬（tetradrachma，參</w:t>
      </w:r>
      <w:r>
        <w:rPr>
          <w:lang w:val="zh_TW" w:bidi="zh_TW"/>
        </w:rPr>
        <w:t>太17:27</w:t>
      </w:r>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r>
        <w:rPr>
          <w:lang w:val="zh_TW" w:bidi="zh_TW"/>
        </w:rPr>
        <w:t>太21:12–13</w:t>
      </w:r>
      <w:r>
        <w:rPr>
          <w:lang w:val="zh_TW" w:bidi="zh_TW"/>
        </w:rPr>
        <w:t>；</w:t>
      </w:r>
      <w:r>
        <w:rPr>
          <w:lang w:val="zh_TW" w:bidi="zh_TW"/>
        </w:rPr>
        <w:t>可11:15–16</w:t>
      </w:r>
      <w:r>
        <w:rPr>
          <w:lang w:val="zh_TW" w:bidi="zh_TW"/>
        </w:rPr>
        <w:t>；</w:t>
      </w:r>
      <w:r>
        <w:rPr>
          <w:lang w:val="zh_TW" w:bidi="zh_TW"/>
        </w:rPr>
        <w:t>路19:45–46</w:t>
      </w:r>
      <w:r>
        <w:rPr>
          <w:lang w:val="zh_TW" w:bidi="zh_TW"/>
        </w:rPr>
        <w:t>；</w:t>
      </w:r>
      <w:r>
        <w:rPr>
          <w:lang w:val="zh_TW" w:bidi="zh_TW"/>
        </w:rPr>
        <w:t>約2:13–22</w:t>
      </w:r>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r>
        <w:rPr>
          <w:lang w:val="zh_TW" w:bidi="zh_TW"/>
        </w:rPr>
        <w:t>可11:16</w:t>
      </w:r>
      <w:r>
        <w:rPr>
          <w:lang w:val="zh_TW" w:bidi="zh_TW"/>
        </w:rPr>
        <w:t>），即便耶穌明顯認可繳納聖殿稅這事（</w:t>
      </w:r>
      <w:r>
        <w:rPr>
          <w:lang w:val="zh_TW" w:bidi="zh_TW"/>
        </w:rPr>
        <w:t>太8:4</w:t>
      </w:r>
      <w:r>
        <w:rPr>
          <w:lang w:val="zh_TW" w:bidi="zh_TW"/>
        </w:rPr>
        <w:t>，</w:t>
      </w:r>
      <w:r>
        <w:rPr>
          <w:lang w:val="zh_TW" w:bidi="zh_TW"/>
        </w:rPr>
        <w:t>17:24–26</w:t>
      </w:r>
      <w:r>
        <w:rPr>
          <w:lang w:val="zh_TW" w:bidi="zh_TW"/>
        </w:rPr>
        <w:t>；</w:t>
      </w:r>
      <w:r>
        <w:rPr>
          <w:lang w:val="zh_TW" w:bidi="zh_TW"/>
        </w:rPr>
        <w:t>可1:44；</w:t>
      </w:r>
      <w:r>
        <w:rPr>
          <w:lang w:val="zh_TW" w:bidi="zh_TW"/>
        </w:rPr>
        <w:t>路5:14</w:t>
      </w:r>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r>
        <w:rPr>
          <w:lang w:val="zh_TW" w:bidi="zh_TW"/>
        </w:rPr>
        <w:t>耶7:11</w:t>
      </w:r>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r>
        <w:rPr>
          <w:lang w:val="zh_TW" w:bidi="zh_TW"/>
        </w:rPr>
        <w:t>可1:1</w:t>
      </w:r>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