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Habakuk 1:1</w:t>
      </w:r>
      <w:r>
        <w:rPr>
          <w:lang w:val="id_ID" w:bidi="id_ID"/>
        </w:rPr>
      </w:r>
    </w:p>
    <w:p>
      <w:pPr/>
      <w:r>
        <w:rPr>
          <w:lang w:val="id_ID" w:bidi="id_ID"/>
        </w:rPr>
      </w:r>
      <w:r>
        <w:rPr>
          <w:lang w:val="id_ID" w:bidi="id_ID"/>
        </w:rPr>
        <w:t xml:space="preserve">Kata </w:t>
      </w:r>
      <w:r>
        <w:rPr>
          <w:i/>
          <w:lang w:val="id_ID" w:bidi="id_ID"/>
        </w:rPr>
        <w:t>ucapan ilahi</w:t>
      </w:r>
      <w:r>
        <w:rPr>
          <w:lang w:val="id_ID" w:bidi="id_ID"/>
        </w:rPr>
        <w:t xml:space="preserve"> mengidentifikasi kitab ini sebagai wahyu Allah melalui nabi-Nya (bdk. </w:t>
      </w:r>
      <w:hyperlink r:id="rId13">
        <w:r>
          <w:rPr>
            <w:lang w:val="id_ID" w:bidi="id_ID"/>
          </w:rPr>
          <w:rPr>
            <w:color w:val="0000EE"/>
            <w:u w:val="single"/>
          </w:rPr>
          <w:t>Nah. 1:1</w:t>
        </w:r>
      </w:hyperlink>
      <w:r>
        <w:rPr>
          <w:lang w:val="id_ID" w:bidi="id_ID"/>
        </w:rPr>
        <w:t xml:space="preserve">; </w:t>
      </w:r>
      <w:hyperlink r:id="rId14">
        <w:r>
          <w:rPr>
            <w:lang w:val="id_ID" w:bidi="id_ID"/>
          </w:rPr>
          <w:rPr>
            <w:color w:val="0000EE"/>
            <w:u w:val="single"/>
          </w:rPr>
          <w:t>Mal.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w:t>
      </w:r>
      <w:r>
        <w:rPr>
          <w:lang w:val="id_ID" w:bidi="id_ID"/>
        </w:rPr>
      </w:r>
    </w:p>
    <w:p>
      <w:pPr/>
      <w:r>
        <w:rPr>
          <w:lang w:val="id_ID" w:bidi="id_ID"/>
        </w:rPr>
      </w:r>
      <w:r>
        <w:rPr>
          <w:lang w:val="id_ID" w:bidi="id_ID"/>
        </w:rPr>
        <w:t xml:space="preserve">berteriak ... berseru ... tetapi tidak Kautolong: Motif berteriak atau berseru dalam Kitab Suci biasanya menunjukkan kepercayaan pembicara kepada Allah sebagai tempat perlindungan atau penuntun (lihat </w:t>
      </w:r>
      <w:hyperlink r:id="rId15">
        <w:r>
          <w:rPr>
            <w:lang w:val="id_ID" w:bidi="id_ID"/>
          </w:rPr>
          <w:rPr>
            <w:color w:val="0000EE"/>
            <w:u w:val="single"/>
          </w:rPr>
          <w:t>Mzm 102:1–2</w:t>
        </w:r>
      </w:hyperlink>
      <w:r>
        <w:rPr>
          <w:lang w:val="id_ID" w:bidi="id_ID"/>
        </w:rPr>
        <w:t>) dan menunjukkan hubungan yang karib antara orang beriman dan Allah (</w:t>
      </w:r>
      <w:hyperlink r:id="rId16">
        <w:r>
          <w:rPr>
            <w:lang w:val="id_ID" w:bidi="id_ID"/>
          </w:rPr>
          <w:rPr>
            <w:color w:val="0000EE"/>
            <w:u w:val="single"/>
          </w:rPr>
          <w:t>Mzm 145:18</w:t>
        </w:r>
      </w:hyperlink>
      <w:r>
        <w:rPr>
          <w:lang w:val="id_ID" w:bidi="id_ID"/>
        </w:rPr>
        <w:t xml:space="preserve">; </w:t>
      </w:r>
      <w:hyperlink r:id="rId17">
        <w:r>
          <w:rPr>
            <w:lang w:val="id_ID" w:bidi="id_ID"/>
          </w:rPr>
          <w:rPr>
            <w:color w:val="0000EE"/>
            <w:u w:val="single"/>
          </w:rPr>
          <w:t>Yes 65:24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1:2–4</w:t>
      </w:r>
      <w:r>
        <w:rPr>
          <w:lang w:val="id_ID" w:bidi="id_ID"/>
        </w:rPr>
      </w:r>
    </w:p>
    <w:p>
      <w:pPr/>
      <w:r>
        <w:rPr>
          <w:lang w:val="id_ID" w:bidi="id_ID"/>
        </w:rPr>
      </w:r>
      <w:r>
        <w:rPr>
          <w:lang w:val="id_ID" w:bidi="id_ID"/>
        </w:rPr>
        <w:t>Bagi Habakuk, Allah tampak tidak peduli terhadap kejahatan yang merajalela di tengah masyarakat Yehuda (</w:t>
      </w:r>
      <w:hyperlink r:id="rId18">
        <w:r>
          <w:rPr>
            <w:lang w:val="id_ID" w:bidi="id_ID"/>
          </w:rPr>
          <w:rPr>
            <w:color w:val="0000EE"/>
            <w:u w:val="single"/>
          </w:rPr>
          <w:t>Hab. 1:3–4</w:t>
        </w:r>
      </w:hyperlink>
      <w:r>
        <w:rPr>
          <w:lang w:val="id_ID" w:bidi="id_ID"/>
        </w:rPr>
        <w:t>) dan tidak menanggapi keluhannya mengenai hal tersebut (</w:t>
      </w:r>
      <w:hyperlink r:id="rId19">
        <w:r>
          <w:rPr>
            <w:lang w:val="id_ID" w:bidi="id_ID"/>
          </w:rPr>
          <w:rPr>
            <w:color w:val="0000EE"/>
            <w:u w:val="single"/>
          </w:rPr>
          <w:t>Hab.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Habakuk 1:3</w:t>
      </w:r>
      <w:r>
        <w:rPr>
          <w:lang w:val="id_ID" w:bidi="id_ID"/>
        </w:rPr>
      </w:r>
    </w:p>
    <w:p>
      <w:pPr/>
      <w:r>
        <w:rPr>
          <w:lang w:val="id_ID" w:bidi="id_ID"/>
        </w:rPr>
      </w:r>
      <w:r>
        <w:rPr>
          <w:lang w:val="id_ID" w:bidi="id_ID"/>
        </w:rPr>
        <w:t xml:space="preserve">Pada zaman Habakuk, kehancuran dan kekerasan merajalela di masyarakat Yudea (lihat </w:t>
      </w:r>
      <w:r>
        <w:rPr>
          <w:lang w:val="id_ID" w:bidi="id_ID"/>
        </w:rPr>
        <w:t>Pengantar Kitab Habakuk</w:t>
      </w:r>
      <w:r>
        <w:rPr>
          <w:lang w:val="id_ID" w:bidi="id_ID"/>
        </w:rPr>
        <w:t>, "Latar").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