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4">
        <w:r>
          <w:rPr>
            <w:lang w:val="ar_AE" w:bidi="ar_AE"/>
          </w:rPr>
          <w:rPr>
            <w:color w:val="0000EE"/>
            <w:u w:val="single"/>
          </w:rPr>
          <w:t>1:1–6</w:t>
        </w:r>
      </w:hyperlink>
      <w:r>
        <w:rPr>
          <w:lang w:val="ar_AE" w:bidi="ar_AE"/>
        </w:rPr>
        <w:t>) وتحث قراءها على التوبة (</w:t>
      </w:r>
      <w:hyperlink r:id="rId15">
        <w:r>
          <w:rPr>
            <w:lang w:val="ar_AE" w:bidi="ar_AE"/>
          </w:rPr>
          <w:rPr>
            <w:color w:val="0000EE"/>
            <w:u w:val="single"/>
          </w:rPr>
          <w:t>1:7–13</w:t>
        </w:r>
      </w:hyperlink>
      <w:r>
        <w:rPr>
          <w:lang w:val="ar_AE" w:bidi="ar_AE"/>
        </w:rPr>
        <w:t>) قبل أن تحل بهم الكارثة (</w:t>
      </w:r>
      <w:hyperlink r:id="rId16">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18">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0">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1">
        <w:r>
          <w:rPr>
            <w:lang w:val="ar_AE" w:bidi="ar_AE"/>
          </w:rPr>
          <w:rPr>
            <w:color w:val="0000EE"/>
            <w:u w:val="single"/>
          </w:rPr>
          <w:t>تثنية 4: 15–19</w:t>
        </w:r>
      </w:hyperlink>
      <w:r>
        <w:rPr>
          <w:lang w:val="ar_AE" w:bidi="ar_AE"/>
        </w:rPr>
        <w:t xml:space="preserve">؛ </w:t>
      </w:r>
      <w:hyperlink r:id="rId22">
        <w:r>
          <w:rPr>
            <w:lang w:val="ar_AE" w:bidi="ar_AE"/>
          </w:rPr>
          <w:rPr>
            <w:color w:val="0000EE"/>
            <w:u w:val="single"/>
          </w:rPr>
          <w:t>2ملوك 21: 3</w:t>
        </w:r>
      </w:hyperlink>
      <w:r>
        <w:rPr>
          <w:lang w:val="ar_AE" w:bidi="ar_AE"/>
        </w:rPr>
        <w:t xml:space="preserve">؛ </w:t>
      </w:r>
      <w:hyperlink r:id="rId23">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lang w:val="ar_AE" w:bidi="ar_AE"/>
          </w:rPr>
          <w:rPr>
            <w:color w:val="0000EE"/>
            <w:u w:val="single"/>
          </w:rPr>
          <w:t>لاويين 20: 1–5</w:t>
        </w:r>
      </w:hyperlink>
      <w:r>
        <w:rPr>
          <w:lang w:val="ar_AE" w:bidi="ar_AE"/>
        </w:rPr>
        <w:t>)، إلا أنها ظلت تشكل إغراءً مستمرًا لإسرائيل (</w:t>
      </w:r>
      <w:hyperlink r:id="rId25">
        <w:r>
          <w:rPr>
            <w:lang w:val="ar_AE" w:bidi="ar_AE"/>
          </w:rPr>
          <w:rPr>
            <w:color w:val="0000EE"/>
            <w:u w:val="single"/>
          </w:rPr>
          <w:t>2ملوك 16: 3</w:t>
        </w:r>
      </w:hyperlink>
      <w:r>
        <w:rPr>
          <w:lang w:val="ar_AE" w:bidi="ar_AE"/>
        </w:rPr>
        <w:t xml:space="preserve">؛ </w:t>
      </w:r>
      <w:hyperlink r:id="rId26">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28">
        <w:r>
          <w:rPr>
            <w:lang w:val="ar_AE" w:bidi="ar_AE"/>
          </w:rPr>
          <w:rPr>
            <w:color w:val="0000EE"/>
            <w:u w:val="single"/>
          </w:rPr>
          <w:t>عدد 1:4</w:t>
        </w:r>
      </w:hyperlink>
      <w:r>
        <w:rPr>
          <w:lang w:val="ar_AE" w:bidi="ar_AE"/>
        </w:rPr>
        <w:t>)، وموظفي البلاط (</w:t>
      </w:r>
      <w:hyperlink r:id="rId29">
        <w:r>
          <w:rPr>
            <w:lang w:val="ar_AE" w:bidi="ar_AE"/>
          </w:rPr>
          <w:rPr>
            <w:color w:val="0000EE"/>
            <w:u w:val="single"/>
          </w:rPr>
          <w:t>1 أخبار 22:17</w:t>
        </w:r>
      </w:hyperlink>
      <w:r>
        <w:rPr>
          <w:lang w:val="ar_AE" w:bidi="ar_AE"/>
        </w:rPr>
        <w:t>)، ورؤساء المقاطعات (</w:t>
      </w:r>
      <w:hyperlink r:id="rId30">
        <w:r>
          <w:rPr>
            <w:lang w:val="ar_AE" w:bidi="ar_AE"/>
          </w:rPr>
          <w:rPr>
            <w:color w:val="0000EE"/>
            <w:u w:val="single"/>
          </w:rPr>
          <w:t>1 ملوك 20:14–15</w:t>
        </w:r>
      </w:hyperlink>
      <w:r>
        <w:rPr>
          <w:lang w:val="ar_AE" w:bidi="ar_AE"/>
        </w:rPr>
        <w:t>)، ورؤساء المدن (</w:t>
      </w:r>
      <w:hyperlink r:id="rId31">
        <w:r>
          <w:rPr>
            <w:lang w:val="ar_AE" w:bidi="ar_AE"/>
          </w:rPr>
          <w:rPr>
            <w:color w:val="0000EE"/>
            <w:u w:val="single"/>
          </w:rPr>
          <w:t>قضاة 8:6</w:t>
        </w:r>
      </w:hyperlink>
      <w:r>
        <w:rPr>
          <w:lang w:val="ar_AE" w:bidi="ar_AE"/>
        </w:rPr>
        <w:t>)، والقادة العسكريين (</w:t>
      </w:r>
      <w:hyperlink r:id="rId32">
        <w:r>
          <w:rPr>
            <w:lang w:val="ar_AE" w:bidi="ar_AE"/>
          </w:rPr>
          <w:rPr>
            <w:color w:val="0000EE"/>
            <w:u w:val="single"/>
          </w:rPr>
          <w:t>1 ملوك 2:5</w:t>
        </w:r>
      </w:hyperlink>
      <w:r>
        <w:rPr>
          <w:lang w:val="ar_AE" w:bidi="ar_AE"/>
        </w:rPr>
        <w:t xml:space="preserve">؛ </w:t>
      </w:r>
      <w:hyperlink r:id="rId33">
        <w:r>
          <w:rPr>
            <w:lang w:val="ar_AE" w:bidi="ar_AE"/>
          </w:rPr>
          <w:rPr>
            <w:color w:val="0000EE"/>
            <w:u w:val="single"/>
          </w:rPr>
          <w:t>2 ملوك 1:9–14</w:t>
        </w:r>
      </w:hyperlink>
      <w:r>
        <w:rPr>
          <w:lang w:val="ar_AE" w:bidi="ar_AE"/>
        </w:rPr>
        <w:t xml:space="preserve">؛ </w:t>
      </w:r>
      <w:hyperlink r:id="rId34">
        <w:r>
          <w:rPr>
            <w:lang w:val="ar_AE" w:bidi="ar_AE"/>
          </w:rPr>
          <w:rPr>
            <w:color w:val="0000EE"/>
            <w:u w:val="single"/>
          </w:rPr>
          <w:t>25:23</w:t>
        </w:r>
      </w:hyperlink>
      <w:r>
        <w:rPr>
          <w:lang w:val="ar_AE" w:bidi="ar_AE"/>
        </w:rPr>
        <w:t xml:space="preserve">، </w:t>
      </w:r>
      <w:hyperlink r:id="rId35">
        <w:r>
          <w:rPr>
            <w:lang w:val="ar_AE" w:bidi="ar_AE"/>
          </w:rPr>
          <w:rPr>
            <w:color w:val="0000EE"/>
            <w:u w:val="single"/>
          </w:rPr>
          <w:t>26</w:t>
        </w:r>
      </w:hyperlink>
      <w:r>
        <w:rPr>
          <w:lang w:val="ar_AE" w:bidi="ar_AE"/>
        </w:rPr>
        <w:t>)، أو حتى القادة الدينيين (</w:t>
      </w:r>
      <w:hyperlink r:id="rId36">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7">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39">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0">
        <w:r>
          <w:rPr>
            <w:lang w:val="ar_AE" w:bidi="ar_AE"/>
          </w:rPr>
          <w:rPr>
            <w:color w:val="0000EE"/>
            <w:u w:val="single"/>
          </w:rPr>
          <w:t>إشعياء 13:9–10</w:t>
        </w:r>
      </w:hyperlink>
      <w:r>
        <w:rPr>
          <w:lang w:val="ar_AE" w:bidi="ar_AE"/>
        </w:rPr>
        <w:t xml:space="preserve">؛ </w:t>
      </w:r>
      <w:hyperlink r:id="rId41">
        <w:r>
          <w:rPr>
            <w:lang w:val="ar_AE" w:bidi="ar_AE"/>
          </w:rPr>
          <w:rPr>
            <w:color w:val="0000EE"/>
            <w:u w:val="single"/>
          </w:rPr>
          <w:t>يوئيل 2:1–2</w:t>
        </w:r>
      </w:hyperlink>
      <w:r>
        <w:rPr>
          <w:lang w:val="ar_AE" w:bidi="ar_AE"/>
        </w:rPr>
        <w:t xml:space="preserve">؛ </w:t>
      </w:r>
      <w:hyperlink r:id="rId42">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3">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4">
        <w:r>
          <w:rPr>
            <w:lang w:val="ar_AE" w:bidi="ar_AE"/>
          </w:rPr>
          <w:rPr>
            <w:color w:val="0000EE"/>
            <w:u w:val="single"/>
          </w:rPr>
          <w:t>خروج 23:8</w:t>
        </w:r>
      </w:hyperlink>
      <w:r>
        <w:rPr>
          <w:lang w:val="ar_AE" w:bidi="ar_AE"/>
        </w:rPr>
        <w:t xml:space="preserve">؛ </w:t>
      </w:r>
      <w:hyperlink r:id="rId45">
        <w:r>
          <w:rPr>
            <w:lang w:val="ar_AE" w:bidi="ar_AE"/>
          </w:rPr>
          <w:rPr>
            <w:color w:val="0000EE"/>
            <w:u w:val="single"/>
          </w:rPr>
          <w:t>رومية 2:19</w:t>
        </w:r>
      </w:hyperlink>
      <w:r>
        <w:rPr>
          <w:lang w:val="ar_AE" w:bidi="ar_AE"/>
        </w:rPr>
        <w:t xml:space="preserve">؛ </w:t>
      </w:r>
      <w:hyperlink r:id="rId46">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7">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48">
        <w:r>
          <w:rPr>
            <w:lang w:val="ar_AE" w:bidi="ar_AE"/>
          </w:rPr>
          <w:rPr>
            <w:color w:val="0000EE"/>
            <w:u w:val="single"/>
          </w:rPr>
          <w:t>مزمور 18:25–27</w:t>
        </w:r>
      </w:hyperlink>
      <w:r>
        <w:rPr>
          <w:lang w:val="ar_AE" w:bidi="ar_AE"/>
        </w:rPr>
        <w:t xml:space="preserve">؛ </w:t>
      </w:r>
      <w:hyperlink r:id="rId49">
        <w:r>
          <w:rPr>
            <w:lang w:val="ar_AE" w:bidi="ar_AE"/>
          </w:rPr>
          <w:rPr>
            <w:color w:val="0000EE"/>
            <w:u w:val="single"/>
          </w:rPr>
          <w:t>119:142–144</w:t>
        </w:r>
      </w:hyperlink>
      <w:r>
        <w:rPr>
          <w:lang w:val="ar_AE" w:bidi="ar_AE"/>
        </w:rPr>
        <w:t xml:space="preserve">؛ </w:t>
      </w:r>
      <w:hyperlink r:id="rId50">
        <w:r>
          <w:rPr>
            <w:lang w:val="ar_AE" w:bidi="ar_AE"/>
          </w:rPr>
          <w:rPr>
            <w:color w:val="0000EE"/>
            <w:u w:val="single"/>
          </w:rPr>
          <w:t>أمثال 15:33</w:t>
        </w:r>
      </w:hyperlink>
      <w:r>
        <w:rPr>
          <w:lang w:val="ar_AE" w:bidi="ar_AE"/>
        </w:rPr>
        <w:t xml:space="preserve">؛ </w:t>
      </w:r>
      <w:hyperlink r:id="rId51">
        <w:r>
          <w:rPr>
            <w:lang w:val="ar_AE" w:bidi="ar_AE"/>
          </w:rPr>
          <w:rPr>
            <w:color w:val="0000EE"/>
            <w:u w:val="single"/>
          </w:rPr>
          <w:t>18:12</w:t>
        </w:r>
      </w:hyperlink>
      <w:r>
        <w:rPr>
          <w:lang w:val="ar_AE" w:bidi="ar_AE"/>
        </w:rPr>
        <w:t xml:space="preserve">؛ </w:t>
      </w:r>
      <w:hyperlink r:id="rId52">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4">
        <w:r>
          <w:rPr>
            <w:lang w:val="ar_AE" w:bidi="ar_AE"/>
          </w:rPr>
          <w:rPr>
            <w:color w:val="0000EE"/>
            <w:u w:val="single"/>
          </w:rPr>
          <w:t>2:4–7</w:t>
        </w:r>
      </w:hyperlink>
      <w:r>
        <w:rPr>
          <w:lang w:val="ar_AE" w:bidi="ar_AE"/>
        </w:rPr>
        <w:t>). ثم انتقل إلى موآب وعمون في الشرق (</w:t>
      </w:r>
      <w:hyperlink r:id="rId55">
        <w:r>
          <w:rPr>
            <w:lang w:val="ar_AE" w:bidi="ar_AE"/>
          </w:rPr>
          <w:rPr>
            <w:color w:val="0000EE"/>
            <w:u w:val="single"/>
          </w:rPr>
          <w:t>2:8–11</w:t>
        </w:r>
      </w:hyperlink>
      <w:r>
        <w:rPr>
          <w:lang w:val="ar_AE" w:bidi="ar_AE"/>
        </w:rPr>
        <w:t>)، وأخيرًا خص كوش (أثيوبيا) إلى الجنوب (</w:t>
      </w:r>
      <w:hyperlink r:id="rId56">
        <w:r>
          <w:rPr>
            <w:lang w:val="ar_AE" w:bidi="ar_AE"/>
          </w:rPr>
          <w:rPr>
            <w:color w:val="0000EE"/>
            <w:u w:val="single"/>
          </w:rPr>
          <w:t>2:12</w:t>
        </w:r>
      </w:hyperlink>
      <w:r>
        <w:rPr>
          <w:lang w:val="ar_AE" w:bidi="ar_AE"/>
        </w:rPr>
        <w:t>) وأشور إلى الشمال (</w:t>
      </w:r>
      <w:hyperlink r:id="rId57">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58">
        <w:r>
          <w:rPr>
            <w:lang w:val="ar_AE" w:bidi="ar_AE"/>
          </w:rPr>
          <w:rPr>
            <w:color w:val="0000EE"/>
            <w:u w:val="single"/>
          </w:rPr>
          <w:t>2:4–15</w:t>
        </w:r>
      </w:hyperlink>
      <w:r>
        <w:rPr>
          <w:lang w:val="ar_AE" w:bidi="ar_AE"/>
        </w:rPr>
        <w:t>) قبل أن يعود إلى دينونة يهوذا وأورشليم (</w:t>
      </w:r>
      <w:hyperlink r:id="rId59">
        <w:r>
          <w:rPr>
            <w:lang w:val="ar_AE" w:bidi="ar_AE"/>
          </w:rPr>
          <w:rPr>
            <w:color w:val="0000EE"/>
            <w:u w:val="single"/>
          </w:rPr>
          <w:t>3:1–8</w:t>
        </w:r>
      </w:hyperlink>
      <w:r>
        <w:rPr>
          <w:lang w:val="ar_AE" w:bidi="ar_AE"/>
        </w:rPr>
        <w:t>). ثم يوضح خطط الله لشعبه المُطهَّر والطائع (</w:t>
      </w:r>
      <w:hyperlink r:id="rId60">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1">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lang w:val="ar_AE" w:bidi="ar_AE"/>
          </w:rPr>
          <w:rPr>
            <w:color w:val="0000EE"/>
            <w:u w:val="single"/>
          </w:rPr>
          <w:t>إشعياء 7:23–25</w:t>
        </w:r>
      </w:hyperlink>
      <w:r>
        <w:rPr>
          <w:lang w:val="ar_AE" w:bidi="ar_AE"/>
        </w:rPr>
        <w:t xml:space="preserve">؛ </w:t>
      </w:r>
      <w:hyperlink r:id="rId63">
        <w:r>
          <w:rPr>
            <w:lang w:val="ar_AE" w:bidi="ar_AE"/>
          </w:rPr>
          <w:rPr>
            <w:color w:val="0000EE"/>
            <w:u w:val="single"/>
          </w:rPr>
          <w:t>13:19–21</w:t>
        </w:r>
      </w:hyperlink>
      <w:r>
        <w:rPr>
          <w:lang w:val="ar_AE" w:bidi="ar_AE"/>
        </w:rPr>
        <w:t xml:space="preserve">؛ </w:t>
      </w:r>
      <w:hyperlink r:id="rId64">
        <w:r>
          <w:rPr>
            <w:lang w:val="ar_AE" w:bidi="ar_AE"/>
          </w:rPr>
          <w:rPr>
            <w:color w:val="0000EE"/>
            <w:u w:val="single"/>
          </w:rPr>
          <w:t>32:9–15</w:t>
        </w:r>
      </w:hyperlink>
      <w:r>
        <w:rPr>
          <w:lang w:val="ar_AE" w:bidi="ar_AE"/>
        </w:rPr>
        <w:t xml:space="preserve">؛ </w:t>
      </w:r>
      <w:hyperlink r:id="rId65">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6">
        <w:r>
          <w:rPr>
            <w:lang w:val="ar_AE" w:bidi="ar_AE"/>
          </w:rPr>
          <w:rPr>
            <w:color w:val="0000EE"/>
            <w:u w:val="single"/>
          </w:rPr>
          <w:t>1:4</w:t>
        </w:r>
      </w:hyperlink>
      <w:r>
        <w:rPr>
          <w:lang w:val="ar_AE" w:bidi="ar_AE"/>
        </w:rPr>
        <w:t>) والفلسطينيين لن يعودوا أبدًا (</w:t>
      </w:r>
      <w:hyperlink r:id="rId67">
        <w:r>
          <w:rPr>
            <w:lang w:val="ar_AE" w:bidi="ar_AE"/>
          </w:rPr>
          <w:rPr>
            <w:color w:val="0000EE"/>
            <w:u w:val="single"/>
          </w:rPr>
          <w:t>2:4–6</w:t>
        </w:r>
      </w:hyperlink>
      <w:r>
        <w:rPr>
          <w:lang w:val="ar_AE" w:bidi="ar_AE"/>
        </w:rPr>
        <w:t xml:space="preserve">؛ انظر أيضًا </w:t>
      </w:r>
      <w:hyperlink r:id="rId68">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69">
        <w:r>
          <w:rPr>
            <w:lang w:val="ar_AE" w:bidi="ar_AE"/>
          </w:rPr>
          <w:rPr>
            <w:color w:val="0000EE"/>
            <w:u w:val="single"/>
          </w:rPr>
          <w:t>صفنيا 3:18–20</w:t>
        </w:r>
      </w:hyperlink>
      <w:r>
        <w:rPr>
          <w:lang w:val="ar_AE" w:bidi="ar_AE"/>
        </w:rPr>
        <w:t xml:space="preserve">؛ </w:t>
      </w:r>
      <w:hyperlink r:id="rId70">
        <w:r>
          <w:rPr>
            <w:lang w:val="ar_AE" w:bidi="ar_AE"/>
          </w:rPr>
          <w:rPr>
            <w:color w:val="0000EE"/>
            <w:u w:val="single"/>
          </w:rPr>
          <w:t>إشعياء 11:11–16</w:t>
        </w:r>
      </w:hyperlink>
      <w:r>
        <w:rPr>
          <w:lang w:val="ar_AE" w:bidi="ar_AE"/>
        </w:rPr>
        <w:t xml:space="preserve">؛ </w:t>
      </w:r>
      <w:hyperlink r:id="rId71">
        <w:r>
          <w:rPr>
            <w:lang w:val="ar_AE" w:bidi="ar_AE"/>
          </w:rPr>
          <w:rPr>
            <w:color w:val="0000EE"/>
            <w:u w:val="single"/>
          </w:rPr>
          <w:t>أرميا 23:1–8</w:t>
        </w:r>
      </w:hyperlink>
      <w:r>
        <w:rPr>
          <w:lang w:val="ar_AE" w:bidi="ar_AE"/>
        </w:rPr>
        <w:t xml:space="preserve">؛ </w:t>
      </w:r>
      <w:hyperlink r:id="rId72">
        <w:r>
          <w:rPr>
            <w:lang w:val="ar_AE" w:bidi="ar_AE"/>
          </w:rPr>
          <w:rPr>
            <w:color w:val="0000EE"/>
            <w:u w:val="single"/>
          </w:rPr>
          <w:t>حزقيال 34:11–16</w:t>
        </w:r>
      </w:hyperlink>
      <w:r>
        <w:rPr>
          <w:lang w:val="ar_AE" w:bidi="ar_AE"/>
        </w:rPr>
        <w:t xml:space="preserve">، </w:t>
      </w:r>
      <w:hyperlink r:id="rId7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4">
        <w:r>
          <w:rPr>
            <w:lang w:val="ar_AE" w:bidi="ar_AE"/>
          </w:rPr>
          <w:rPr>
            <w:color w:val="0000EE"/>
            <w:u w:val="single"/>
          </w:rPr>
          <w:t>2 ملوك 3:1–27</w:t>
        </w:r>
      </w:hyperlink>
      <w:r>
        <w:rPr>
          <w:lang w:val="ar_AE" w:bidi="ar_AE"/>
        </w:rPr>
        <w:t xml:space="preserve">؛ </w:t>
      </w:r>
      <w:hyperlink r:id="rId75">
        <w:r>
          <w:rPr>
            <w:lang w:val="ar_AE" w:bidi="ar_AE"/>
          </w:rPr>
          <w:rPr>
            <w:color w:val="0000EE"/>
            <w:u w:val="single"/>
          </w:rPr>
          <w:t>2 أخبار الأيام 20:1–30</w:t>
        </w:r>
      </w:hyperlink>
      <w:r>
        <w:rPr>
          <w:lang w:val="ar_AE" w:bidi="ar_AE"/>
        </w:rPr>
        <w:t>)، وظلوا أعداء لإسرائيل حتى النهاية (</w:t>
      </w:r>
      <w:hyperlink r:id="rId76">
        <w:r>
          <w:rPr>
            <w:lang w:val="ar_AE" w:bidi="ar_AE"/>
          </w:rPr>
          <w:rPr>
            <w:color w:val="0000EE"/>
            <w:u w:val="single"/>
          </w:rPr>
          <w:t>2 ملوك 25:25</w:t>
        </w:r>
      </w:hyperlink>
      <w:r>
        <w:rPr>
          <w:lang w:val="ar_AE" w:bidi="ar_AE"/>
        </w:rPr>
        <w:t xml:space="preserve">؛ </w:t>
      </w:r>
      <w:hyperlink r:id="rId77">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78">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79">
        <w:r>
          <w:rPr>
            <w:lang w:val="ar_AE" w:bidi="ar_AE"/>
          </w:rPr>
          <w:rPr>
            <w:color w:val="0000EE"/>
            <w:u w:val="single"/>
          </w:rPr>
          <w:t>تثنية 29:23</w:t>
        </w:r>
      </w:hyperlink>
      <w:r>
        <w:rPr>
          <w:lang w:val="ar_AE" w:bidi="ar_AE"/>
        </w:rPr>
        <w:t xml:space="preserve">؛ </w:t>
      </w:r>
      <w:hyperlink r:id="rId80">
        <w:r>
          <w:rPr>
            <w:lang w:val="ar_AE" w:bidi="ar_AE"/>
          </w:rPr>
          <w:rPr>
            <w:color w:val="0000EE"/>
            <w:u w:val="single"/>
          </w:rPr>
          <w:t>إشعياء 1:9</w:t>
        </w:r>
      </w:hyperlink>
      <w:r>
        <w:rPr>
          <w:lang w:val="ar_AE" w:bidi="ar_AE"/>
        </w:rPr>
        <w:t xml:space="preserve">؛ </w:t>
      </w:r>
      <w:hyperlink r:id="rId81">
        <w:r>
          <w:rPr>
            <w:lang w:val="ar_AE" w:bidi="ar_AE"/>
          </w:rPr>
          <w:rPr>
            <w:color w:val="0000EE"/>
            <w:u w:val="single"/>
          </w:rPr>
          <w:t>إرميا 23:14</w:t>
        </w:r>
      </w:hyperlink>
      <w:r>
        <w:rPr>
          <w:lang w:val="ar_AE" w:bidi="ar_AE"/>
        </w:rPr>
        <w:t xml:space="preserve">؛ </w:t>
      </w:r>
      <w:hyperlink r:id="rId82">
        <w:r>
          <w:rPr>
            <w:lang w:val="ar_AE" w:bidi="ar_AE"/>
          </w:rPr>
          <w:rPr>
            <w:color w:val="0000EE"/>
            <w:u w:val="single"/>
          </w:rPr>
          <w:t>عاموس 4:11</w:t>
        </w:r>
      </w:hyperlink>
      <w:r>
        <w:rPr>
          <w:lang w:val="ar_AE" w:bidi="ar_AE"/>
        </w:rPr>
        <w:t>) أو في العهد الجديد (</w:t>
      </w:r>
      <w:hyperlink r:id="rId83">
        <w:r>
          <w:rPr>
            <w:lang w:val="ar_AE" w:bidi="ar_AE"/>
          </w:rPr>
          <w:rPr>
            <w:color w:val="0000EE"/>
            <w:u w:val="single"/>
          </w:rPr>
          <w:t>لوقا 10:12</w:t>
        </w:r>
      </w:hyperlink>
      <w:r>
        <w:rPr>
          <w:lang w:val="ar_AE" w:bidi="ar_AE"/>
        </w:rPr>
        <w:t xml:space="preserve">؛ </w:t>
      </w:r>
      <w:hyperlink r:id="rId84">
        <w:r>
          <w:rPr>
            <w:lang w:val="ar_AE" w:bidi="ar_AE"/>
          </w:rPr>
          <w:rPr>
            <w:color w:val="0000EE"/>
            <w:u w:val="single"/>
          </w:rPr>
          <w:t>رومية 9:29</w:t>
        </w:r>
      </w:hyperlink>
      <w:r>
        <w:rPr>
          <w:lang w:val="ar_AE" w:bidi="ar_AE"/>
        </w:rPr>
        <w:t xml:space="preserve">؛ </w:t>
      </w:r>
      <w:hyperlink r:id="rId85">
        <w:r>
          <w:rPr>
            <w:lang w:val="ar_AE" w:bidi="ar_AE"/>
          </w:rPr>
          <w:rPr>
            <w:color w:val="0000EE"/>
            <w:u w:val="single"/>
          </w:rPr>
          <w:t>2 بطرس 2:6</w:t>
        </w:r>
      </w:hyperlink>
      <w:r>
        <w:rPr>
          <w:lang w:val="ar_AE" w:bidi="ar_AE"/>
        </w:rPr>
        <w:t>). • حُفْرَةَ مِلْحٍ: دمار شامل (</w:t>
      </w:r>
      <w:hyperlink r:id="rId79">
        <w:r>
          <w:rPr>
            <w:lang w:val="ar_AE" w:bidi="ar_AE"/>
          </w:rPr>
          <w:rPr>
            <w:color w:val="0000EE"/>
            <w:u w:val="single"/>
          </w:rPr>
          <w:t>تثنية 29:23</w:t>
        </w:r>
      </w:hyperlink>
      <w:r>
        <w:rPr>
          <w:lang w:val="ar_AE" w:bidi="ar_AE"/>
        </w:rPr>
        <w:t xml:space="preserve">؛ </w:t>
      </w:r>
      <w:hyperlink r:id="rId86">
        <w:r>
          <w:rPr>
            <w:lang w:val="ar_AE" w:bidi="ar_AE"/>
          </w:rPr>
          <w:rPr>
            <w:color w:val="0000EE"/>
            <w:u w:val="single"/>
          </w:rPr>
          <w:t>مزمور 107:34</w:t>
        </w:r>
      </w:hyperlink>
      <w:r>
        <w:rPr>
          <w:lang w:val="ar_AE" w:bidi="ar_AE"/>
        </w:rPr>
        <w:t xml:space="preserve">؛ </w:t>
      </w:r>
      <w:hyperlink r:id="rId87">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88">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89">
        <w:r>
          <w:rPr>
            <w:lang w:val="ar_AE" w:bidi="ar_AE"/>
          </w:rPr>
          <w:rPr>
            <w:color w:val="0000EE"/>
            <w:u w:val="single"/>
          </w:rPr>
          <w:t>3:9</w:t>
        </w:r>
      </w:hyperlink>
      <w:r>
        <w:rPr>
          <w:lang w:val="ar_AE" w:bidi="ar_AE"/>
        </w:rPr>
        <w:t xml:space="preserve">؛ </w:t>
      </w:r>
      <w:hyperlink r:id="rId90">
        <w:r>
          <w:rPr>
            <w:lang w:val="ar_AE" w:bidi="ar_AE"/>
          </w:rPr>
          <w:rPr>
            <w:color w:val="0000EE"/>
            <w:u w:val="single"/>
          </w:rPr>
          <w:t>مزمور 66:4</w:t>
        </w:r>
      </w:hyperlink>
      <w:r>
        <w:rPr>
          <w:lang w:val="ar_AE" w:bidi="ar_AE"/>
        </w:rPr>
        <w:t xml:space="preserve">؛ </w:t>
      </w:r>
      <w:hyperlink r:id="rId91">
        <w:r>
          <w:rPr>
            <w:lang w:val="ar_AE" w:bidi="ar_AE"/>
          </w:rPr>
          <w:rPr>
            <w:color w:val="0000EE"/>
            <w:u w:val="single"/>
          </w:rPr>
          <w:t>ميخا 4:1–2</w:t>
        </w:r>
      </w:hyperlink>
      <w:r>
        <w:rPr>
          <w:lang w:val="ar_AE" w:bidi="ar_AE"/>
        </w:rPr>
        <w:t xml:space="preserve">؛ </w:t>
      </w:r>
      <w:hyperlink r:id="rId92">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6">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3">
        <w:r>
          <w:rPr>
            <w:lang w:val="ar_AE" w:bidi="ar_AE"/>
          </w:rPr>
          <w:rPr>
            <w:color w:val="0000EE"/>
            <w:u w:val="single"/>
          </w:rPr>
          <w:t>ناحوم 1: 14</w:t>
        </w:r>
      </w:hyperlink>
      <w:r>
        <w:rPr>
          <w:lang w:val="ar_AE" w:bidi="ar_AE"/>
        </w:rPr>
        <w:t xml:space="preserve">؛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6">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7">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9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0">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1">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2">
        <w:r>
          <w:rPr>
            <w:lang w:val="ar_AE" w:bidi="ar_AE"/>
          </w:rPr>
          <w:rPr>
            <w:color w:val="0000EE"/>
            <w:u w:val="single"/>
          </w:rPr>
          <w:t>إرميا 29:23</w:t>
        </w:r>
      </w:hyperlink>
      <w:r>
        <w:rPr>
          <w:lang w:val="ar_AE" w:bidi="ar_AE"/>
        </w:rPr>
        <w:t xml:space="preserve">؛ </w:t>
      </w:r>
      <w:hyperlink r:id="rId103">
        <w:r>
          <w:rPr>
            <w:lang w:val="ar_AE" w:bidi="ar_AE"/>
          </w:rPr>
          <w:rPr>
            <w:color w:val="0000EE"/>
            <w:u w:val="single"/>
          </w:rPr>
          <w:t>ملاخي 3:5</w:t>
        </w:r>
      </w:hyperlink>
      <w:r>
        <w:rPr>
          <w:lang w:val="ar_AE" w:bidi="ar_AE"/>
        </w:rPr>
        <w:t xml:space="preserve">) نيابة عن نفسه، ثم يترأس كقاضٍ (انظر أيضًا </w:t>
      </w:r>
      <w:hyperlink r:id="rId104">
        <w:r>
          <w:rPr>
            <w:lang w:val="ar_AE" w:bidi="ar_AE"/>
          </w:rPr>
          <w:rPr>
            <w:color w:val="0000EE"/>
            <w:u w:val="single"/>
          </w:rPr>
          <w:t>أيّوب 9:15</w:t>
        </w:r>
      </w:hyperlink>
      <w:r>
        <w:rPr>
          <w:lang w:val="ar_AE" w:bidi="ar_AE"/>
        </w:rPr>
        <w:t xml:space="preserve">؛ </w:t>
      </w:r>
      <w:hyperlink r:id="rId105">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6">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7">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08">
        <w:r>
          <w:rPr>
            <w:lang w:val="ar_AE" w:bidi="ar_AE"/>
          </w:rPr>
          <w:rPr>
            <w:color w:val="0000EE"/>
            <w:u w:val="single"/>
          </w:rPr>
          <w:t>إشعياء 55:5</w:t>
        </w:r>
      </w:hyperlink>
      <w:r>
        <w:rPr>
          <w:lang w:val="ar_AE" w:bidi="ar_AE"/>
        </w:rPr>
        <w:t xml:space="preserve">)، ويخدمونه (انظر </w:t>
      </w:r>
      <w:hyperlink r:id="rId109">
        <w:r>
          <w:rPr>
            <w:lang w:val="ar_AE" w:bidi="ar_AE"/>
          </w:rPr>
          <w:rPr>
            <w:color w:val="0000EE"/>
            <w:u w:val="single"/>
          </w:rPr>
          <w:t>إشعياء 59:19–21</w:t>
        </w:r>
      </w:hyperlink>
      <w:r>
        <w:rPr>
          <w:lang w:val="ar_AE" w:bidi="ar_AE"/>
        </w:rPr>
        <w:t xml:space="preserve">؛ </w:t>
      </w:r>
      <w:hyperlink r:id="rId92">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0">
        <w:r>
          <w:rPr>
            <w:lang w:val="ar_AE" w:bidi="ar_AE"/>
          </w:rPr>
          <w:rPr>
            <w:color w:val="0000EE"/>
            <w:u w:val="single"/>
          </w:rPr>
          <w:t>متى 28:19–20</w:t>
        </w:r>
      </w:hyperlink>
      <w:r>
        <w:rPr>
          <w:lang w:val="ar_AE" w:bidi="ar_AE"/>
        </w:rPr>
        <w:t xml:space="preserve">؛ </w:t>
      </w:r>
      <w:hyperlink r:id="rId111">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2">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7">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3">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4">
        <w:r>
          <w:rPr>
            <w:lang w:val="ar_AE" w:bidi="ar_AE"/>
          </w:rPr>
          <w:rPr>
            <w:color w:val="0000EE"/>
            <w:u w:val="single"/>
          </w:rPr>
          <w:t>إشعياء 42:1–4</w:t>
        </w:r>
      </w:hyperlink>
      <w:r>
        <w:rPr>
          <w:lang w:val="ar_AE" w:bidi="ar_AE"/>
        </w:rPr>
        <w:t xml:space="preserve">؛ </w:t>
      </w:r>
      <w:hyperlink r:id="rId115">
        <w:r>
          <w:rPr>
            <w:lang w:val="ar_AE" w:bidi="ar_AE"/>
          </w:rPr>
          <w:rPr>
            <w:color w:val="0000EE"/>
            <w:u w:val="single"/>
          </w:rPr>
          <w:t>53:3</w:t>
        </w:r>
      </w:hyperlink>
      <w:r>
        <w:rPr>
          <w:lang w:val="ar_AE" w:bidi="ar_AE"/>
        </w:rPr>
        <w:t xml:space="preserve">، </w:t>
      </w:r>
      <w:hyperlink r:id="rId116">
        <w:r>
          <w:rPr>
            <w:lang w:val="ar_AE" w:bidi="ar_AE"/>
          </w:rPr>
          <w:rPr>
            <w:color w:val="0000EE"/>
            <w:u w:val="single"/>
          </w:rPr>
          <w:t>7–9</w:t>
        </w:r>
      </w:hyperlink>
      <w:r>
        <w:rPr>
          <w:lang w:val="ar_AE" w:bidi="ar_AE"/>
        </w:rPr>
        <w:t xml:space="preserve">؛ </w:t>
      </w:r>
      <w:hyperlink r:id="rId117">
        <w:r>
          <w:rPr>
            <w:lang w:val="ar_AE" w:bidi="ar_AE"/>
          </w:rPr>
          <w:rPr>
            <w:color w:val="0000EE"/>
            <w:u w:val="single"/>
          </w:rPr>
          <w:t>زكريا 9:9</w:t>
        </w:r>
      </w:hyperlink>
      <w:r>
        <w:rPr>
          <w:lang w:val="ar_AE" w:bidi="ar_AE"/>
        </w:rPr>
        <w:t xml:space="preserve">؛ انظر </w:t>
      </w:r>
      <w:hyperlink r:id="rId118">
        <w:r>
          <w:rPr>
            <w:lang w:val="ar_AE" w:bidi="ar_AE"/>
          </w:rPr>
          <w:rPr>
            <w:color w:val="0000EE"/>
            <w:u w:val="single"/>
          </w:rPr>
          <w:t>متى 11:28–30</w:t>
        </w:r>
      </w:hyperlink>
      <w:r>
        <w:rPr>
          <w:lang w:val="ar_AE" w:bidi="ar_AE"/>
        </w:rPr>
        <w:t xml:space="preserve">؛ </w:t>
      </w:r>
      <w:hyperlink r:id="rId119">
        <w:r>
          <w:rPr>
            <w:lang w:val="ar_AE" w:bidi="ar_AE"/>
          </w:rPr>
          <w:rPr>
            <w:color w:val="0000EE"/>
            <w:u w:val="single"/>
          </w:rPr>
          <w:t>12:15–21</w:t>
        </w:r>
      </w:hyperlink>
      <w:r>
        <w:rPr>
          <w:lang w:val="ar_AE" w:bidi="ar_AE"/>
        </w:rPr>
        <w:t xml:space="preserve">؛ </w:t>
      </w:r>
      <w:hyperlink r:id="rId120">
        <w:r>
          <w:rPr>
            <w:lang w:val="ar_AE" w:bidi="ar_AE"/>
          </w:rPr>
          <w:rPr>
            <w:color w:val="0000EE"/>
            <w:u w:val="single"/>
          </w:rPr>
          <w:t>فيلبي 2:1–8</w:t>
        </w:r>
      </w:hyperlink>
      <w:r>
        <w:rPr>
          <w:lang w:val="ar_AE" w:bidi="ar_AE"/>
        </w:rPr>
        <w:t xml:space="preserve">؛ </w:t>
      </w:r>
      <w:hyperlink r:id="rId121">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2">
        <w:r>
          <w:rPr>
            <w:lang w:val="ar_AE" w:bidi="ar_AE"/>
          </w:rPr>
          <w:rPr>
            <w:color w:val="0000EE"/>
            <w:u w:val="single"/>
          </w:rPr>
          <w:t>عدد 23:21</w:t>
        </w:r>
      </w:hyperlink>
      <w:r>
        <w:rPr>
          <w:lang w:val="ar_AE" w:bidi="ar_AE"/>
        </w:rPr>
        <w:t xml:space="preserve">؛ </w:t>
      </w:r>
      <w:hyperlink r:id="rId123">
        <w:r>
          <w:rPr>
            <w:lang w:val="ar_AE" w:bidi="ar_AE"/>
          </w:rPr>
          <w:rPr>
            <w:color w:val="0000EE"/>
            <w:u w:val="single"/>
          </w:rPr>
          <w:t>1 صموئيل 8:7</w:t>
        </w:r>
      </w:hyperlink>
      <w:r>
        <w:rPr>
          <w:lang w:val="ar_AE" w:bidi="ar_AE"/>
        </w:rPr>
        <w:t xml:space="preserve">؛ </w:t>
      </w:r>
      <w:hyperlink r:id="rId124">
        <w:r>
          <w:rPr>
            <w:lang w:val="ar_AE" w:bidi="ar_AE"/>
          </w:rPr>
          <w:rPr>
            <w:color w:val="0000EE"/>
            <w:u w:val="single"/>
          </w:rPr>
          <w:t>إشعياء 44:6</w:t>
        </w:r>
      </w:hyperlink>
      <w:r>
        <w:rPr>
          <w:lang w:val="ar_AE" w:bidi="ar_AE"/>
        </w:rPr>
        <w:t xml:space="preserve">). • سيعيش فِي وَسَطِكِ: انظر أيضًا </w:t>
      </w:r>
      <w:hyperlink r:id="rId125">
        <w:r>
          <w:rPr>
            <w:lang w:val="ar_AE" w:bidi="ar_AE"/>
          </w:rPr>
          <w:rPr>
            <w:color w:val="0000EE"/>
            <w:u w:val="single"/>
          </w:rPr>
          <w:t>إشعياء 54:4–8</w:t>
        </w:r>
      </w:hyperlink>
      <w:r>
        <w:rPr>
          <w:lang w:val="ar_AE" w:bidi="ar_AE"/>
        </w:rPr>
        <w:t xml:space="preserve">؛ </w:t>
      </w:r>
      <w:hyperlink r:id="rId126">
        <w:r>
          <w:rPr>
            <w:lang w:val="ar_AE" w:bidi="ar_AE"/>
          </w:rPr>
          <w:rPr>
            <w:color w:val="0000EE"/>
            <w:u w:val="single"/>
          </w:rPr>
          <w:t>57:14–19</w:t>
        </w:r>
      </w:hyperlink>
      <w:r>
        <w:rPr>
          <w:lang w:val="ar_AE" w:bidi="ar_AE"/>
        </w:rPr>
        <w:t xml:space="preserve">؛ </w:t>
      </w:r>
      <w:hyperlink r:id="rId127">
        <w:r>
          <w:rPr>
            <w:lang w:val="ar_AE" w:bidi="ar_AE"/>
          </w:rPr>
          <w:rPr>
            <w:color w:val="0000EE"/>
            <w:u w:val="single"/>
          </w:rPr>
          <w:t>62:10–12</w:t>
        </w:r>
      </w:hyperlink>
      <w:r>
        <w:rPr>
          <w:lang w:val="ar_AE" w:bidi="ar_AE"/>
        </w:rPr>
        <w:t xml:space="preserve">؛ </w:t>
      </w:r>
      <w:hyperlink r:id="rId128">
        <w:r>
          <w:rPr>
            <w:lang w:val="ar_AE" w:bidi="ar_AE"/>
          </w:rPr>
          <w:rPr>
            <w:color w:val="0000EE"/>
            <w:u w:val="single"/>
          </w:rPr>
          <w:t>حزقيال 48:35</w:t>
        </w:r>
      </w:hyperlink>
      <w:r>
        <w:rPr>
          <w:lang w:val="ar_AE" w:bidi="ar_AE"/>
        </w:rPr>
        <w:t xml:space="preserve">؛ </w:t>
      </w:r>
      <w:hyperlink r:id="rId129">
        <w:r>
          <w:rPr>
            <w:lang w:val="ar_AE" w:bidi="ar_AE"/>
          </w:rPr>
          <w:rPr>
            <w:color w:val="0000EE"/>
            <w:u w:val="single"/>
          </w:rPr>
          <w:t>يوئيل 3:17</w:t>
        </w:r>
      </w:hyperlink>
      <w:r>
        <w:rPr>
          <w:lang w:val="ar_AE" w:bidi="ar_AE"/>
        </w:rPr>
        <w:t xml:space="preserve">، </w:t>
      </w:r>
      <w:hyperlink r:id="rId13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1">
        <w:r>
          <w:rPr>
            <w:lang w:val="ar_AE" w:bidi="ar_AE"/>
          </w:rPr>
          <w:rPr>
            <w:color w:val="0000EE"/>
            <w:u w:val="single"/>
          </w:rPr>
          <w:t>مزمور 24:8–10</w:t>
        </w:r>
      </w:hyperlink>
      <w:r>
        <w:rPr>
          <w:lang w:val="ar_AE" w:bidi="ar_AE"/>
        </w:rPr>
        <w:t xml:space="preserve">؛ </w:t>
      </w:r>
      <w:hyperlink r:id="rId132">
        <w:r>
          <w:rPr>
            <w:lang w:val="ar_AE" w:bidi="ar_AE"/>
          </w:rPr>
          <w:rPr>
            <w:color w:val="0000EE"/>
            <w:u w:val="single"/>
          </w:rPr>
          <w:t>إشعياء 42:13</w:t>
        </w:r>
      </w:hyperlink>
      <w:r>
        <w:rPr>
          <w:lang w:val="ar_AE" w:bidi="ar_AE"/>
        </w:rPr>
        <w:t xml:space="preserve">؛ </w:t>
      </w:r>
      <w:hyperlink r:id="rId133">
        <w:r>
          <w:rPr>
            <w:lang w:val="ar_AE" w:bidi="ar_AE"/>
          </w:rPr>
          <w:rPr>
            <w:color w:val="0000EE"/>
            <w:u w:val="single"/>
          </w:rPr>
          <w:t>حبقوق 3:8–15</w:t>
        </w:r>
      </w:hyperlink>
      <w:r>
        <w:rPr>
          <w:lang w:val="ar_AE" w:bidi="ar_AE"/>
        </w:rPr>
        <w:t>). إحدى ألقاب الله هي "الله القدير" (</w:t>
      </w:r>
      <w:hyperlink r:id="rId134">
        <w:r>
          <w:rPr>
            <w:lang w:val="ar_AE" w:bidi="ar_AE"/>
          </w:rPr>
          <w:rPr>
            <w:color w:val="0000EE"/>
            <w:u w:val="single"/>
          </w:rPr>
          <w:t>إشعياء 10:21</w:t>
        </w:r>
      </w:hyperlink>
      <w:r>
        <w:rPr>
          <w:lang w:val="ar_AE" w:bidi="ar_AE"/>
        </w:rPr>
        <w:t>). وينطبق هذا اللقب أيضًا على المسيّا (</w:t>
      </w:r>
      <w:hyperlink r:id="rId135">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6">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39">
        <w:r>
          <w:rPr>
            <w:lang w:val="ar_AE" w:bidi="ar_AE"/>
          </w:rPr>
          <w:rPr>
            <w:color w:val="0000EE"/>
            <w:u w:val="single"/>
          </w:rPr>
          <w:t>تثنية 26:19</w:t>
        </w:r>
      </w:hyperlink>
      <w:r>
        <w:rPr>
          <w:lang w:val="ar_AE" w:bidi="ar_AE"/>
        </w:rPr>
        <w:t xml:space="preserve">؛ </w:t>
      </w:r>
      <w:hyperlink r:id="rId140">
        <w:r>
          <w:rPr>
            <w:lang w:val="ar_AE" w:bidi="ar_AE"/>
          </w:rPr>
          <w:rPr>
            <w:color w:val="0000EE"/>
            <w:u w:val="single"/>
          </w:rPr>
          <w:t>إشعياء 62:7</w:t>
        </w:r>
      </w:hyperlink>
      <w:r>
        <w:rPr>
          <w:lang w:val="ar_AE" w:bidi="ar_AE"/>
        </w:rPr>
        <w:t xml:space="preserve">؛ </w:t>
      </w:r>
      <w:hyperlink r:id="rId141">
        <w:r>
          <w:rPr>
            <w:lang w:val="ar_AE" w:bidi="ar_AE"/>
          </w:rPr>
          <w:rPr>
            <w:color w:val="0000EE"/>
            <w:u w:val="single"/>
          </w:rPr>
          <w:t>ميخا 4:6–8</w:t>
        </w:r>
      </w:hyperlink>
      <w:r>
        <w:rPr>
          <w:lang w:val="ar_AE" w:bidi="ar_AE"/>
        </w:rPr>
        <w:t xml:space="preserve">؛ قارن </w:t>
      </w:r>
      <w:hyperlink r:id="rId142">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89">
        <w:r>
          <w:rPr>
            <w:lang w:val="ar_AE" w:bidi="ar_AE"/>
          </w:rPr>
          <w:rPr>
            <w:color w:val="0000EE"/>
            <w:u w:val="single"/>
          </w:rPr>
          <w:t xml:space="preserve">3:9، </w:t>
        </w:r>
      </w:hyperlink>
      <w:hyperlink r:id="rId143">
        <w:r>
          <w:rPr>
            <w:lang w:val="ar_AE" w:bidi="ar_AE"/>
          </w:rPr>
          <w:rPr>
            <w:color w:val="0000EE"/>
            <w:u w:val="single"/>
          </w:rPr>
          <w:t>12</w:t>
        </w:r>
      </w:hyperlink>
      <w:r>
        <w:rPr>
          <w:lang w:val="ar_AE" w:bidi="ar_AE"/>
        </w:rPr>
        <w:t xml:space="preserve">؛ انظر </w:t>
      </w:r>
      <w:hyperlink r:id="rId144">
        <w:r>
          <w:rPr>
            <w:lang w:val="ar_AE" w:bidi="ar_AE"/>
          </w:rPr>
          <w:rPr>
            <w:color w:val="0000EE"/>
            <w:u w:val="single"/>
          </w:rPr>
          <w:t>مزمور 2:12</w:t>
        </w:r>
      </w:hyperlink>
      <w:r>
        <w:rPr>
          <w:lang w:val="ar_AE" w:bidi="ar_AE"/>
        </w:rPr>
        <w:t xml:space="preserve">؛ </w:t>
      </w:r>
      <w:hyperlink r:id="rId145">
        <w:r>
          <w:rPr>
            <w:lang w:val="ar_AE" w:bidi="ar_AE"/>
          </w:rPr>
          <w:rPr>
            <w:color w:val="0000EE"/>
            <w:u w:val="single"/>
          </w:rPr>
          <w:t>إشعياء 45:22</w:t>
        </w:r>
      </w:hyperlink>
      <w:r>
        <w:rPr>
          <w:lang w:val="ar_AE" w:bidi="ar_AE"/>
        </w:rPr>
        <w:t xml:space="preserve">؛ انظر أيضًا </w:t>
      </w:r>
      <w:hyperlink r:id="rId27">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6">
        <w:r>
          <w:rPr>
            <w:lang w:val="ar_AE" w:bidi="ar_AE"/>
          </w:rPr>
          <w:rPr>
            <w:color w:val="0000EE"/>
            <w:u w:val="single"/>
          </w:rPr>
          <w:t>صفنيا 1:1–3</w:t>
        </w:r>
      </w:hyperlink>
      <w:r>
        <w:rPr>
          <w:lang w:val="ar_AE" w:bidi="ar_AE"/>
        </w:rPr>
        <w:t xml:space="preserve">، </w:t>
      </w:r>
      <w:hyperlink r:id="rId147">
        <w:r>
          <w:rPr>
            <w:lang w:val="ar_AE" w:bidi="ar_AE"/>
          </w:rPr>
          <w:rPr>
            <w:color w:val="0000EE"/>
            <w:u w:val="single"/>
          </w:rPr>
          <w:t>10</w:t>
        </w:r>
      </w:hyperlink>
      <w:r>
        <w:rPr>
          <w:lang w:val="ar_AE" w:bidi="ar_AE"/>
        </w:rPr>
        <w:t xml:space="preserve">؛ </w:t>
      </w:r>
      <w:hyperlink r:id="rId148">
        <w:r>
          <w:rPr>
            <w:lang w:val="ar_AE" w:bidi="ar_AE"/>
          </w:rPr>
          <w:rPr>
            <w:color w:val="0000EE"/>
            <w:u w:val="single"/>
          </w:rPr>
          <w:t>2:9</w:t>
        </w:r>
      </w:hyperlink>
      <w:r>
        <w:rPr>
          <w:lang w:val="ar_AE" w:bidi="ar_AE"/>
        </w:rPr>
        <w:t xml:space="preserve">؛ </w:t>
      </w:r>
      <w:hyperlink r:id="rId112">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