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1: 1, ناحوم 1: 2, ناحوم 1: 2–6, ناحوم 1: 2–11, ناحوم 1: 3, ناحوم 1: 4, ناحوم 1: 5, ناحوم 1: 6, ناحوم 1: 7, ناحوم 1: 7–11, ناحوم 1: 8, ناحوم 1: 9, ناحوم 1: 11, ناحوم 1: 12, ناحوم 1: 14, ناحوم 1: 15, ناحوم 2: 1, ناحوم 2: 2, ناحوم 2: 4, ناحوم 2: 5, ناحوم 2: 6, ناحوم 2: 7, ناحوم 2: 8, ناحوم 2: 9, ناحوم 2: 10, ناحوم 2: 11–13, ناحوم 2: 13, ناحوم 3: 1, ناحوم 3: 2–3, ناحوم 3: 4, ناحوم 3: 5, ناحوم 3: 8, ناحوم 3: 9–10, ناحوم 3: 12, ناحوم 3: 14, ناحوم 3: 15, ناحوم 3: 16, ناحوم 3: 18, ناحوم 3: 19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3">
        <w:r>
          <w:rPr>
            <w:lang w:val="ar_AE" w:bidi="ar_AE"/>
          </w:rPr>
          <w:rPr>
            <w:color w:val="0000EE"/>
            <w:u w:val="single"/>
          </w:rPr>
          <w:t>عوبديا 1:1</w:t>
        </w:r>
      </w:hyperlink>
      <w:r>
        <w:rPr>
          <w:lang w:val="ar_AE" w:bidi="ar_AE"/>
        </w:rPr>
        <w:t xml:space="preserve">؛ </w:t>
      </w:r>
      <w:hyperlink r:id="rId14">
        <w:r>
          <w:rPr>
            <w:lang w:val="ar_AE" w:bidi="ar_AE"/>
          </w:rPr>
          <w:rPr>
            <w:color w:val="0000EE"/>
            <w:u w:val="single"/>
          </w:rPr>
          <w:t>حبقوق 1:1</w:t>
        </w:r>
      </w:hyperlink>
      <w:r>
        <w:rPr>
          <w:lang w:val="ar_AE" w:bidi="ar_AE"/>
        </w:rPr>
        <w:t xml:space="preserve">؛ </w:t>
      </w:r>
      <w:hyperlink r:id="rId15">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lang w:val="ar_AE" w:bidi="ar_AE"/>
          </w:rPr>
          <w:rPr>
            <w:color w:val="0000EE"/>
            <w:u w:val="single"/>
          </w:rPr>
          <w:t>ناحوم 1:12–15</w:t>
        </w:r>
      </w:hyperlink>
      <w:r>
        <w:rPr>
          <w:lang w:val="ar_AE" w:bidi="ar_AE"/>
        </w:rPr>
        <w:t xml:space="preserve">؛ انظر </w:t>
      </w:r>
      <w:hyperlink r:id="rId17">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18">
        <w:r>
          <w:rPr>
            <w:lang w:val="ar_AE" w:bidi="ar_AE"/>
          </w:rPr>
          <w:rPr>
            <w:color w:val="0000EE"/>
            <w:u w:val="single"/>
          </w:rPr>
          <w:t>خروج 20:4–5</w:t>
        </w:r>
      </w:hyperlink>
      <w:r>
        <w:rPr>
          <w:lang w:val="ar_AE" w:bidi="ar_AE"/>
        </w:rPr>
        <w:t xml:space="preserve">؛ </w:t>
      </w:r>
      <w:hyperlink r:id="rId19">
        <w:r>
          <w:rPr>
            <w:lang w:val="ar_AE" w:bidi="ar_AE"/>
          </w:rPr>
          <w:rPr>
            <w:color w:val="0000EE"/>
            <w:u w:val="single"/>
          </w:rPr>
          <w:t>تثنية 4:23–24</w:t>
        </w:r>
      </w:hyperlink>
      <w:r>
        <w:rPr>
          <w:lang w:val="ar_AE" w:bidi="ar_AE"/>
        </w:rPr>
        <w:t xml:space="preserve">؛ </w:t>
      </w:r>
      <w:hyperlink r:id="rId20">
        <w:r>
          <w:rPr>
            <w:lang w:val="ar_AE" w:bidi="ar_AE"/>
          </w:rPr>
          <w:rPr>
            <w:color w:val="0000EE"/>
            <w:u w:val="single"/>
          </w:rPr>
          <w:t>6:4</w:t>
        </w:r>
      </w:hyperlink>
      <w:r>
        <w:rPr>
          <w:lang w:val="ar_AE" w:bidi="ar_AE"/>
        </w:rPr>
        <w:t xml:space="preserve">؛ </w:t>
      </w:r>
      <w:hyperlink r:id="rId21">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2">
        <w:r>
          <w:rPr>
            <w:lang w:val="ar_AE" w:bidi="ar_AE"/>
          </w:rPr>
          <w:rPr>
            <w:color w:val="0000EE"/>
            <w:u w:val="single"/>
          </w:rPr>
          <w:t>إرميا 50:28–29</w:t>
        </w:r>
      </w:hyperlink>
      <w:r>
        <w:rPr>
          <w:lang w:val="ar_AE" w:bidi="ar_AE"/>
        </w:rPr>
        <w:t>)، وعدله (</w:t>
      </w:r>
      <w:hyperlink r:id="rId23">
        <w:r>
          <w:rPr>
            <w:lang w:val="ar_AE" w:bidi="ar_AE"/>
          </w:rPr>
          <w:rPr>
            <w:color w:val="0000EE"/>
            <w:u w:val="single"/>
          </w:rPr>
          <w:t>إشعياء 63:1–9</w:t>
        </w:r>
      </w:hyperlink>
      <w:r>
        <w:rPr>
          <w:lang w:val="ar_AE" w:bidi="ar_AE"/>
        </w:rPr>
        <w:t>)، وأمانته للعهد مع شعبه (</w:t>
      </w:r>
      <w:hyperlink r:id="rId24">
        <w:r>
          <w:rPr>
            <w:lang w:val="ar_AE" w:bidi="ar_AE"/>
          </w:rPr>
          <w:rPr>
            <w:color w:val="0000EE"/>
            <w:u w:val="single"/>
          </w:rPr>
          <w:t>لاويين 26:23–25</w:t>
        </w:r>
      </w:hyperlink>
      <w:r>
        <w:rPr>
          <w:lang w:val="ar_AE" w:bidi="ar_AE"/>
        </w:rPr>
        <w:t xml:space="preserve">؛ </w:t>
      </w:r>
      <w:hyperlink r:id="rId25">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6">
        <w:r>
          <w:rPr>
            <w:lang w:val="ar_AE" w:bidi="ar_AE"/>
          </w:rPr>
          <w:rPr>
            <w:color w:val="0000EE"/>
            <w:u w:val="single"/>
          </w:rPr>
          <w:t>1:2–6</w:t>
        </w:r>
      </w:hyperlink>
      <w:r>
        <w:rPr>
          <w:lang w:val="ar_AE" w:bidi="ar_AE"/>
        </w:rPr>
        <w:t xml:space="preserve">، </w:t>
      </w:r>
      <w:hyperlink r:id="rId27">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28">
        <w:r>
          <w:rPr>
            <w:lang w:val="ar_AE" w:bidi="ar_AE"/>
          </w:rPr>
          <w:rPr>
            <w:color w:val="0000EE"/>
            <w:u w:val="single"/>
          </w:rPr>
          <w:t>خروج 34:6</w:t>
        </w:r>
      </w:hyperlink>
      <w:r>
        <w:rPr>
          <w:lang w:val="ar_AE" w:bidi="ar_AE"/>
        </w:rPr>
        <w:t xml:space="preserve">؛ </w:t>
      </w:r>
      <w:hyperlink r:id="rId29">
        <w:r>
          <w:rPr>
            <w:lang w:val="ar_AE" w:bidi="ar_AE"/>
          </w:rPr>
          <w:rPr>
            <w:color w:val="0000EE"/>
            <w:u w:val="single"/>
          </w:rPr>
          <w:t>عدد 14:18</w:t>
        </w:r>
      </w:hyperlink>
      <w:r>
        <w:rPr>
          <w:lang w:val="ar_AE" w:bidi="ar_AE"/>
        </w:rPr>
        <w:t xml:space="preserve">؛ </w:t>
      </w:r>
      <w:hyperlink r:id="rId30">
        <w:r>
          <w:rPr>
            <w:lang w:val="ar_AE" w:bidi="ar_AE"/>
          </w:rPr>
          <w:rPr>
            <w:color w:val="0000EE"/>
            <w:u w:val="single"/>
          </w:rPr>
          <w:t>مزمور 103:8</w:t>
        </w:r>
      </w:hyperlink>
      <w:r>
        <w:rPr>
          <w:lang w:val="ar_AE" w:bidi="ar_AE"/>
        </w:rPr>
        <w:t xml:space="preserve">؛ </w:t>
      </w:r>
      <w:hyperlink r:id="rId31">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2">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3">
        <w:r>
          <w:rPr>
            <w:lang w:val="ar_AE" w:bidi="ar_AE"/>
          </w:rPr>
          <w:rPr>
            <w:color w:val="0000EE"/>
            <w:u w:val="single"/>
          </w:rPr>
          <w:t>نحميا 9:29–30</w:t>
        </w:r>
      </w:hyperlink>
      <w:r>
        <w:rPr>
          <w:lang w:val="ar_AE" w:bidi="ar_AE"/>
        </w:rPr>
        <w:t xml:space="preserve">؛ </w:t>
      </w:r>
      <w:hyperlink r:id="rId34">
        <w:r>
          <w:rPr>
            <w:lang w:val="ar_AE" w:bidi="ar_AE"/>
          </w:rPr>
          <w:rPr>
            <w:color w:val="0000EE"/>
            <w:u w:val="single"/>
          </w:rPr>
          <w:t>رومية 2:4</w:t>
        </w:r>
      </w:hyperlink>
      <w:r>
        <w:rPr>
          <w:lang w:val="ar_AE" w:bidi="ar_AE"/>
        </w:rPr>
        <w:t xml:space="preserve">؛ </w:t>
      </w:r>
      <w:hyperlink r:id="rId35">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6">
        <w:r>
          <w:rPr>
            <w:lang w:val="ar_AE" w:bidi="ar_AE"/>
          </w:rPr>
          <w:rPr>
            <w:color w:val="0000EE"/>
            <w:u w:val="single"/>
          </w:rPr>
          <w:t>خروج 34:7</w:t>
        </w:r>
      </w:hyperlink>
      <w:r>
        <w:rPr>
          <w:lang w:val="ar_AE" w:bidi="ar_AE"/>
        </w:rPr>
        <w:t xml:space="preserve">؛ </w:t>
      </w:r>
      <w:hyperlink r:id="rId37">
        <w:r>
          <w:rPr>
            <w:lang w:val="ar_AE" w:bidi="ar_AE"/>
          </w:rPr>
          <w:rPr>
            <w:color w:val="0000EE"/>
            <w:u w:val="single"/>
          </w:rPr>
          <w:t>رومية 14:10</w:t>
        </w:r>
      </w:hyperlink>
      <w:r>
        <w:rPr>
          <w:lang w:val="ar_AE" w:bidi="ar_AE"/>
        </w:rPr>
        <w:t xml:space="preserve">؛ </w:t>
      </w:r>
      <w:hyperlink r:id="rId38">
        <w:r>
          <w:rPr>
            <w:lang w:val="ar_AE" w:bidi="ar_AE"/>
          </w:rPr>
          <w:rPr>
            <w:color w:val="0000EE"/>
            <w:u w:val="single"/>
          </w:rPr>
          <w:t>2 كورنثوس 5:10</w:t>
        </w:r>
      </w:hyperlink>
      <w:r>
        <w:rPr>
          <w:lang w:val="ar_AE" w:bidi="ar_AE"/>
        </w:rPr>
        <w:t xml:space="preserve">؛ </w:t>
      </w:r>
      <w:hyperlink r:id="rId39">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1">
        <w:r>
          <w:rPr>
            <w:lang w:val="ar_AE" w:bidi="ar_AE"/>
          </w:rPr>
          <w:rPr>
            <w:color w:val="0000EE"/>
            <w:u w:val="single"/>
          </w:rPr>
          <w:t>1:3</w:t>
        </w:r>
      </w:hyperlink>
      <w:r>
        <w:rPr>
          <w:lang w:val="ar_AE" w:bidi="ar_AE"/>
        </w:rPr>
        <w:t>) والجبال (</w:t>
      </w:r>
      <w:hyperlink r:id="rId42">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lang w:val="ar_AE" w:bidi="ar_AE"/>
          </w:rPr>
          <w:rPr>
            <w:color w:val="0000EE"/>
            <w:u w:val="single"/>
          </w:rPr>
          <w:t>خروج 15:8–10</w:t>
        </w:r>
      </w:hyperlink>
      <w:r>
        <w:rPr>
          <w:lang w:val="ar_AE" w:bidi="ar_AE"/>
        </w:rPr>
        <w:t xml:space="preserve">؛ </w:t>
      </w:r>
      <w:hyperlink r:id="rId44">
        <w:r>
          <w:rPr>
            <w:lang w:val="ar_AE" w:bidi="ar_AE"/>
          </w:rPr>
          <w:rPr>
            <w:color w:val="0000EE"/>
            <w:u w:val="single"/>
          </w:rPr>
          <w:t>2 صموئيل 22:16</w:t>
        </w:r>
      </w:hyperlink>
      <w:r>
        <w:rPr>
          <w:lang w:val="ar_AE" w:bidi="ar_AE"/>
        </w:rPr>
        <w:t xml:space="preserve">؛ </w:t>
      </w:r>
      <w:hyperlink r:id="rId45">
        <w:r>
          <w:rPr>
            <w:lang w:val="ar_AE" w:bidi="ar_AE"/>
          </w:rPr>
          <w:rPr>
            <w:color w:val="0000EE"/>
            <w:u w:val="single"/>
          </w:rPr>
          <w:t>مزامير 66:6</w:t>
        </w:r>
      </w:hyperlink>
      <w:r>
        <w:rPr>
          <w:lang w:val="ar_AE" w:bidi="ar_AE"/>
        </w:rPr>
        <w:t xml:space="preserve">؛ </w:t>
      </w:r>
      <w:hyperlink r:id="rId46">
        <w:r>
          <w:rPr>
            <w:lang w:val="ar_AE" w:bidi="ar_AE"/>
          </w:rPr>
          <w:rPr>
            <w:color w:val="0000EE"/>
            <w:u w:val="single"/>
          </w:rPr>
          <w:t>77:16</w:t>
        </w:r>
      </w:hyperlink>
      <w:r>
        <w:rPr>
          <w:lang w:val="ar_AE" w:bidi="ar_AE"/>
        </w:rPr>
        <w:t xml:space="preserve">؛ </w:t>
      </w:r>
      <w:hyperlink r:id="rId47">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49">
        <w:r>
          <w:rPr>
            <w:lang w:val="ar_AE" w:bidi="ar_AE"/>
          </w:rPr>
          <w:rPr>
            <w:color w:val="0000EE"/>
            <w:u w:val="single"/>
          </w:rPr>
          <w:t>نشيد الأنشاد 7:5</w:t>
        </w:r>
      </w:hyperlink>
      <w:r>
        <w:rPr>
          <w:lang w:val="ar_AE" w:bidi="ar_AE"/>
        </w:rPr>
        <w:t xml:space="preserve">؛ </w:t>
      </w:r>
      <w:hyperlink r:id="rId50">
        <w:r>
          <w:rPr>
            <w:lang w:val="ar_AE" w:bidi="ar_AE"/>
          </w:rPr>
          <w:rPr>
            <w:color w:val="0000EE"/>
            <w:u w:val="single"/>
          </w:rPr>
          <w:t>إرميا 50:19</w:t>
        </w:r>
      </w:hyperlink>
      <w:r>
        <w:rPr>
          <w:lang w:val="ar_AE" w:bidi="ar_AE"/>
        </w:rPr>
        <w:t>). • كانت لبنان مشهورة بأرزها العظيم (</w:t>
      </w:r>
      <w:hyperlink r:id="rId51">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2">
        <w:r>
          <w:rPr>
            <w:lang w:val="ar_AE" w:bidi="ar_AE"/>
          </w:rPr>
          <w:rPr>
            <w:color w:val="0000EE"/>
            <w:u w:val="single"/>
          </w:rPr>
          <w:t>مزمور 18:7</w:t>
        </w:r>
      </w:hyperlink>
      <w:r>
        <w:rPr>
          <w:lang w:val="ar_AE" w:bidi="ar_AE"/>
        </w:rPr>
        <w:t xml:space="preserve">؛ </w:t>
      </w:r>
      <w:hyperlink r:id="rId53">
        <w:r>
          <w:rPr>
            <w:lang w:val="ar_AE" w:bidi="ar_AE"/>
          </w:rPr>
          <w:rPr>
            <w:color w:val="0000EE"/>
            <w:u w:val="single"/>
          </w:rPr>
          <w:t>حبقوق 3:6</w:t>
        </w:r>
      </w:hyperlink>
      <w:r>
        <w:rPr>
          <w:lang w:val="ar_AE" w:bidi="ar_AE"/>
        </w:rPr>
        <w:t xml:space="preserve">؛ انظر </w:t>
      </w:r>
      <w:hyperlink r:id="rId54">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5">
        <w:r>
          <w:rPr>
            <w:lang w:val="ar_AE" w:bidi="ar_AE"/>
          </w:rPr>
          <w:rPr>
            <w:color w:val="0000EE"/>
            <w:u w:val="single"/>
          </w:rPr>
          <w:t>1:2</w:t>
        </w:r>
      </w:hyperlink>
      <w:r>
        <w:rPr>
          <w:lang w:val="ar_AE" w:bidi="ar_AE"/>
        </w:rPr>
        <w:t xml:space="preserve">. وهذا التكرار يُحدد الآيات </w:t>
      </w:r>
      <w:hyperlink r:id="rId26">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lang w:val="ar_AE" w:bidi="ar_AE"/>
          </w:rPr>
          <w:rPr>
            <w:color w:val="0000EE"/>
            <w:u w:val="single"/>
          </w:rPr>
          <w:t>مزمور 18:2</w:t>
        </w:r>
      </w:hyperlink>
      <w:r>
        <w:rPr>
          <w:lang w:val="ar_AE" w:bidi="ar_AE"/>
        </w:rPr>
        <w:t xml:space="preserve">؛ </w:t>
      </w:r>
      <w:hyperlink r:id="rId57">
        <w:r>
          <w:rPr>
            <w:lang w:val="ar_AE" w:bidi="ar_AE"/>
          </w:rPr>
          <w:rPr>
            <w:color w:val="0000EE"/>
            <w:u w:val="single"/>
          </w:rPr>
          <w:t>62:5–7</w:t>
        </w:r>
      </w:hyperlink>
      <w:r>
        <w:rPr>
          <w:lang w:val="ar_AE" w:bidi="ar_AE"/>
        </w:rPr>
        <w:t>). ويمكن لصلاح الله الغني أن يقود الأفراد إلى التوبة (</w:t>
      </w:r>
      <w:hyperlink r:id="rId58">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lang w:val="ar_AE" w:bidi="ar_AE"/>
          </w:rPr>
          <w:rPr>
            <w:color w:val="0000EE"/>
            <w:u w:val="single"/>
          </w:rPr>
          <w:t>مزمور 2</w:t>
        </w:r>
      </w:hyperlink>
      <w:r>
        <w:rPr>
          <w:lang w:val="ar_AE" w:bidi="ar_AE"/>
        </w:rPr>
        <w:t xml:space="preserve">؛ </w:t>
      </w:r>
      <w:hyperlink r:id="rId61">
        <w:r>
          <w:rPr>
            <w:lang w:val="ar_AE" w:bidi="ar_AE"/>
          </w:rPr>
          <w:rPr>
            <w:color w:val="0000EE"/>
            <w:u w:val="single"/>
          </w:rPr>
          <w:t>إشعياء 14:26–27</w:t>
        </w:r>
      </w:hyperlink>
      <w:r>
        <w:rPr>
          <w:lang w:val="ar_AE" w:bidi="ar_AE"/>
        </w:rPr>
        <w:t xml:space="preserve">؛ </w:t>
      </w:r>
      <w:hyperlink r:id="rId62">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4">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lang w:val="ar_AE" w:bidi="ar_AE"/>
          </w:rPr>
          <w:rPr>
            <w:color w:val="0000EE"/>
            <w:u w:val="single"/>
          </w:rPr>
          <w:t>هوشع 11:5</w:t>
        </w:r>
      </w:hyperlink>
      <w:r>
        <w:rPr>
          <w:lang w:val="ar_AE" w:bidi="ar_AE"/>
        </w:rPr>
        <w:t xml:space="preserve">؛ </w:t>
      </w:r>
      <w:hyperlink r:id="rId67">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68">
        <w:r>
          <w:rPr>
            <w:lang w:val="ar_AE" w:bidi="ar_AE"/>
          </w:rPr>
          <w:rPr>
            <w:color w:val="0000EE"/>
            <w:u w:val="single"/>
          </w:rPr>
          <w:t>1 صموئيل 24:21</w:t>
        </w:r>
      </w:hyperlink>
      <w:r>
        <w:rPr>
          <w:lang w:val="ar_AE" w:bidi="ar_AE"/>
        </w:rPr>
        <w:t xml:space="preserve">؛ </w:t>
      </w:r>
      <w:hyperlink r:id="rId69">
        <w:r>
          <w:rPr>
            <w:lang w:val="ar_AE" w:bidi="ar_AE"/>
          </w:rPr>
          <w:rPr>
            <w:color w:val="0000EE"/>
            <w:u w:val="single"/>
          </w:rPr>
          <w:t>أيّوب 18:17</w:t>
        </w:r>
      </w:hyperlink>
      <w:r>
        <w:rPr>
          <w:lang w:val="ar_AE" w:bidi="ar_AE"/>
        </w:rPr>
        <w:t xml:space="preserve">؛ </w:t>
      </w:r>
      <w:hyperlink r:id="rId70">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1">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2">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lang w:val="ar_AE" w:bidi="ar_AE"/>
          </w:rPr>
          <w:rPr>
            <w:color w:val="0000EE"/>
            <w:u w:val="single"/>
          </w:rPr>
          <w:t>صفنيا 3:13</w:t>
        </w:r>
      </w:hyperlink>
      <w:r>
        <w:rPr>
          <w:lang w:val="ar_AE" w:bidi="ar_AE"/>
        </w:rPr>
        <w:t xml:space="preserve">؛ </w:t>
      </w:r>
      <w:hyperlink r:id="rId74">
        <w:r>
          <w:rPr>
            <w:lang w:val="ar_AE" w:bidi="ar_AE"/>
          </w:rPr>
          <w:rPr>
            <w:color w:val="0000EE"/>
            <w:u w:val="single"/>
          </w:rPr>
          <w:t>لوقا 2:10–14</w:t>
        </w:r>
      </w:hyperlink>
      <w:r>
        <w:rPr>
          <w:lang w:val="ar_AE" w:bidi="ar_AE"/>
        </w:rPr>
        <w:t xml:space="preserve">؛ </w:t>
      </w:r>
      <w:hyperlink r:id="rId75">
        <w:r>
          <w:rPr>
            <w:lang w:val="ar_AE" w:bidi="ar_AE"/>
          </w:rPr>
          <w:rPr>
            <w:color w:val="0000EE"/>
            <w:u w:val="single"/>
          </w:rPr>
          <w:t>أعمال 10:34–43</w:t>
        </w:r>
      </w:hyperlink>
      <w:r>
        <w:rPr>
          <w:lang w:val="ar_AE" w:bidi="ar_AE"/>
        </w:rPr>
        <w:t xml:space="preserve">؛ </w:t>
      </w:r>
      <w:hyperlink r:id="rId76">
        <w:r>
          <w:rPr>
            <w:lang w:val="ar_AE" w:bidi="ar_AE"/>
          </w:rPr>
          <w:rPr>
            <w:color w:val="0000EE"/>
            <w:u w:val="single"/>
          </w:rPr>
          <w:t>رومية 10:15</w:t>
        </w:r>
      </w:hyperlink>
      <w:r>
        <w:rPr>
          <w:lang w:val="ar_AE" w:bidi="ar_AE"/>
        </w:rPr>
        <w:t xml:space="preserve">؛ </w:t>
      </w:r>
      <w:hyperlink r:id="rId77">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79">
        <w:r>
          <w:rPr>
            <w:lang w:val="ar_AE" w:bidi="ar_AE"/>
          </w:rPr>
          <w:rPr>
            <w:color w:val="0000EE"/>
            <w:u w:val="single"/>
          </w:rPr>
          <w:t>إشعياء 27:2–6</w:t>
        </w:r>
      </w:hyperlink>
      <w:r>
        <w:rPr>
          <w:lang w:val="ar_AE" w:bidi="ar_AE"/>
        </w:rPr>
        <w:t>)، في حين تعكس الكرمة الخربة تأديب الله السابق لهم (</w:t>
      </w:r>
      <w:hyperlink r:id="rId80">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1">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lang w:val="ar_AE" w:bidi="ar_AE"/>
          </w:rPr>
          <w:rPr>
            <w:color w:val="0000EE"/>
            <w:u w:val="single"/>
          </w:rPr>
          <w:t>أمثال 13:22</w:t>
        </w:r>
      </w:hyperlink>
      <w:r>
        <w:rPr>
          <w:lang w:val="ar_AE" w:bidi="ar_AE"/>
        </w:rPr>
        <w:t xml:space="preserve">؛ </w:t>
      </w:r>
      <w:hyperlink r:id="rId84">
        <w:r>
          <w:rPr>
            <w:lang w:val="ar_AE" w:bidi="ar_AE"/>
          </w:rPr>
          <w:rPr>
            <w:color w:val="0000EE"/>
            <w:u w:val="single"/>
          </w:rPr>
          <w:t>عوبديا 1:15</w:t>
        </w:r>
      </w:hyperlink>
      <w:r>
        <w:rPr>
          <w:lang w:val="ar_AE" w:bidi="ar_AE"/>
        </w:rPr>
        <w:t xml:space="preserve">؛ </w:t>
      </w:r>
      <w:hyperlink r:id="rId85">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6">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7">
        <w:r>
          <w:rPr>
            <w:lang w:val="ar_AE" w:bidi="ar_AE"/>
          </w:rPr>
          <w:rPr>
            <w:color w:val="0000EE"/>
            <w:u w:val="single"/>
          </w:rPr>
          <w:t>3:8–13</w:t>
        </w:r>
      </w:hyperlink>
      <w:r>
        <w:rPr>
          <w:lang w:val="ar_AE" w:bidi="ar_AE"/>
        </w:rPr>
        <w:t xml:space="preserve">، </w:t>
      </w:r>
      <w:hyperlink r:id="rId88">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89">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lang w:val="ar_AE" w:bidi="ar_AE"/>
          </w:rPr>
          <w:rPr>
            <w:color w:val="0000EE"/>
            <w:u w:val="single"/>
          </w:rPr>
          <w:t>أمثال 24:12</w:t>
        </w:r>
      </w:hyperlink>
      <w:r>
        <w:rPr>
          <w:lang w:val="ar_AE" w:bidi="ar_AE"/>
        </w:rPr>
        <w:t xml:space="preserve">؛ </w:t>
      </w:r>
      <w:hyperlink r:id="rId91">
        <w:r>
          <w:rPr>
            <w:lang w:val="ar_AE" w:bidi="ar_AE"/>
          </w:rPr>
          <w:rPr>
            <w:color w:val="0000EE"/>
            <w:u w:val="single"/>
          </w:rPr>
          <w:t>يوئيل 3:4–8</w:t>
        </w:r>
      </w:hyperlink>
      <w:r>
        <w:rPr>
          <w:lang w:val="ar_AE" w:bidi="ar_AE"/>
        </w:rPr>
        <w:t xml:space="preserve">؛ </w:t>
      </w:r>
      <w:hyperlink r:id="rId92">
        <w:r>
          <w:rPr>
            <w:lang w:val="ar_AE" w:bidi="ar_AE"/>
          </w:rPr>
          <w:rPr>
            <w:color w:val="0000EE"/>
            <w:u w:val="single"/>
          </w:rPr>
          <w:t>رؤيا 18:6</w:t>
        </w:r>
      </w:hyperlink>
      <w:r>
        <w:rPr>
          <w:lang w:val="ar_AE" w:bidi="ar_AE"/>
        </w:rPr>
        <w:t xml:space="preserve">؛ </w:t>
      </w:r>
      <w:hyperlink r:id="rId93">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4">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5">
        <w:r>
          <w:rPr>
            <w:lang w:val="ar_AE" w:bidi="ar_AE"/>
          </w:rPr>
          <w:rPr>
            <w:color w:val="0000EE"/>
            <w:u w:val="single"/>
          </w:rPr>
          <w:t>مزمور 9:7–8</w:t>
        </w:r>
      </w:hyperlink>
      <w:r>
        <w:rPr>
          <w:lang w:val="ar_AE" w:bidi="ar_AE"/>
        </w:rPr>
        <w:t xml:space="preserve">؛ </w:t>
      </w:r>
      <w:hyperlink r:id="rId96">
        <w:r>
          <w:rPr>
            <w:lang w:val="ar_AE" w:bidi="ar_AE"/>
          </w:rPr>
          <w:rPr>
            <w:color w:val="0000EE"/>
            <w:u w:val="single"/>
          </w:rPr>
          <w:t>62:12</w:t>
        </w:r>
      </w:hyperlink>
      <w:r>
        <w:rPr>
          <w:lang w:val="ar_AE" w:bidi="ar_AE"/>
        </w:rPr>
        <w:t xml:space="preserve">؛ </w:t>
      </w:r>
      <w:hyperlink r:id="rId97">
        <w:r>
          <w:rPr>
            <w:lang w:val="ar_AE" w:bidi="ar_AE"/>
          </w:rPr>
          <w:rPr>
            <w:color w:val="0000EE"/>
            <w:u w:val="single"/>
          </w:rPr>
          <w:t>إرميا 46:28</w:t>
        </w:r>
      </w:hyperlink>
      <w:r>
        <w:rPr>
          <w:lang w:val="ar_AE" w:bidi="ar_AE"/>
        </w:rPr>
        <w:t xml:space="preserve">؛ </w:t>
      </w:r>
      <w:hyperlink r:id="rId98">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99">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lang w:val="ar_AE" w:bidi="ar_AE"/>
          </w:rPr>
          <w:rPr>
            <w:color w:val="0000EE"/>
            <w:u w:val="single"/>
          </w:rPr>
          <w:t>2 ملوك 8:12</w:t>
        </w:r>
      </w:hyperlink>
      <w:r>
        <w:rPr>
          <w:lang w:val="ar_AE" w:bidi="ar_AE"/>
        </w:rPr>
        <w:t xml:space="preserve">؛ </w:t>
      </w:r>
      <w:hyperlink r:id="rId101">
        <w:r>
          <w:rPr>
            <w:lang w:val="ar_AE" w:bidi="ar_AE"/>
          </w:rPr>
          <w:rPr>
            <w:color w:val="0000EE"/>
            <w:u w:val="single"/>
          </w:rPr>
          <w:t>مزمور 137:9</w:t>
        </w:r>
      </w:hyperlink>
      <w:r>
        <w:rPr>
          <w:lang w:val="ar_AE" w:bidi="ar_AE"/>
        </w:rPr>
        <w:t xml:space="preserve">؛ </w:t>
      </w:r>
      <w:hyperlink r:id="rId102">
        <w:r>
          <w:rPr>
            <w:lang w:val="ar_AE" w:bidi="ar_AE"/>
          </w:rPr>
          <w:rPr>
            <w:color w:val="0000EE"/>
            <w:u w:val="single"/>
          </w:rPr>
          <w:t>إشعياء 13:16</w:t>
        </w:r>
      </w:hyperlink>
      <w:r>
        <w:rPr>
          <w:lang w:val="ar_AE" w:bidi="ar_AE"/>
        </w:rPr>
        <w:t xml:space="preserve">، </w:t>
      </w:r>
      <w:hyperlink r:id="rId103">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4">
        <w:r>
          <w:rPr>
            <w:lang w:val="ar_AE" w:bidi="ar_AE"/>
          </w:rPr>
          <w:rPr>
            <w:color w:val="0000EE"/>
            <w:u w:val="single"/>
          </w:rPr>
          <w:t>2 ملوك 25:7</w:t>
        </w:r>
      </w:hyperlink>
      <w:r>
        <w:rPr>
          <w:lang w:val="ar_AE" w:bidi="ar_AE"/>
        </w:rPr>
        <w:t xml:space="preserve">؛ </w:t>
      </w:r>
      <w:hyperlink r:id="rId105">
        <w:r>
          <w:rPr>
            <w:lang w:val="ar_AE" w:bidi="ar_AE"/>
          </w:rPr>
          <w:rPr>
            <w:color w:val="0000EE"/>
            <w:u w:val="single"/>
          </w:rPr>
          <w:t>إرميا 40:1</w:t>
        </w:r>
      </w:hyperlink>
      <w:r>
        <w:rPr>
          <w:lang w:val="ar_AE" w:bidi="ar_AE"/>
        </w:rPr>
        <w:t xml:space="preserve">، </w:t>
      </w:r>
      <w:hyperlink r:id="rId106">
        <w:r>
          <w:rPr>
            <w:lang w:val="ar_AE" w:bidi="ar_AE"/>
          </w:rPr>
          <w:rPr>
            <w:color w:val="0000EE"/>
            <w:u w:val="single"/>
          </w:rPr>
          <w:t>4</w:t>
        </w:r>
      </w:hyperlink>
      <w:r>
        <w:rPr>
          <w:lang w:val="ar_AE" w:bidi="ar_AE"/>
        </w:rPr>
        <w:t xml:space="preserve">؛ </w:t>
      </w:r>
      <w:hyperlink r:id="rId107">
        <w:r>
          <w:rPr>
            <w:lang w:val="ar_AE" w:bidi="ar_AE"/>
          </w:rPr>
          <w:rPr>
            <w:color w:val="0000EE"/>
            <w:u w:val="single"/>
          </w:rPr>
          <w:t>يوئيل 3:3</w:t>
        </w:r>
      </w:hyperlink>
      <w:r>
        <w:rPr>
          <w:lang w:val="ar_AE" w:bidi="ar_AE"/>
        </w:rPr>
        <w:t xml:space="preserve">؛ </w:t>
      </w:r>
      <w:hyperlink r:id="rId108">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09">
        <w:r>
          <w:rPr>
            <w:lang w:val="ar_AE" w:bidi="ar_AE"/>
          </w:rPr>
          <w:rPr>
            <w:color w:val="0000EE"/>
            <w:u w:val="single"/>
          </w:rPr>
          <w:t>عاموس 8:1–2</w:t>
        </w:r>
      </w:hyperlink>
      <w:r>
        <w:rPr>
          <w:lang w:val="ar_AE" w:bidi="ar_AE"/>
        </w:rPr>
        <w:t xml:space="preserve">؛ </w:t>
      </w:r>
      <w:hyperlink r:id="rId110">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2">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3">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lang w:val="ar_AE" w:bidi="ar_AE"/>
          </w:rPr>
          <w:rPr>
            <w:color w:val="0000EE"/>
            <w:u w:val="single"/>
          </w:rPr>
          <w:t>مزمور 121:3</w:t>
        </w:r>
      </w:hyperlink>
      <w:r>
        <w:rPr>
          <w:lang w:val="ar_AE" w:bidi="ar_AE"/>
        </w:rPr>
        <w:t>)، وسيجمع خراف إسرائيل الضالة (</w:t>
      </w:r>
      <w:hyperlink r:id="rId115">
        <w:r>
          <w:rPr>
            <w:lang w:val="ar_AE" w:bidi="ar_AE"/>
          </w:rPr>
          <w:rPr>
            <w:color w:val="0000EE"/>
            <w:u w:val="single"/>
          </w:rPr>
          <w:t>إرميا 23:3</w:t>
        </w:r>
      </w:hyperlink>
      <w:r>
        <w:rPr>
          <w:lang w:val="ar_AE" w:bidi="ar_AE"/>
        </w:rPr>
        <w:t xml:space="preserve">؛ </w:t>
      </w:r>
      <w:hyperlink r:id="rId116">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7">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18">
        <w:r>
          <w:rPr>
            <w:lang w:val="ar_AE" w:bidi="ar_AE"/>
          </w:rPr>
          <w:rPr>
            <w:color w:val="0000EE"/>
            <w:u w:val="single"/>
          </w:rPr>
          <w:t>أمثال 11:16–19</w:t>
        </w:r>
      </w:hyperlink>
      <w:r>
        <w:rPr>
          <w:lang w:val="ar_AE" w:bidi="ar_AE"/>
        </w:rPr>
        <w:t xml:space="preserve">؛ </w:t>
      </w:r>
      <w:hyperlink r:id="rId119">
        <w:r>
          <w:rPr>
            <w:lang w:val="ar_AE" w:bidi="ar_AE"/>
          </w:rPr>
          <w:rPr>
            <w:color w:val="0000EE"/>
            <w:u w:val="single"/>
          </w:rPr>
          <w:t>إشعياء 66:5–6</w:t>
        </w:r>
      </w:hyperlink>
      <w:r>
        <w:rPr>
          <w:lang w:val="ar_AE" w:bidi="ar_AE"/>
        </w:rPr>
        <w:t xml:space="preserve">؛ </w:t>
      </w:r>
      <w:hyperlink r:id="rId120">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