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3 يوحنا 1: 1, 3 يوحنا 1: 1–4, 3 يوحنا 1: 3, 3 يوحنا 1: 4, 3 يوحنا 1: 5, 3 يوحنا 1: 5–8, 3 يوحنا 1: 6, 3 يوحنا 1: 7–8, 3 يوحنا 1: 9, 3 يوحنا 1: 9–12, 3 يوحنا 1: 11, 3 يوحنا 1: 12, 3 يوحنا 1: 13, 3 يوحنا 1: 13–15, 3 يوحنا 1: 14, 3 يوحنا 1: 15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(انظر </w:t>
      </w:r>
      <w:r>
        <w:rPr>
          <w:lang w:val="ar_AE" w:bidi="ar_AE"/>
        </w:rPr>
        <w:t>ملاحظة الدراسة على 2 يو 1:1</w:t>
      </w:r>
      <w:r>
        <w:rPr>
          <w:lang w:val="ar_AE" w:bidi="ar_AE"/>
        </w:rPr>
        <w:t xml:space="preserve">). • هناك عدة أشخاص باسم غايس في العهد الجديد (انظر </w:t>
      </w:r>
      <w:hyperlink r:id="rId13">
        <w:r>
          <w:rPr>
            <w:lang w:val="ar_AE" w:bidi="ar_AE"/>
          </w:rPr>
          <w:rPr>
            <w:color w:val="0000EE"/>
            <w:u w:val="single"/>
          </w:rPr>
          <w:t>أعمال 19:29</w:t>
        </w:r>
      </w:hyperlink>
      <w:r>
        <w:rPr>
          <w:lang w:val="ar_AE" w:bidi="ar_AE"/>
        </w:rPr>
        <w:t xml:space="preserve">; </w:t>
      </w:r>
      <w:hyperlink r:id="rId14">
        <w:r>
          <w:rPr>
            <w:lang w:val="ar_AE" w:bidi="ar_AE"/>
          </w:rPr>
          <w:rPr>
            <w:color w:val="0000EE"/>
            <w:u w:val="single"/>
          </w:rPr>
          <w:t>20:4</w:t>
        </w:r>
      </w:hyperlink>
      <w:r>
        <w:rPr>
          <w:lang w:val="ar_AE" w:bidi="ar_AE"/>
        </w:rPr>
        <w:t xml:space="preserve">; </w:t>
      </w:r>
      <w:hyperlink r:id="rId15">
        <w:r>
          <w:rPr>
            <w:lang w:val="ar_AE" w:bidi="ar_AE"/>
          </w:rPr>
          <w:rPr>
            <w:color w:val="0000EE"/>
            <w:u w:val="single"/>
          </w:rPr>
          <w:t>رومية 16:23</w:t>
        </w:r>
      </w:hyperlink>
      <w:r>
        <w:rPr>
          <w:lang w:val="ar_AE" w:bidi="ar_AE"/>
        </w:rPr>
        <w:t xml:space="preserve">; </w:t>
      </w:r>
      <w:hyperlink r:id="rId16">
        <w:r>
          <w:rPr>
            <w:lang w:val="ar_AE" w:bidi="ar_AE"/>
          </w:rPr>
          <w:rPr>
            <w:color w:val="0000EE"/>
            <w:u w:val="single"/>
          </w:rPr>
          <w:t>1 كورنثوس 1:14</w:t>
        </w:r>
      </w:hyperlink>
      <w:r>
        <w:rPr>
          <w:lang w:val="ar_AE" w:bidi="ar_AE"/>
        </w:rPr>
        <w:t>); فقد كان اسمًا شائعًا في العالم اليوناني-الروماني.</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lang w:val="ar_AE" w:bidi="ar_AE"/>
        </w:rPr>
      </w:r>
      <w:r>
        <w:rPr>
          <w:lang w:val="ar_AE" w:bidi="ar_AE"/>
        </w:rPr>
      </w:r>
    </w:p>
    <w:p>
      <w:pPr>
        <w:bidi/>
      </w:pPr>
      <w:r>
        <w:rPr>
          <w:lang w:val="ar_AE" w:bidi="ar_AE"/>
        </w:rPr>
      </w:r>
    </w:p>
    <w:p>
      <w:pPr>
        <w:pStyle w:val="Heading2"/>
        <w:bidi/>
      </w:pPr>
      <w:r>
        <w:rPr>
          <w:lang w:val="ar_AE" w:bidi="ar_AE"/>
        </w:rPr>
        <w:t>3 يوحنا 1: 3</w:t>
      </w:r>
      <w:r>
        <w:rPr>
          <w:lang w:val="ar_AE" w:bidi="ar_AE"/>
        </w:rPr>
      </w:r>
    </w:p>
    <w:p>
      <w:pPr>
        <w:bidi/>
      </w:pPr>
      <w:r>
        <w:rPr>
          <w:lang w:val="ar_AE" w:bidi="ar_AE"/>
        </w:rPr>
      </w:r>
      <w:r>
        <w:rPr>
          <w:lang w:val="ar_AE" w:bidi="ar_AE"/>
        </w:rPr>
        <w:t xml:space="preserve">كان المُعَلِّمون المتجولون (حرفيًا </w:t>
      </w:r>
      <w:r>
        <w:rPr>
          <w:i/>
          <w:lang w:val="ar_AE" w:bidi="ar_AE"/>
        </w:rPr>
        <w:t>إخوة</w:t>
      </w:r>
      <w:r>
        <w:rPr>
          <w:lang w:val="ar_AE" w:bidi="ar_AE"/>
        </w:rPr>
        <w:t xml:space="preserve">) على الأرجح مبعوثي يوحنا الذين كانوا يسافرون من كنيسة إلى أخرى، يُعَلِّمون الأخبار السارة ويشجعون المؤمنين (انظر </w:t>
      </w:r>
      <w:hyperlink r:id="rId17">
        <w:r>
          <w:rPr>
            <w:lang w:val="ar_AE" w:bidi="ar_AE"/>
          </w:rPr>
          <w:rPr>
            <w:color w:val="0000EE"/>
            <w:u w:val="single"/>
          </w:rPr>
          <w:t>1:5</w:t>
        </w:r>
      </w:hyperlink>
      <w:r>
        <w:rPr>
          <w:lang w:val="ar_AE" w:bidi="ar_AE"/>
        </w:rPr>
        <w:t xml:space="preserve">, </w:t>
      </w:r>
      <w:hyperlink r:id="rId18">
        <w:r>
          <w:rPr>
            <w:lang w:val="ar_AE" w:bidi="ar_AE"/>
          </w:rPr>
          <w:rPr>
            <w:color w:val="0000EE"/>
            <w:u w:val="single"/>
          </w:rPr>
          <w:t>10</w:t>
        </w:r>
      </w:hyperlink>
      <w:r>
        <w:rPr>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hyperlink r:id="rId19">
        <w:r>
          <w:rPr>
            <w:lang w:val="ar_AE" w:bidi="ar_AE"/>
          </w:rPr>
          <w:rPr>
            <w:color w:val="0000EE"/>
            <w:u w:val="single"/>
          </w:rPr>
          <w:t>1 يوحنا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4</w:t>
      </w:r>
      <w:r>
        <w:rPr>
          <w:lang w:val="ar_AE" w:bidi="ar_AE"/>
        </w:rPr>
      </w:r>
    </w:p>
    <w:p>
      <w:pPr>
        <w:bidi/>
      </w:pPr>
      <w:r>
        <w:rPr>
          <w:lang w:val="ar_AE" w:bidi="ar_AE"/>
        </w:rPr>
      </w:r>
      <w:r>
        <w:rPr>
          <w:lang w:val="ar_AE" w:bidi="ar_AE"/>
        </w:rPr>
        <w:t xml:space="preserve">كما في 2 يوحنا (انظر </w:t>
      </w:r>
      <w:hyperlink r:id="rId20">
        <w:r>
          <w:rPr>
            <w:lang w:val="ar_AE" w:bidi="ar_AE"/>
          </w:rPr>
          <w:rPr>
            <w:color w:val="0000EE"/>
            <w:u w:val="single"/>
          </w:rPr>
          <w:t>2 يو 1:1–4</w:t>
        </w:r>
      </w:hyperlink>
      <w:r>
        <w:rPr>
          <w:lang w:val="ar_AE" w:bidi="ar_AE"/>
        </w:rPr>
        <w:t>)، يركز يوحنا على معرفة واتِّبَاع الحق على عكس ديوتريفس وأتباعه (</w:t>
      </w:r>
      <w:hyperlink r:id="rId21">
        <w:r>
          <w:rPr>
            <w:lang w:val="ar_AE" w:bidi="ar_AE"/>
          </w:rPr>
          <w:rPr>
            <w:color w:val="0000EE"/>
            <w:u w:val="single"/>
          </w:rPr>
          <w:t>3 يو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5</w:t>
      </w:r>
      <w:r>
        <w:rPr>
          <w:lang w:val="ar_AE" w:bidi="ar_AE"/>
        </w:rPr>
      </w:r>
    </w:p>
    <w:p>
      <w:pPr>
        <w:bidi/>
      </w:pPr>
      <w:r>
        <w:rPr>
          <w:lang w:val="ar_AE" w:bidi="ar_AE"/>
        </w:rPr>
      </w:r>
      <w:r>
        <w:rPr>
          <w:lang w:val="ar_AE" w:bidi="ar_AE"/>
        </w:rPr>
        <w:t xml:space="preserve">لقد قدّم غايس الضيافة للمُعَلِّمين المتجولين (حرفيًا </w:t>
      </w:r>
      <w:r>
        <w:rPr>
          <w:i/>
          <w:lang w:val="ar_AE" w:bidi="ar_AE"/>
        </w:rPr>
        <w:t>الإخوة</w:t>
      </w:r>
      <w:r>
        <w:rPr>
          <w:lang w:val="ar_AE" w:bidi="ar_AE"/>
        </w:rPr>
        <w:t>) الذين أرسلهم يوحنا من كنيسة إلى أخرى لتأكيد تعليم الرُسل عن المسيح (</w:t>
      </w:r>
      <w:hyperlink r:id="rId22">
        <w:r>
          <w:rPr>
            <w:lang w:val="ar_AE" w:bidi="ar_AE"/>
          </w:rPr>
          <w:rPr>
            <w:color w:val="0000EE"/>
            <w:u w:val="single"/>
          </w:rPr>
          <w:t>1:7–8</w:t>
        </w:r>
      </w:hyperlink>
      <w:r>
        <w:rPr>
          <w:lang w:val="ar_AE" w:bidi="ar_AE"/>
        </w:rPr>
        <w:t>). ومن خلال هذا الفعل، أظهر غايس أنه قد تلقى الحق من الرسل وأنه كان بالتالي أمينًا لله.</w:t>
      </w:r>
      <w:r>
        <w:rPr>
          <w:lang w:val="ar_AE" w:bidi="ar_AE"/>
        </w:rPr>
      </w:r>
      <w:r>
        <w:rPr>
          <w:lang w:val="ar_AE" w:bidi="ar_AE"/>
        </w:rPr>
      </w:r>
    </w:p>
    <w:p>
      <w:pPr>
        <w:bidi/>
      </w:pPr>
      <w:r>
        <w:rPr>
          <w:lang w:val="ar_AE" w:bidi="ar_AE"/>
        </w:rPr>
      </w:r>
    </w:p>
    <w:p>
      <w:pPr>
        <w:pStyle w:val="Heading2"/>
        <w:bidi/>
      </w:pPr>
      <w:r>
        <w:rPr>
          <w:lang w:val="ar_AE" w:bidi="ar_AE"/>
        </w:rPr>
        <w:t>3 يوحنا 1: 5–8</w:t>
      </w:r>
      <w:r>
        <w:rPr>
          <w:lang w:val="ar_AE" w:bidi="ar_AE"/>
        </w:rPr>
      </w:r>
    </w:p>
    <w:p>
      <w:pPr>
        <w:bidi/>
      </w:pPr>
      <w:r>
        <w:rPr>
          <w:lang w:val="ar_AE" w:bidi="ar_AE"/>
        </w:rPr>
      </w:r>
      <w:r>
        <w:rPr>
          <w:lang w:val="ar_AE" w:bidi="ar_AE"/>
        </w:rPr>
        <w:t>يُشجع يوحنا الآن غايس على مواصلة دعم المُعَلِّمين المتجولين الذين أرسلهم يوحنا (</w:t>
      </w:r>
      <w:hyperlink r:id="rId2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6</w:t>
      </w:r>
      <w:r>
        <w:rPr>
          <w:lang w:val="ar_AE" w:bidi="ar_AE"/>
        </w:rPr>
      </w:r>
    </w:p>
    <w:p>
      <w:pPr>
        <w:bidi/>
      </w:pPr>
      <w:r>
        <w:rPr>
          <w:lang w:val="ar_AE" w:bidi="ar_AE"/>
        </w:rPr>
      </w:r>
      <w:r>
        <w:rPr>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hyperlink r:id="rId24">
        <w:r>
          <w:rPr>
            <w:lang w:val="ar_AE" w:bidi="ar_AE"/>
          </w:rPr>
          <w:rPr>
            <w:color w:val="0000EE"/>
            <w:u w:val="single"/>
          </w:rPr>
          <w:t>أعمال 18:19–19:41</w:t>
        </w:r>
      </w:hyperlink>
      <w:r>
        <w:rPr>
          <w:lang w:val="ar_AE" w:bidi="ar_AE"/>
        </w:rPr>
        <w:t xml:space="preserve">; </w:t>
      </w:r>
      <w:hyperlink r:id="rId25">
        <w:r>
          <w:rPr>
            <w:lang w:val="ar_AE" w:bidi="ar_AE"/>
          </w:rPr>
          <w:rPr>
            <w:color w:val="0000EE"/>
            <w:u w:val="single"/>
          </w:rPr>
          <w:t>1 تيموثاوس 1:3</w:t>
        </w:r>
      </w:hyperlink>
      <w:r>
        <w:rPr>
          <w:lang w:val="ar_AE" w:bidi="ar_AE"/>
        </w:rPr>
        <w:t xml:space="preserve">; </w:t>
      </w:r>
      <w:hyperlink r:id="rId26">
        <w:r>
          <w:rPr>
            <w:lang w:val="ar_AE" w:bidi="ar_AE"/>
          </w:rPr>
          <w:rPr>
            <w:color w:val="0000EE"/>
            <w:u w:val="single"/>
          </w:rPr>
          <w:t>1 بطرس 1:1</w:t>
        </w:r>
      </w:hyperlink>
      <w:r>
        <w:rPr>
          <w:lang w:val="ar_AE" w:bidi="ar_AE"/>
        </w:rPr>
        <w:t xml:space="preserve">; </w:t>
      </w:r>
      <w:hyperlink r:id="rId27">
        <w:r>
          <w:rPr>
            <w:lang w:val="ar_AE" w:bidi="ar_AE"/>
          </w:rPr>
          <w:rPr>
            <w:color w:val="0000EE"/>
            <w:u w:val="single"/>
          </w:rPr>
          <w:t>رؤيا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7–8</w:t>
      </w:r>
      <w:r>
        <w:rPr>
          <w:lang w:val="ar_AE" w:bidi="ar_AE"/>
        </w:rPr>
      </w:r>
    </w:p>
    <w:p>
      <w:pPr>
        <w:bidi/>
      </w:pPr>
      <w:r>
        <w:rPr>
          <w:lang w:val="ar_AE" w:bidi="ar_AE"/>
        </w:rPr>
      </w:r>
      <w:r>
        <w:rPr>
          <w:lang w:val="ar_AE" w:bidi="ar_AE"/>
        </w:rPr>
        <w:t xml:space="preserve">لأجل الرب (حرفيًا </w:t>
      </w:r>
      <w:r>
        <w:rPr>
          <w:i/>
          <w:lang w:val="ar_AE" w:bidi="ar_AE"/>
        </w:rPr>
        <w:t>مِنْ أَجْلِ اسْمِهِ</w:t>
      </w:r>
      <w:r>
        <w:rPr>
          <w:lang w:val="ar_AE" w:bidi="ar_AE"/>
        </w:rPr>
        <w:t xml:space="preserve">): لم يكن يوحنّا بحاجة لتحديد الاسم لأن جميع المؤمنين الأوائل كانوا يعرفون أن </w:t>
      </w:r>
      <w:r>
        <w:rPr>
          <w:i/>
          <w:lang w:val="ar_AE" w:bidi="ar_AE"/>
        </w:rPr>
        <w:t>الاسم</w:t>
      </w:r>
      <w:r>
        <w:rPr>
          <w:lang w:val="ar_AE" w:bidi="ar_AE"/>
        </w:rPr>
        <w:t xml:space="preserve"> كان يشير إلى يسوع المسيح (انظر </w:t>
      </w:r>
      <w:hyperlink r:id="rId28">
        <w:r>
          <w:rPr>
            <w:lang w:val="ar_AE" w:bidi="ar_AE"/>
          </w:rPr>
          <w:rPr>
            <w:color w:val="0000EE"/>
            <w:u w:val="single"/>
          </w:rPr>
          <w:t>أعمال 5:41</w:t>
        </w:r>
      </w:hyperlink>
      <w:r>
        <w:rPr>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hyperlink r:id="rId29">
        <w:r>
          <w:rPr>
            <w:lang w:val="ar_AE" w:bidi="ar_AE"/>
          </w:rPr>
          <w:rPr>
            <w:color w:val="0000EE"/>
            <w:u w:val="single"/>
          </w:rPr>
          <w:t>متى 10:41–42</w:t>
        </w:r>
      </w:hyperlink>
      <w:r>
        <w:rPr>
          <w:lang w:val="ar_AE" w:bidi="ar_AE"/>
        </w:rPr>
        <w:t xml:space="preserve">; </w:t>
      </w:r>
      <w:hyperlink r:id="rId30">
        <w:r>
          <w:rPr>
            <w:lang w:val="ar_AE" w:bidi="ar_AE"/>
          </w:rPr>
          <w:rPr>
            <w:color w:val="0000EE"/>
            <w:u w:val="single"/>
          </w:rPr>
          <w:t>فيلبي 4:15–19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9</w:t>
      </w:r>
      <w:r>
        <w:rPr>
          <w:lang w:val="ar_AE" w:bidi="ar_AE"/>
        </w:rPr>
      </w:r>
    </w:p>
    <w:p>
      <w:pPr>
        <w:bidi/>
      </w:pPr>
      <w:r>
        <w:rPr>
          <w:lang w:val="ar_AE" w:bidi="ar_AE"/>
        </w:rPr>
      </w:r>
      <w:r>
        <w:rPr>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hyperlink r:id="rId31">
        <w:r>
          <w:rPr>
            <w:lang w:val="ar_AE" w:bidi="ar_AE"/>
          </w:rPr>
          <w:rPr>
            <w:color w:val="0000EE"/>
            <w:u w:val="single"/>
          </w:rPr>
          <w:t>1 تيموثاوس 3:6</w:t>
        </w:r>
      </w:hyperlink>
      <w:r>
        <w:rPr>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hyperlink r:id="rId32">
        <w:r>
          <w:rPr>
            <w:lang w:val="ar_AE" w:bidi="ar_AE"/>
          </w:rPr>
          <w:rPr>
            <w:color w:val="0000EE"/>
            <w:u w:val="single"/>
          </w:rPr>
          <w:t>1 يوحنا 2:19</w:t>
        </w:r>
      </w:hyperlink>
      <w:r>
        <w:rPr>
          <w:lang w:val="ar_AE" w:bidi="ar_AE"/>
        </w:rPr>
        <w:t xml:space="preserve">; </w:t>
      </w:r>
      <w:hyperlink r:id="rId33">
        <w:r>
          <w:rPr>
            <w:lang w:val="ar_AE" w:bidi="ar_AE"/>
          </w:rPr>
          <w:rPr>
            <w:color w:val="0000EE"/>
            <w:u w:val="single"/>
          </w:rPr>
          <w:t>4:5–6</w:t>
        </w:r>
      </w:hyperlink>
      <w:r>
        <w:rPr>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lang w:val="ar_AE" w:bidi="ar_AE"/>
        </w:rPr>
      </w:r>
      <w:r>
        <w:rPr>
          <w:lang w:val="ar_AE" w:bidi="ar_AE"/>
        </w:rPr>
      </w:r>
    </w:p>
    <w:p>
      <w:pPr>
        <w:bidi/>
      </w:pPr>
      <w:r>
        <w:rPr>
          <w:lang w:val="ar_AE" w:bidi="ar_AE"/>
        </w:rPr>
      </w:r>
    </w:p>
    <w:p>
      <w:pPr>
        <w:pStyle w:val="Heading2"/>
        <w:bidi/>
      </w:pPr>
      <w:r>
        <w:rPr>
          <w:lang w:val="ar_AE" w:bidi="ar_AE"/>
        </w:rPr>
        <w:t>3 يوحنا 1: 9–12</w:t>
      </w:r>
      <w:r>
        <w:rPr>
          <w:lang w:val="ar_AE" w:bidi="ar_AE"/>
        </w:rPr>
      </w:r>
    </w:p>
    <w:p>
      <w:pPr>
        <w:bidi/>
      </w:pPr>
      <w:r>
        <w:rPr>
          <w:lang w:val="ar_AE" w:bidi="ar_AE"/>
        </w:rPr>
      </w:r>
      <w:r>
        <w:rPr>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lang w:val="ar_AE" w:bidi="ar_AE"/>
        </w:rPr>
      </w:r>
      <w:r>
        <w:rPr>
          <w:lang w:val="ar_AE" w:bidi="ar_AE"/>
        </w:rPr>
      </w:r>
    </w:p>
    <w:p>
      <w:pPr>
        <w:bidi/>
      </w:pPr>
      <w:r>
        <w:rPr>
          <w:lang w:val="ar_AE" w:bidi="ar_AE"/>
        </w:rPr>
      </w:r>
    </w:p>
    <w:p>
      <w:pPr>
        <w:pStyle w:val="Heading2"/>
        <w:bidi/>
      </w:pPr>
      <w:r>
        <w:rPr>
          <w:lang w:val="ar_AE" w:bidi="ar_AE"/>
        </w:rPr>
        <w:t>3 يوحنا 1: 11</w:t>
      </w:r>
      <w:r>
        <w:rPr>
          <w:lang w:val="ar_AE" w:bidi="ar_AE"/>
        </w:rPr>
      </w:r>
    </w:p>
    <w:p>
      <w:pPr>
        <w:bidi/>
      </w:pPr>
      <w:r>
        <w:rPr>
          <w:lang w:val="ar_AE" w:bidi="ar_AE"/>
        </w:rPr>
      </w:r>
      <w:r>
        <w:rPr>
          <w:lang w:val="ar_AE" w:bidi="ar_AE"/>
        </w:rPr>
        <w:t>وَمَنْ يَصْنَعُ الشَّرَّ: أُدين ديوتريفس لإخفاقه في العيش وفقًا لوصية المحبة المسيحية (</w:t>
      </w:r>
      <w:hyperlink r:id="rId34">
        <w:r>
          <w:rPr>
            <w:lang w:val="ar_AE" w:bidi="ar_AE"/>
          </w:rPr>
          <w:rPr>
            <w:color w:val="0000EE"/>
            <w:u w:val="single"/>
          </w:rPr>
          <w:t>1 يو 3:10–14</w:t>
        </w:r>
      </w:hyperlink>
      <w:r>
        <w:rPr>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lang w:val="ar_AE" w:bidi="ar_AE"/>
        </w:rPr>
      </w:r>
      <w:r>
        <w:rPr>
          <w:lang w:val="ar_AE" w:bidi="ar_AE"/>
        </w:rPr>
      </w:r>
    </w:p>
    <w:p>
      <w:pPr>
        <w:bidi/>
      </w:pPr>
      <w:r>
        <w:rPr>
          <w:lang w:val="ar_AE" w:bidi="ar_AE"/>
        </w:rPr>
      </w:r>
    </w:p>
    <w:p>
      <w:pPr>
        <w:pStyle w:val="Heading2"/>
        <w:bidi/>
      </w:pPr>
      <w:r>
        <w:rPr>
          <w:lang w:val="ar_AE" w:bidi="ar_AE"/>
        </w:rPr>
        <w:t>3 يوحنا 1: 12</w:t>
      </w:r>
      <w:r>
        <w:rPr>
          <w:lang w:val="ar_AE" w:bidi="ar_AE"/>
        </w:rPr>
      </w:r>
    </w:p>
    <w:p>
      <w:pPr>
        <w:bidi/>
      </w:pPr>
      <w:r>
        <w:rPr>
          <w:lang w:val="ar_AE" w:bidi="ar_AE"/>
        </w:rPr>
      </w:r>
      <w:r>
        <w:rPr>
          <w:lang w:val="ar_AE" w:bidi="ar_AE"/>
        </w:rPr>
        <w:t>كان ديمتريوس على النقيض تمامًا من ديوتريفس، حيث كان مثالًا بارزًا لمن يعرف الحق ويحيا بمقتضاه (</w:t>
      </w:r>
      <w:hyperlink r:id="rId23">
        <w:r>
          <w:rPr>
            <w:lang w:val="ar_AE" w:bidi="ar_AE"/>
          </w:rPr>
          <w:rPr>
            <w:color w:val="0000EE"/>
            <w:u w:val="single"/>
          </w:rPr>
          <w:t>1:3</w:t>
        </w:r>
      </w:hyperlink>
      <w:r>
        <w:rPr>
          <w:lang w:val="ar_AE" w:bidi="ar_AE"/>
        </w:rPr>
        <w:t xml:space="preserve">). ويشير وضع اسم ديمتريوس في نهاية الرسالة إلى أنه كان الشخص الذي حمل رسالة يوحنا إلى غايس (قارن </w:t>
      </w:r>
      <w:hyperlink r:id="rId35">
        <w:r>
          <w:rPr>
            <w:lang w:val="ar_AE" w:bidi="ar_AE"/>
          </w:rPr>
          <w:rPr>
            <w:color w:val="0000EE"/>
            <w:u w:val="single"/>
          </w:rPr>
          <w:t>كولوسي 4:7–9</w:t>
        </w:r>
      </w:hyperlink>
      <w:r>
        <w:rPr>
          <w:lang w:val="ar_AE" w:bidi="ar_AE"/>
        </w:rPr>
        <w:t xml:space="preserve">; </w:t>
      </w:r>
      <w:hyperlink r:id="rId36">
        <w:r>
          <w:rPr>
            <w:lang w:val="ar_AE" w:bidi="ar_AE"/>
          </w:rPr>
          <w:rPr>
            <w:color w:val="0000EE"/>
            <w:u w:val="single"/>
          </w:rPr>
          <w:t>1 بطرس 5:12</w:t>
        </w:r>
      </w:hyperlink>
      <w:r>
        <w:rPr>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lang w:val="ar_AE" w:bidi="ar_AE"/>
        </w:rPr>
      </w:r>
      <w:r>
        <w:rPr>
          <w:lang w:val="ar_AE" w:bidi="ar_AE"/>
        </w:rPr>
      </w:r>
    </w:p>
    <w:p>
      <w:pPr>
        <w:bidi/>
      </w:pPr>
      <w:r>
        <w:rPr>
          <w:lang w:val="ar_AE" w:bidi="ar_AE"/>
        </w:rPr>
      </w:r>
    </w:p>
    <w:p>
      <w:pPr>
        <w:pStyle w:val="Heading2"/>
        <w:bidi/>
      </w:pPr>
      <w:r>
        <w:rPr>
          <w:lang w:val="ar_AE" w:bidi="ar_AE"/>
        </w:rPr>
        <w:t>3 يوحنا 1: 13</w:t>
      </w:r>
      <w:r>
        <w:rPr>
          <w:lang w:val="ar_AE" w:bidi="ar_AE"/>
        </w:rPr>
      </w:r>
    </w:p>
    <w:p>
      <w:pPr>
        <w:bidi/>
      </w:pPr>
      <w:r>
        <w:rPr>
          <w:lang w:val="ar_AE" w:bidi="ar_AE"/>
        </w:rPr>
      </w:r>
      <w:r>
        <w:rPr>
          <w:lang w:val="ar_AE" w:bidi="ar_AE"/>
        </w:rPr>
        <w:t xml:space="preserve"> بِحِبْرٍ وَقَلَمٍ (حرفيًا </w:t>
      </w:r>
      <w:r>
        <w:rPr>
          <w:i/>
          <w:lang w:val="ar_AE" w:bidi="ar_AE"/>
        </w:rPr>
        <w:t>الحبر والقصب</w:t>
      </w:r>
      <w:r>
        <w:rPr>
          <w:lang w:val="ar_AE" w:bidi="ar_AE"/>
        </w:rPr>
        <w:t xml:space="preserve">): في العصور القديمة، كانت الكتابة تتم عادةً باستخدام قلم مصنوع من القصب وحبر الكربون الأسود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13–15</w:t>
      </w:r>
      <w:r>
        <w:rPr>
          <w:lang w:val="ar_AE" w:bidi="ar_AE"/>
        </w:rPr>
      </w:r>
    </w:p>
    <w:p>
      <w:pPr>
        <w:bidi/>
      </w:pPr>
      <w:r>
        <w:rPr>
          <w:lang w:val="ar_AE" w:bidi="ar_AE"/>
        </w:rPr>
      </w:r>
      <w:r>
        <w:rPr>
          <w:lang w:val="ar_AE" w:bidi="ar_AE"/>
        </w:rPr>
        <w:t>كما هو الحال في 2 يوحنا، يُظهر ختام 3 يوحنا رغبة يوحنا في القيام بزيارة شخصية والاطلاع على تعليمات هذه الرسالة.</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 xml:space="preserve">التعبير الاصطلاحي الإنجليزي "وجهًا لوجه" يعادل التعبير الاصطلاحي اليوناني المستخدم هنا (حرفيًا </w:t>
      </w:r>
      <w:r>
        <w:rPr>
          <w:i/>
          <w:lang w:val="ar_AE" w:bidi="ar_AE"/>
        </w:rPr>
        <w:t>فمًا لفم؛</w:t>
      </w:r>
      <w:r>
        <w:rPr>
          <w:lang w:val="ar_AE" w:bidi="ar_AE"/>
        </w:rPr>
        <w:t xml:space="preserve">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15</w:t>
      </w:r>
      <w:r>
        <w:rPr>
          <w:lang w:val="ar_AE" w:bidi="ar_AE"/>
        </w:rPr>
      </w:r>
    </w:p>
    <w:p>
      <w:pPr>
        <w:bidi/>
      </w:pPr>
      <w:r>
        <w:rPr>
          <w:lang w:val="ar_AE" w:bidi="ar_AE"/>
        </w:rPr>
      </w:r>
      <w:r>
        <w:rPr>
          <w:lang w:val="ar_AE" w:bidi="ar_AE"/>
        </w:rPr>
        <w:t>يختتم يوحنّا رسالته بودَاعِه وتحياته للآخرين. • سَلاَمٌ لَكَ: كانت هذه تحية تقليدية بين اليهود (</w:t>
      </w:r>
      <w:hyperlink r:id="rId38">
        <w:r>
          <w:rPr>
            <w:lang w:val="ar_AE" w:bidi="ar_AE"/>
          </w:rPr>
          <w:rPr>
            <w:color w:val="0000EE"/>
            <w:u w:val="single"/>
          </w:rPr>
          <w:t>متى 10:12</w:t>
        </w:r>
      </w:hyperlink>
      <w:r>
        <w:rPr>
          <w:lang w:val="ar_AE" w:bidi="ar_AE"/>
        </w:rPr>
        <w:t xml:space="preserve">; </w:t>
      </w:r>
      <w:hyperlink r:id="rId39">
        <w:r>
          <w:rPr>
            <w:lang w:val="ar_AE" w:bidi="ar_AE"/>
          </w:rPr>
          <w:rPr>
            <w:color w:val="0000EE"/>
            <w:u w:val="single"/>
          </w:rPr>
          <w:t>لوقا 10:5–6</w:t>
        </w:r>
      </w:hyperlink>
      <w:r>
        <w:rPr>
          <w:lang w:val="ar_AE" w:bidi="ar_AE"/>
        </w:rPr>
        <w:t>)، والتي أصبحت ذات أهمية متزايدة للمسيحيين لأن يسوع استخدمها بعد قيامته (</w:t>
      </w:r>
      <w:hyperlink r:id="rId40">
        <w:r>
          <w:rPr>
            <w:lang w:val="ar_AE" w:bidi="ar_AE"/>
          </w:rPr>
          <w:rPr>
            <w:color w:val="0000EE"/>
            <w:u w:val="single"/>
          </w:rPr>
          <w:t>يوحنّا 20:19–21</w:t>
        </w:r>
      </w:hyperlink>
      <w:r>
        <w:rPr>
          <w:lang w:val="ar_AE" w:bidi="ar_AE"/>
        </w:rPr>
        <w:t xml:space="preserve">, </w:t>
      </w:r>
      <w:hyperlink r:id="rId41">
        <w:r>
          <w:rPr>
            <w:lang w:val="ar_AE" w:bidi="ar_AE"/>
          </w:rPr>
          <w:rPr>
            <w:color w:val="0000EE"/>
            <w:u w:val="single"/>
          </w:rPr>
          <w:t>26</w:t>
        </w:r>
      </w:hyperlink>
      <w:r>
        <w:rPr>
          <w:lang w:val="ar_AE" w:bidi="ar_AE"/>
        </w:rPr>
        <w:t xml:space="preserve">). • أرسل لهم تحياتي الشخصية (حرفيًا </w:t>
      </w:r>
      <w:r>
        <w:rPr>
          <w:i/>
          <w:lang w:val="ar_AE" w:bidi="ar_AE"/>
        </w:rPr>
        <w:t>سَلِّمْ عَلَى الأَحِبَّاءِ بِأَسْمَائِهِمْ</w:t>
      </w:r>
      <w:r>
        <w:rPr>
          <w:lang w:val="ar_AE" w:bidi="ar_AE"/>
        </w:rPr>
        <w:t xml:space="preserve">): كان على غايس أن يحيي الأصدقاء - أي أولئك الذين يقبلون الإنجيل الرسولي ويعيشون وفقًا للحق (قارن </w:t>
      </w:r>
      <w:hyperlink r:id="rId42">
        <w:r>
          <w:rPr>
            <w:lang w:val="ar_AE" w:bidi="ar_AE"/>
          </w:rPr>
          <w:rPr>
            <w:color w:val="0000EE"/>
            <w:u w:val="single"/>
          </w:rPr>
          <w:t>3 يوحنا 1:3–4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