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 1.1, Ester 1.2, Ester 1.4, Ester 1.5, Ester 1.6, Ester 1.8, Ester 1.9, Ester 1.10, Ester 1.11, Ester 1.12, Ester 1.13, Ester 1.15, Ester 1.16–18, Ester 1.17, Ester 1.19, Ester 1.22, Ester 2.6, Ester 2.7, Ester 2.9, Ester 2.10, Ester 2.12, Ester 2.14, Ester 2.15, Ester 2.17, Ester 2.18, Ester 2.19, Ester 2.20, Ester 2.21, Ester 2.22, Ester 2.23, Ester 3.1–15, Ester 3.2, Ester 3.6, Ester 3.7, Ester 3.8, Ester 3.9, Ester 3.10–11, Ester 3.12, Ester 3.13, Ester 3.14–15, Ester 4.1, Ester 4.2, Ester 4.3, Ester 4.8, Ester 4.11, Ester 4.13–14, Ester 4.16, Ester 5.2, Ester 5.3, Ester 5.4, Ester 5.8, Ester 5.9, Ester 5.9–14, Ester 5.14, Ester 6.1, Ester 6.2, Ester 6.3, Ester 6.4–6, Ester 6.7–9, Ester 6.10–12, Ester 6.13, Ester 7.3–4, Ester 7.5, Ester 7.6–7, Ester 7.8, Ester 7.9, Ester 8.1, Ester 8.2, Ester 8.3, Ester 8.5, Ester 8.8, Ester 8.9, Ester 8.11, Ester 8.12, Ester 8.13, Ester 8.15, Ester 8.17, Ester 9.1, Ester 9.3–4, Ester 9.5, Ester 9.6, Ester 9.7–10, Ester 9.10, Ester 9.12, Ester 9.13, Ester 9.14, Ester 9.15, Ester 9.16, Ester 9.17, Ester 9.19, Ester 9.23–26, Ester 9.26–28, Ester 9.29–32, Ester 10.1–2, Ester 10.2, Ester 10.3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hyperlink r:id="rId13">
        <w:r>
          <w:rPr>
            <w:lang w:val="pt_PT" w:bidi="pt_PT"/>
          </w:rPr>
          <w:rPr>
            <w:color w:val="0000EE"/>
            <w:u w:val="single"/>
          </w:rPr>
          <w:t>Ed 4.24–6.22</w:t>
        </w:r>
      </w:hyperlink>
      <w:r>
        <w:rPr>
          <w:lang w:val="pt_PT" w:bidi="pt_PT"/>
        </w:rPr>
        <w:t xml:space="preserve">; </w:t>
      </w:r>
      <w:hyperlink r:id="rId14">
        <w:r>
          <w:rPr>
            <w:lang w:val="pt_PT" w:bidi="pt_PT"/>
          </w:rPr>
          <w:rPr>
            <w:color w:val="0000EE"/>
            <w:u w:val="single"/>
          </w:rPr>
          <w:t>Ag 1.1</w:t>
        </w:r>
      </w:hyperlink>
      <w:r>
        <w:rPr>
          <w:lang w:val="pt_PT" w:bidi="pt_PT"/>
        </w:rPr>
        <w:t xml:space="preserve">; </w:t>
      </w:r>
      <w:hyperlink r:id="rId15">
        <w:r>
          <w:rPr>
            <w:lang w:val="pt_PT" w:bidi="pt_PT"/>
          </w:rPr>
          <w:rPr>
            <w:color w:val="0000EE"/>
            <w:u w:val="single"/>
          </w:rPr>
          <w:t>Zc 1.1</w:t>
        </w:r>
      </w:hyperlink>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hyperlink r:id="rId16">
        <w:r>
          <w:rPr>
            <w:lang w:val="pt_PT" w:bidi="pt_PT"/>
          </w:rPr>
          <w:rPr>
            <w:color w:val="0000EE"/>
            <w:u w:val="single"/>
          </w:rPr>
          <w:t>Ed 4.7–23</w:t>
        </w:r>
      </w:hyperlink>
      <w:r>
        <w:rPr>
          <w:lang w:val="pt_PT" w:bidi="pt_PT"/>
        </w:rPr>
        <w:t xml:space="preserve">; </w:t>
      </w:r>
      <w:hyperlink r:id="rId17">
        <w:r>
          <w:rPr>
            <w:lang w:val="pt_PT" w:bidi="pt_PT"/>
          </w:rPr>
          <w:rPr>
            <w:color w:val="0000EE"/>
            <w:u w:val="single"/>
          </w:rPr>
          <w:t>6.14</w:t>
        </w:r>
      </w:hyperlink>
      <w:r>
        <w:rPr>
          <w:lang w:val="pt_PT" w:bidi="pt_PT"/>
        </w:rPr>
        <w:t xml:space="preserve">; </w:t>
      </w:r>
      <w:hyperlink r:id="rId18">
        <w:r>
          <w:rPr>
            <w:lang w:val="pt_PT" w:bidi="pt_PT"/>
          </w:rPr>
          <w:rPr>
            <w:color w:val="0000EE"/>
            <w:u w:val="single"/>
          </w:rPr>
          <w:t>7.1</w:t>
        </w:r>
      </w:hyperlink>
      <w:r>
        <w:rPr>
          <w:lang w:val="pt_PT" w:bidi="pt_PT"/>
        </w:rPr>
        <w:t>,</w:t>
      </w:r>
      <w:hyperlink r:id="rId19">
        <w:r>
          <w:rPr>
            <w:lang w:val="pt_PT" w:bidi="pt_PT"/>
          </w:rPr>
          <w:rPr>
            <w:color w:val="0000EE"/>
            <w:u w:val="single"/>
          </w:rPr>
          <w:t>7</w:t>
        </w:r>
      </w:hyperlink>
      <w:r>
        <w:rPr>
          <w:lang w:val="pt_PT" w:bidi="pt_PT"/>
        </w:rPr>
        <w:t>,</w:t>
      </w:r>
      <w:hyperlink r:id="rId20">
        <w:r>
          <w:rPr>
            <w:lang w:val="pt_PT" w:bidi="pt_PT"/>
          </w:rPr>
          <w:rPr>
            <w:color w:val="0000EE"/>
            <w:u w:val="single"/>
          </w:rPr>
          <w:t>11–26</w:t>
        </w:r>
      </w:hyperlink>
      <w:r>
        <w:rPr>
          <w:lang w:val="pt_PT" w:bidi="pt_PT"/>
        </w:rPr>
        <w:t xml:space="preserve">; </w:t>
      </w:r>
      <w:hyperlink r:id="rId21">
        <w:r>
          <w:rPr>
            <w:lang w:val="pt_PT" w:bidi="pt_PT"/>
          </w:rPr>
          <w:rPr>
            <w:color w:val="0000EE"/>
            <w:u w:val="single"/>
          </w:rPr>
          <w:t>8.1</w:t>
        </w:r>
      </w:hyperlink>
      <w:r>
        <w:rPr>
          <w:lang w:val="pt_PT" w:bidi="pt_PT"/>
        </w:rPr>
        <w:t xml:space="preserve">; </w:t>
      </w:r>
      <w:hyperlink r:id="rId22">
        <w:r>
          <w:rPr>
            <w:lang w:val="pt_PT" w:bidi="pt_PT"/>
          </w:rPr>
          <w:rPr>
            <w:color w:val="0000EE"/>
            <w:u w:val="single"/>
          </w:rPr>
          <w:t>Ne 1.1</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5.14</w:t>
        </w:r>
      </w:hyperlink>
      <w:r>
        <w:rPr>
          <w:lang w:val="pt_PT" w:bidi="pt_PT"/>
        </w:rPr>
        <w:t xml:space="preserve">; </w:t>
      </w:r>
      <w:hyperlink r:id="rId25">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hyperlink r:id="rId2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hyperlink r:id="rId27">
        <w:r>
          <w:rPr>
            <w:lang w:val="pt_PT" w:bidi="pt_PT"/>
          </w:rPr>
          <w:rPr>
            <w:color w:val="0000EE"/>
            <w:u w:val="single"/>
          </w:rPr>
          <w:t>8.8</w:t>
        </w:r>
      </w:hyperlink>
      <w:r>
        <w:rPr>
          <w:lang w:val="pt_PT" w:bidi="pt_PT"/>
        </w:rPr>
        <w:t xml:space="preserve">; </w:t>
      </w:r>
      <w:hyperlink r:id="rId28">
        <w:r>
          <w:rPr>
            <w:lang w:val="pt_PT" w:bidi="pt_PT"/>
          </w:rPr>
          <w:rPr>
            <w:color w:val="0000EE"/>
            <w:u w:val="single"/>
          </w:rPr>
          <w:t>Dn 6.8</w:t>
        </w:r>
      </w:hyperlink>
      <w:r>
        <w:rPr>
          <w:lang w:val="pt_PT" w:bidi="pt_PT"/>
        </w:rPr>
        <w:t>,</w:t>
      </w:r>
      <w:hyperlink r:id="rId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hyperlink r:id="rId30">
        <w:r>
          <w:rPr>
            <w:lang w:val="pt_PT" w:bidi="pt_PT"/>
          </w:rPr>
          <w:rPr>
            <w:color w:val="0000EE"/>
            <w:u w:val="single"/>
          </w:rPr>
          <w:t>2Rs 24.6–16</w:t>
        </w:r>
      </w:hyperlink>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hyperlink r:id="rId31">
        <w:r>
          <w:rPr>
            <w:lang w:val="pt_PT" w:bidi="pt_PT"/>
          </w:rPr>
          <w:rPr>
            <w:color w:val="0000EE"/>
            <w:u w:val="single"/>
          </w:rPr>
          <w:t>1.11</w:t>
        </w:r>
      </w:hyperlink>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2">
        <w:r>
          <w:rPr>
            <w:lang w:val="pt_PT" w:bidi="pt_PT"/>
          </w:rPr>
          <w:rPr>
            <w:color w:val="0000EE"/>
            <w:u w:val="single"/>
          </w:rPr>
          <w:t>9.16–22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hyperlink r:id="rId34">
        <w:r>
          <w:rPr>
            <w:lang w:val="pt_PT" w:bidi="pt_PT"/>
          </w:rPr>
          <w:rPr>
            <w:color w:val="0000EE"/>
            <w:u w:val="single"/>
          </w:rPr>
          <w:t>2.10</w:t>
        </w:r>
      </w:hyperlink>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hyperlink r:id="rId35">
        <w:r>
          <w:rPr>
            <w:lang w:val="pt_PT" w:bidi="pt_PT"/>
          </w:rPr>
          <w:rPr>
            <w:color w:val="0000EE"/>
            <w:u w:val="single"/>
          </w:rPr>
          <w:t>1.10</w:t>
        </w:r>
      </w:hyperlink>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hyperlink r:id="rId3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7">
        <w:r>
          <w:rPr>
            <w:lang w:val="pt_PT" w:bidi="pt_PT"/>
          </w:rPr>
          <w:rPr>
            <w:color w:val="0000EE"/>
            <w:u w:val="single"/>
          </w:rPr>
          <w:t>9.5–14</w:t>
        </w:r>
      </w:hyperlink>
      <w:r>
        <w:rPr>
          <w:lang w:val="pt_PT" w:bidi="pt_PT"/>
        </w:rPr>
        <w:t>). • Tudo isso foi registrado: Mordecai não foi recompensado até muito mais tarde (</w:t>
      </w:r>
      <w:hyperlink r:id="rId38">
        <w:r>
          <w:rPr>
            <w:lang w:val="pt_PT" w:bidi="pt_PT"/>
          </w:rPr>
          <w:rPr>
            <w:color w:val="0000EE"/>
            <w:u w:val="single"/>
          </w:rPr>
          <w:t>6.1–14</w:t>
        </w:r>
      </w:hyperlink>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hyperlink r:id="rId39">
        <w:r>
          <w:rPr>
            <w:lang w:val="pt_PT" w:bidi="pt_PT"/>
          </w:rPr>
          <w:rPr>
            <w:color w:val="0000EE"/>
            <w:u w:val="single"/>
          </w:rPr>
          <w:t>Gn 33.3</w:t>
        </w:r>
      </w:hyperlink>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hyperlink r:id="rId40">
        <w:r>
          <w:rPr>
            <w:lang w:val="pt_PT" w:bidi="pt_PT"/>
          </w:rPr>
          <w:rPr>
            <w:color w:val="0000EE"/>
            <w:u w:val="single"/>
          </w:rPr>
          <w:t>Lv 16.8–10</w:t>
        </w:r>
      </w:hyperlink>
      <w:r>
        <w:rPr>
          <w:lang w:val="pt_PT" w:bidi="pt_PT"/>
        </w:rPr>
        <w:t xml:space="preserve">; </w:t>
      </w:r>
      <w:hyperlink r:id="rId41">
        <w:r>
          <w:rPr>
            <w:lang w:val="pt_PT" w:bidi="pt_PT"/>
          </w:rPr>
          <w:rPr>
            <w:color w:val="0000EE"/>
            <w:u w:val="single"/>
          </w:rPr>
          <w:t>Ne 10.34</w:t>
        </w:r>
      </w:hyperlink>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2">
        <w:r>
          <w:rPr>
            <w:lang w:val="pt_PT" w:bidi="pt_PT"/>
          </w:rPr>
          <w:rPr>
            <w:color w:val="0000EE"/>
            <w:u w:val="single"/>
          </w:rPr>
          <w:t>Lv 14.42–45</w:t>
        </w:r>
      </w:hyperlink>
      <w:r>
        <w:rPr>
          <w:lang w:val="pt_PT" w:bidi="pt_PT"/>
        </w:rPr>
        <w:t xml:space="preserve">; </w:t>
      </w:r>
      <w:hyperlink r:id="rId43">
        <w:r>
          <w:rPr>
            <w:lang w:val="pt_PT" w:bidi="pt_PT"/>
          </w:rPr>
          <w:rPr>
            <w:color w:val="0000EE"/>
            <w:u w:val="single"/>
          </w:rPr>
          <w:t>15.31</w:t>
        </w:r>
      </w:hyperlink>
      <w:r>
        <w:rPr>
          <w:lang w:val="pt_PT" w:bidi="pt_PT"/>
        </w:rPr>
        <w:t xml:space="preserve">; </w:t>
      </w:r>
      <w:hyperlink r:id="rId44">
        <w:r>
          <w:rPr>
            <w:lang w:val="pt_PT" w:bidi="pt_PT"/>
          </w:rPr>
          <w:rPr>
            <w:color w:val="0000EE"/>
            <w:u w:val="single"/>
          </w:rPr>
          <w:t>19.2</w:t>
        </w:r>
      </w:hyperlink>
      <w:r>
        <w:rPr>
          <w:lang w:val="pt_PT" w:bidi="pt_PT"/>
        </w:rPr>
        <w:t xml:space="preserve">, </w:t>
      </w:r>
      <w:hyperlink r:id="rId45">
        <w:r>
          <w:rPr>
            <w:lang w:val="pt_PT" w:bidi="pt_PT"/>
          </w:rPr>
          <w:rPr>
            <w:color w:val="0000EE"/>
            <w:u w:val="single"/>
          </w:rPr>
          <w:t>26–37</w:t>
        </w:r>
      </w:hyperlink>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6">
        <w:r>
          <w:rPr>
            <w:lang w:val="pt_PT" w:bidi="pt_PT"/>
          </w:rPr>
          <w:rPr>
            <w:color w:val="0000EE"/>
            <w:u w:val="single"/>
          </w:rPr>
          <w:t>Et 1.16</w:t>
        </w:r>
      </w:hyperlink>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hyperlink r:id="rId47">
        <w:r>
          <w:rPr>
            <w:lang w:val="pt_PT" w:bidi="pt_PT"/>
          </w:rPr>
          <w:rPr>
            <w:color w:val="0000EE"/>
            <w:u w:val="single"/>
          </w:rPr>
          <w:t>8.1</w:t>
        </w:r>
      </w:hyperlink>
      <w:r>
        <w:rPr>
          <w:lang w:val="pt_PT" w:bidi="pt_PT"/>
        </w:rPr>
        <w:t xml:space="preserve">; </w:t>
      </w:r>
      <w:hyperlink r:id="rId48">
        <w:r>
          <w:rPr>
            <w:lang w:val="pt_PT" w:bidi="pt_PT"/>
          </w:rPr>
          <w:rPr>
            <w:color w:val="0000EE"/>
            <w:u w:val="single"/>
          </w:rPr>
          <w:t>9.10</w:t>
        </w:r>
      </w:hyperlink>
      <w:r>
        <w:rPr>
          <w:lang w:val="pt_PT" w:bidi="pt_PT"/>
        </w:rPr>
        <w:t>,</w:t>
      </w:r>
      <w:hyperlink r:id="rId49">
        <w:r>
          <w:rPr>
            <w:lang w:val="pt_PT" w:bidi="pt_PT"/>
          </w:rPr>
          <w:rPr>
            <w:color w:val="0000EE"/>
            <w:u w:val="single"/>
          </w:rPr>
          <w:t>24</w:t>
        </w:r>
      </w:hyperlink>
      <w:r>
        <w:rPr>
          <w:lang w:val="pt_PT" w:bidi="pt_PT"/>
        </w:rPr>
        <w:t xml:space="preserve">). • O dinheiro e o povo são ambos seus: pode parecer que o rei não queria o suborno, mas </w:t>
      </w:r>
      <w:hyperlink r:id="rId50">
        <w:r>
          <w:rPr>
            <w:lang w:val="pt_PT" w:bidi="pt_PT"/>
          </w:rPr>
          <w:rPr>
            <w:color w:val="0000EE"/>
            <w:u w:val="single"/>
          </w:rPr>
          <w:t>4.7</w:t>
        </w:r>
      </w:hyperlink>
      <w:r>
        <w:rPr>
          <w:lang w:val="pt_PT" w:bidi="pt_PT"/>
        </w:rPr>
        <w:t xml:space="preserve"> sugere que Hamã realmente deu o dinheiro. O rei estava seguindo um protocolo costumeiro para tornar o suborno e sua ganância menos óbvios (cp. </w:t>
      </w:r>
      <w:hyperlink r:id="rId51">
        <w:r>
          <w:rPr>
            <w:lang w:val="pt_PT" w:bidi="pt_PT"/>
          </w:rPr>
          <w:rPr>
            <w:color w:val="0000EE"/>
            <w:u w:val="single"/>
          </w:rPr>
          <w:t>Gn 23.10–16</w:t>
        </w:r>
      </w:hyperlink>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hyperlink r:id="rId52">
        <w:r>
          <w:rPr>
            <w:lang w:val="pt_PT" w:bidi="pt_PT"/>
          </w:rPr>
          <w:rPr>
            <w:color w:val="0000EE"/>
            <w:u w:val="single"/>
          </w:rPr>
          <w:t>Êx 12.6</w:t>
        </w:r>
      </w:hyperlink>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hyperlink r:id="rId53">
        <w:r>
          <w:rPr>
            <w:lang w:val="pt_PT" w:bidi="pt_PT"/>
          </w:rPr>
          <w:rPr>
            <w:color w:val="0000EE"/>
            <w:u w:val="single"/>
          </w:rPr>
          <w:t>8.11</w:t>
        </w:r>
      </w:hyperlink>
      <w:r>
        <w:rPr>
          <w:lang w:val="pt_PT" w:bidi="pt_PT"/>
        </w:rPr>
        <w:t xml:space="preserve"> e </w:t>
      </w:r>
      <w:hyperlink r:id="rId54">
        <w:r>
          <w:rPr>
            <w:lang w:val="pt_PT" w:bidi="pt_PT"/>
          </w:rPr>
          <w:rPr>
            <w:color w:val="0000EE"/>
            <w:u w:val="single"/>
          </w:rPr>
          <w:t>9.5</w:t>
        </w:r>
      </w:hyperlink>
      <w:r>
        <w:rPr>
          <w:lang w:val="pt_PT" w:bidi="pt_PT"/>
        </w:rPr>
        <w:t>. • em 7 de março do ano seguinte: o “dia de sorte” de Hamã, que foi escolhido por sorteio (</w:t>
      </w:r>
      <w:hyperlink r:id="rId55">
        <w:r>
          <w:rPr>
            <w:lang w:val="pt_PT" w:bidi="pt_PT"/>
          </w:rPr>
          <w:rPr>
            <w:color w:val="0000EE"/>
            <w:u w:val="single"/>
          </w:rPr>
          <w:t>3.7</w:t>
        </w:r>
      </w:hyperlink>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hyperlink r:id="rId56">
        <w:r>
          <w:rPr>
            <w:lang w:val="pt_PT" w:bidi="pt_PT"/>
          </w:rPr>
          <w:rPr>
            <w:color w:val="0000EE"/>
            <w:u w:val="single"/>
          </w:rPr>
          <w:t>2Sm 1.11</w:t>
        </w:r>
      </w:hyperlink>
      <w:r>
        <w:rPr>
          <w:lang w:val="pt_PT" w:bidi="pt_PT"/>
        </w:rPr>
        <w:t xml:space="preserve">; </w:t>
      </w:r>
      <w:hyperlink r:id="rId57">
        <w:r>
          <w:rPr>
            <w:lang w:val="pt_PT" w:bidi="pt_PT"/>
          </w:rPr>
          <w:rPr>
            <w:color w:val="0000EE"/>
            <w:u w:val="single"/>
          </w:rPr>
          <w:t>Ed 9</w:t>
        </w:r>
      </w:hyperlink>
      <w:r>
        <w:rPr>
          <w:lang w:val="pt_PT" w:bidi="pt_PT"/>
        </w:rPr>
        <w:t xml:space="preserve">; </w:t>
      </w:r>
      <w:hyperlink r:id="rId58">
        <w:r>
          <w:rPr>
            <w:lang w:val="pt_PT" w:bidi="pt_PT"/>
          </w:rPr>
          <w:rPr>
            <w:color w:val="0000EE"/>
            <w:u w:val="single"/>
          </w:rPr>
          <w:t>Jn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hyperlink r:id="rId59">
        <w:r>
          <w:rPr>
            <w:lang w:val="pt_PT" w:bidi="pt_PT"/>
          </w:rPr>
          <w:rPr>
            <w:color w:val="0000EE"/>
            <w:u w:val="single"/>
          </w:rPr>
          <w:t>Êx 2.23–25</w:t>
        </w:r>
      </w:hyperlink>
      <w:r>
        <w:rPr>
          <w:lang w:val="pt_PT" w:bidi="pt_PT"/>
        </w:rPr>
        <w:t xml:space="preserve">; </w:t>
      </w:r>
      <w:hyperlink r:id="rId60">
        <w:r>
          <w:rPr>
            <w:lang w:val="pt_PT" w:bidi="pt_PT"/>
          </w:rPr>
          <w:rPr>
            <w:color w:val="0000EE"/>
            <w:u w:val="single"/>
          </w:rPr>
          <w:t>Ed 9.5–15</w:t>
        </w:r>
      </w:hyperlink>
      <w:r>
        <w:rPr>
          <w:lang w:val="pt_PT" w:bidi="pt_PT"/>
        </w:rPr>
        <w:t xml:space="preserve">; </w:t>
      </w:r>
      <w:hyperlink r:id="rId6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2">
        <w:r>
          <w:rPr>
            <w:lang w:val="pt_PT" w:bidi="pt_PT"/>
          </w:rPr>
          <w:rPr>
            <w:color w:val="0000EE"/>
            <w:u w:val="single"/>
          </w:rPr>
          <w:t>Gn 12.3</w:t>
        </w:r>
      </w:hyperlink>
      <w:r>
        <w:rPr>
          <w:lang w:val="pt_PT" w:bidi="pt_PT"/>
        </w:rPr>
        <w:t xml:space="preserve">; </w:t>
      </w:r>
      <w:hyperlink r:id="rId63">
        <w:r>
          <w:rPr>
            <w:lang w:val="pt_PT" w:bidi="pt_PT"/>
          </w:rPr>
          <w:rPr>
            <w:color w:val="0000EE"/>
            <w:u w:val="single"/>
          </w:rPr>
          <w:t>22.18</w:t>
        </w:r>
      </w:hyperlink>
      <w:r>
        <w:rPr>
          <w:lang w:val="pt_PT" w:bidi="pt_PT"/>
        </w:rPr>
        <w:t xml:space="preserve">; </w:t>
      </w:r>
      <w:hyperlink r:id="rId64">
        <w:r>
          <w:rPr>
            <w:lang w:val="pt_PT" w:bidi="pt_PT"/>
          </w:rPr>
          <w:rPr>
            <w:color w:val="0000EE"/>
            <w:u w:val="single"/>
          </w:rPr>
          <w:t>28.14</w:t>
        </w:r>
      </w:hyperlink>
      <w:r>
        <w:rPr>
          <w:lang w:val="pt_PT" w:bidi="pt_PT"/>
        </w:rPr>
        <w:t xml:space="preserve">; </w:t>
      </w:r>
      <w:hyperlink r:id="rId65">
        <w:r>
          <w:rPr>
            <w:lang w:val="pt_PT" w:bidi="pt_PT"/>
          </w:rPr>
          <w:rPr>
            <w:color w:val="0000EE"/>
            <w:u w:val="single"/>
          </w:rPr>
          <w:t>Is 60.1–5</w:t>
        </w:r>
      </w:hyperlink>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6">
        <w:r>
          <w:rPr>
            <w:lang w:val="pt_PT" w:bidi="pt_PT"/>
          </w:rPr>
          <w:rPr>
            <w:color w:val="0000EE"/>
            <w:u w:val="single"/>
          </w:rPr>
          <w:t>Lv 16.29–31</w:t>
        </w:r>
      </w:hyperlink>
      <w:r>
        <w:rPr>
          <w:lang w:val="pt_PT" w:bidi="pt_PT"/>
        </w:rPr>
        <w:t xml:space="preserve">; </w:t>
      </w:r>
      <w:hyperlink r:id="rId67">
        <w:r>
          <w:rPr>
            <w:lang w:val="pt_PT" w:bidi="pt_PT"/>
          </w:rPr>
          <w:rPr>
            <w:color w:val="0000EE"/>
            <w:u w:val="single"/>
          </w:rPr>
          <w:t>Jz 20.26</w:t>
        </w:r>
      </w:hyperlink>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hyperlink r:id="rId68">
        <w:r>
          <w:rPr>
            <w:lang w:val="pt_PT" w:bidi="pt_PT"/>
          </w:rPr>
          <w:rPr>
            <w:color w:val="0000EE"/>
            <w:u w:val="single"/>
          </w:rPr>
          <w:t>4.11</w:t>
        </w:r>
      </w:hyperlink>
      <w:r>
        <w:rPr>
          <w:lang w:val="pt_PT" w:bidi="pt_PT"/>
        </w:rPr>
        <w:t>,</w:t>
      </w:r>
      <w:hyperlink r:id="rId69">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hyperlink r:id="rId7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38">
        <w:r>
          <w:rPr>
            <w:lang w:val="pt_PT" w:bidi="pt_PT"/>
          </w:rPr>
          <w:rPr>
            <w:color w:val="0000EE"/>
            <w:u w:val="single"/>
          </w:rPr>
          <w:t>6.1–14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hyperlink r:id="rId7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hyperlink r:id="rId72">
        <w:r>
          <w:rPr>
            <w:lang w:val="pt_PT" w:bidi="pt_PT"/>
          </w:rPr>
          <w:rPr>
            <w:color w:val="0000EE"/>
            <w:u w:val="single"/>
          </w:rPr>
          <w:t>2.23</w:t>
        </w:r>
      </w:hyperlink>
      <w:r>
        <w:rPr>
          <w:lang w:val="pt_PT" w:bidi="pt_PT"/>
        </w:rPr>
        <w:t xml:space="preserve">; </w:t>
      </w:r>
      <w:hyperlink r:id="rId73">
        <w:r>
          <w:rPr>
            <w:lang w:val="pt_PT" w:bidi="pt_PT"/>
          </w:rPr>
          <w:rPr>
            <w:color w:val="0000EE"/>
            <w:u w:val="single"/>
          </w:rPr>
          <w:t>Gn 40.19</w:t>
        </w:r>
      </w:hyperlink>
      <w:r>
        <w:rPr>
          <w:lang w:val="pt_PT" w:bidi="pt_PT"/>
        </w:rPr>
        <w:t>,</w:t>
      </w:r>
      <w:hyperlink r:id="rId74">
        <w:r>
          <w:rPr>
            <w:lang w:val="pt_PT" w:bidi="pt_PT"/>
          </w:rPr>
          <w:rPr>
            <w:color w:val="0000EE"/>
            <w:u w:val="single"/>
          </w:rPr>
          <w:t>22</w:t>
        </w:r>
      </w:hyperlink>
      <w:r>
        <w:rPr>
          <w:lang w:val="pt_PT" w:bidi="pt_PT"/>
        </w:rPr>
        <w:t xml:space="preserve">; </w:t>
      </w:r>
      <w:hyperlink r:id="rId75">
        <w:r>
          <w:rPr>
            <w:lang w:val="pt_PT" w:bidi="pt_PT"/>
          </w:rPr>
          <w:rPr>
            <w:color w:val="0000EE"/>
            <w:u w:val="single"/>
          </w:rPr>
          <w:t>Js 8.29</w:t>
        </w:r>
      </w:hyperlink>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hyperlink r:id="rId33">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7">
        <w:r>
          <w:rPr>
            <w:lang w:val="pt_PT" w:bidi="pt_PT"/>
          </w:rPr>
          <w:rPr>
            <w:color w:val="0000EE"/>
            <w:u w:val="single"/>
          </w:rPr>
          <w:t>3.8–11</w:t>
        </w:r>
      </w:hyperlink>
      <w:r>
        <w:rPr>
          <w:lang w:val="pt_PT" w:bidi="pt_PT"/>
        </w:rPr>
        <w:t xml:space="preserve">). Ela também usou a terminologia exata do decreto de Hamã quando disse que seu propósito era matar, massacrar e aniquilar (cp. </w:t>
      </w:r>
      <w:hyperlink r:id="rId78">
        <w:r>
          <w:rPr>
            <w:lang w:val="pt_PT" w:bidi="pt_PT"/>
          </w:rPr>
          <w:rPr>
            <w:color w:val="0000EE"/>
            <w:u w:val="single"/>
          </w:rPr>
          <w:t>3.13</w:t>
        </w:r>
      </w:hyperlink>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hyperlink r:id="rId7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hyperlink r:id="rId35">
        <w:r>
          <w:rPr>
            <w:lang w:val="pt_PT" w:bidi="pt_PT"/>
          </w:rPr>
          <w:rPr>
            <w:color w:val="0000EE"/>
            <w:u w:val="single"/>
          </w:rPr>
          <w:t>1.10</w:t>
        </w:r>
      </w:hyperlink>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hyperlink r:id="rId78">
        <w:r>
          <w:rPr>
            <w:lang w:val="pt_PT" w:bidi="pt_PT"/>
          </w:rPr>
          <w:rPr>
            <w:color w:val="0000EE"/>
            <w:u w:val="single"/>
          </w:rPr>
          <w:t>3.13</w:t>
        </w:r>
      </w:hyperlink>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hyperlink r:id="rId79">
        <w:r>
          <w:rPr>
            <w:lang w:val="pt_PT" w:bidi="pt_PT"/>
          </w:rPr>
          <w:rPr>
            <w:color w:val="0000EE"/>
            <w:u w:val="single"/>
          </w:rPr>
          <w:t>3.10</w:t>
        </w:r>
      </w:hyperlink>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hyperlink r:id="rId80">
        <w:r>
          <w:rPr>
            <w:lang w:val="pt_PT" w:bidi="pt_PT"/>
          </w:rPr>
          <w:rPr>
            <w:color w:val="0000EE"/>
            <w:u w:val="single"/>
          </w:rPr>
          <w:t>1.19</w:t>
        </w:r>
      </w:hyperlink>
      <w:r>
        <w:rPr>
          <w:lang w:val="pt_PT" w:bidi="pt_PT"/>
        </w:rPr>
        <w:t xml:space="preserve">; </w:t>
      </w:r>
      <w:hyperlink r:id="rId29">
        <w:r>
          <w:rPr>
            <w:lang w:val="pt_PT" w:bidi="pt_PT"/>
          </w:rPr>
          <w:rPr>
            <w:color w:val="0000EE"/>
            <w:u w:val="single"/>
          </w:rPr>
          <w:t>Dn 6.8,12</w:t>
        </w:r>
      </w:hyperlink>
      <w:r>
        <w:rPr>
          <w:lang w:val="pt_PT" w:bidi="pt_PT"/>
        </w:rPr>
        <w:t xml:space="preserve">; cp. </w:t>
      </w:r>
      <w:hyperlink r:id="rId81">
        <w:r>
          <w:rPr>
            <w:lang w:val="pt_PT" w:bidi="pt_PT"/>
          </w:rPr>
          <w:rPr>
            <w:color w:val="0000EE"/>
            <w:u w:val="single"/>
          </w:rPr>
          <w:t>Sl 148.6</w:t>
        </w:r>
      </w:hyperlink>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hyperlink r:id="rId78">
        <w:r>
          <w:rPr>
            <w:lang w:val="pt_PT" w:bidi="pt_PT"/>
          </w:rPr>
          <w:rPr>
            <w:color w:val="0000EE"/>
            <w:u w:val="single"/>
          </w:rPr>
          <w:t>3.13</w:t>
        </w:r>
      </w:hyperlink>
      <w:r>
        <w:rPr>
          <w:lang w:val="pt_PT" w:bidi="pt_PT"/>
        </w:rPr>
        <w:t>). • A frase matar, massacrar e aniquilar é uma repetição irônica das palavras no edito original de Hamã (</w:t>
      </w:r>
      <w:hyperlink r:id="rId78">
        <w:r>
          <w:rPr>
            <w:lang w:val="pt_PT" w:bidi="pt_PT"/>
          </w:rPr>
          <w:rPr>
            <w:color w:val="0000EE"/>
            <w:u w:val="single"/>
          </w:rPr>
          <w:t>3.13</w:t>
        </w:r>
      </w:hyperlink>
      <w:r>
        <w:rPr>
          <w:lang w:val="pt_PT" w:bidi="pt_PT"/>
        </w:rPr>
        <w:t xml:space="preserve">; veja também </w:t>
      </w:r>
      <w:hyperlink r:id="rId54">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hyperlink r:id="rId83">
        <w:r>
          <w:rPr>
            <w:lang w:val="pt_PT" w:bidi="pt_PT"/>
          </w:rPr>
          <w:rPr>
            <w:color w:val="0000EE"/>
            <w:u w:val="single"/>
          </w:rPr>
          <w:t>3.15</w:t>
        </w:r>
      </w:hyperlink>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hyperlink r:id="rId82">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hyperlink r:id="rId84">
        <w:r>
          <w:rPr>
            <w:lang w:val="pt_PT" w:bidi="pt_PT"/>
          </w:rPr>
          <w:rPr>
            <w:color w:val="0000EE"/>
            <w:u w:val="single"/>
          </w:rPr>
          <w:t>5.11</w:t>
        </w:r>
      </w:hyperlink>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hyperlink r:id="rId53">
        <w:r>
          <w:rPr>
            <w:lang w:val="pt_PT" w:bidi="pt_PT"/>
          </w:rPr>
          <w:rPr>
            <w:color w:val="0000EE"/>
            <w:u w:val="single"/>
          </w:rPr>
          <w:t>8.11</w:t>
        </w:r>
      </w:hyperlink>
      <w:r>
        <w:rPr>
          <w:lang w:val="pt_PT" w:bidi="pt_PT"/>
        </w:rPr>
        <w:t>), os judeus não queriam ter nada a ver com a riqueza contaminada dos filhos de Hamã. Muitos anos antes, Abrão havia recusado sua parte do despojo do rei de Sodoma (</w:t>
      </w:r>
      <w:hyperlink r:id="rId85">
        <w:r>
          <w:rPr>
            <w:lang w:val="pt_PT" w:bidi="pt_PT"/>
          </w:rPr>
          <w:rPr>
            <w:color w:val="0000EE"/>
            <w:u w:val="single"/>
          </w:rPr>
          <w:t>Gn 14.21–23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hyperlink r:id="rId86">
        <w:r>
          <w:rPr>
            <w:lang w:val="pt_PT" w:bidi="pt_PT"/>
          </w:rPr>
          <w:rPr>
            <w:color w:val="0000EE"/>
            <w:u w:val="single"/>
          </w:rPr>
          <w:t>9.14–15</w:t>
        </w:r>
      </w:hyperlink>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hyperlink r:id="rId53">
        <w:r>
          <w:rPr>
            <w:lang w:val="pt_PT" w:bidi="pt_PT"/>
          </w:rPr>
          <w:rPr>
            <w:color w:val="0000EE"/>
            <w:u w:val="single"/>
          </w:rPr>
          <w:t>8.11</w:t>
        </w:r>
      </w:hyperlink>
      <w:r>
        <w:rPr>
          <w:lang w:val="pt_PT" w:bidi="pt_PT"/>
        </w:rPr>
        <w:t xml:space="preserve">; </w:t>
      </w:r>
      <w:hyperlink r:id="rId4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hyperlink r:id="rId87">
        <w:r>
          <w:rPr>
            <w:lang w:val="pt_PT" w:bidi="pt_PT"/>
          </w:rPr>
          <w:rPr>
            <w:color w:val="0000EE"/>
            <w:u w:val="single"/>
          </w:rPr>
          <w:t>9.19–32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hyperlink r:id="rId88">
        <w:r>
          <w:rPr>
            <w:lang w:val="pt_PT" w:bidi="pt_PT"/>
          </w:rPr>
          <w:rPr>
            <w:color w:val="0000EE"/>
            <w:u w:val="single"/>
          </w:rPr>
          <w:t>Dt 25.19</w:t>
        </w:r>
      </w:hyperlink>
      <w:r>
        <w:rPr>
          <w:lang w:val="pt_PT" w:bidi="pt_PT"/>
        </w:rPr>
        <w:t xml:space="preserve">; </w:t>
      </w:r>
      <w:hyperlink r:id="rId89">
        <w:r>
          <w:rPr>
            <w:lang w:val="pt_PT" w:bidi="pt_PT"/>
          </w:rPr>
          <w:rPr>
            <w:color w:val="0000EE"/>
            <w:u w:val="single"/>
          </w:rPr>
          <w:t>Js 21.44</w:t>
        </w:r>
      </w:hyperlink>
      <w:r>
        <w:rPr>
          <w:lang w:val="pt_PT" w:bidi="pt_PT"/>
        </w:rPr>
        <w:t xml:space="preserve">; </w:t>
      </w:r>
      <w:hyperlink r:id="rId90">
        <w:r>
          <w:rPr>
            <w:lang w:val="pt_PT" w:bidi="pt_PT"/>
          </w:rPr>
          <w:rPr>
            <w:color w:val="0000EE"/>
            <w:u w:val="single"/>
          </w:rPr>
          <w:t>1Sm 7.11–14</w:t>
        </w:r>
      </w:hyperlink>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hyperlink r:id="rId91">
        <w:r>
          <w:rPr>
            <w:lang w:val="pt_PT" w:bidi="pt_PT"/>
          </w:rPr>
          <w:rPr>
            <w:color w:val="0000EE"/>
            <w:u w:val="single"/>
          </w:rPr>
          <w:t>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hyperlink r:id="rId92">
        <w:r>
          <w:rPr>
            <w:lang w:val="pt_PT" w:bidi="pt_PT"/>
          </w:rPr>
          <w:rPr>
            <w:color w:val="0000EE"/>
            <w:u w:val="single"/>
          </w:rPr>
          <w:t>5.11–12</w:t>
        </w:r>
      </w:hyperlink>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