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i/>
          <w:lang w:val="pt_PT" w:bidi="pt_PT"/>
        </w:rPr>
        <w:t>2 Pedro 1.1, 2 Pedro 1.3, 2 Pedro 1.3–11, 2 Pedro 1.4, 2 Pedro 1.5–7, 2 Pedro 1.10, 2 Pedro 1.12–15, 2 Pedro 1.14, 2 Pedro 1.16–18, 2 Pedro 1.16–21, 2 Pedro 1.19, 2 Pedro 1.20–21, 2 Pedro 2.1, 2 Pedro 2.1–3, 2 Pedro 2.2, 2 Pedro 2.4, 2 Pedro 2.4–10, 2 Pedro 2.5, 2 Pedro 2.6, 2 Pedro 2.7–8, 2 Pedro 2.9, 2 Pedro 2.10a, 2 Pedro 2.10b, 2 Pedro 2.10–16, 2 Pedro 2.11, 2 Pedro 2.13, 2 Pedro 2.15, 2 Pedro 2.17–22, 2 Pedro 2.18, 2 Pedro 2.19, 2 Pedro 2.20, 2 Pedro 2.22, 2 Pedro 3.1, 2 Pedro 3.1–13, 2 Pedro 3.2, 2 Pedro 3.3, 2 Pedro 3.4, 2 Pedro 3.5, 2 Pedro 3.7, 2 Pedro 3.8, 2 Pedro 3.10, 2 Pedro 3.12, 2 Pedro 3.13, 2 Pedro 3.15, 2 Pedro 3.16, 2 Pedro 3.17–18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hyperlink r:id="rId13">
        <w:r>
          <w:rPr>
            <w:lang w:val="pt_PT" w:bidi="pt_PT"/>
          </w:rPr>
          <w:rPr>
            <w:color w:val="0000EE"/>
            <w:u w:val="single"/>
          </w:rPr>
          <w:t>Mt 16.17–18</w:t>
        </w:r>
      </w:hyperlink>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hyperlink r:id="rId14">
        <w:r>
          <w:rPr>
            <w:lang w:val="pt_PT" w:bidi="pt_PT"/>
          </w:rPr>
          <w:rPr>
            <w:color w:val="0000EE"/>
            <w:u w:val="single"/>
          </w:rPr>
          <w:t>Js 14.7</w:t>
        </w:r>
      </w:hyperlink>
      <w:r>
        <w:rPr>
          <w:lang w:val="pt_PT" w:bidi="pt_PT"/>
        </w:rPr>
        <w:t xml:space="preserve">; </w:t>
      </w:r>
      <w:hyperlink r:id="rId15">
        <w:r>
          <w:rPr>
            <w:lang w:val="pt_PT" w:bidi="pt_PT"/>
          </w:rPr>
          <w:rPr>
            <w:color w:val="0000EE"/>
            <w:u w:val="single"/>
          </w:rPr>
          <w:t>24.29</w:t>
        </w:r>
      </w:hyperlink>
      <w:r>
        <w:rPr>
          <w:lang w:val="pt_PT" w:bidi="pt_PT"/>
        </w:rPr>
        <w:t xml:space="preserve">; </w:t>
      </w:r>
      <w:hyperlink r:id="rId16">
        <w:r>
          <w:rPr>
            <w:lang w:val="pt_PT" w:bidi="pt_PT"/>
          </w:rPr>
          <w:rPr>
            <w:color w:val="0000EE"/>
            <w:u w:val="single"/>
          </w:rPr>
          <w:t>2Rs 10.10</w:t>
        </w:r>
      </w:hyperlink>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hyperlink r:id="rId17">
        <w:r>
          <w:rPr>
            <w:lang w:val="pt_PT" w:bidi="pt_PT"/>
          </w:rPr>
          <w:rPr>
            <w:color w:val="0000EE"/>
            <w:u w:val="single"/>
          </w:rPr>
          <w:t>Gl 3.26–29</w:t>
        </w:r>
      </w:hyperlink>
      <w:r>
        <w:rPr>
          <w:lang w:val="pt_PT" w:bidi="pt_PT"/>
        </w:rPr>
        <w:t xml:space="preserve">). • Este é um dos poucos lugares no Novo Testamento onde Jesus Cristo é chamado de Deus (veja também </w:t>
      </w:r>
      <w:hyperlink r:id="rId18">
        <w:r>
          <w:rPr>
            <w:lang w:val="pt_PT" w:bidi="pt_PT"/>
          </w:rPr>
          <w:rPr>
            <w:color w:val="0000EE"/>
            <w:u w:val="single"/>
          </w:rPr>
          <w:t>Jo 1.1</w:t>
        </w:r>
      </w:hyperlink>
      <w:r>
        <w:rPr>
          <w:lang w:val="pt_PT" w:bidi="pt_PT"/>
        </w:rPr>
        <w:t xml:space="preserve">; </w:t>
      </w:r>
      <w:hyperlink r:id="rId19">
        <w:r>
          <w:rPr>
            <w:lang w:val="pt_PT" w:bidi="pt_PT"/>
          </w:rPr>
          <w:rPr>
            <w:color w:val="0000EE"/>
            <w:u w:val="single"/>
          </w:rPr>
          <w:t>20.28</w:t>
        </w:r>
      </w:hyperlink>
      <w:r>
        <w:rPr>
          <w:lang w:val="pt_PT" w:bidi="pt_PT"/>
        </w:rPr>
        <w:t xml:space="preserve">; </w:t>
      </w:r>
      <w:hyperlink r:id="rId20">
        <w:r>
          <w:rPr>
            <w:lang w:val="pt_PT" w:bidi="pt_PT"/>
          </w:rPr>
          <w:rPr>
            <w:color w:val="0000EE"/>
            <w:u w:val="single"/>
          </w:rPr>
          <w:t>Rm 9.5</w:t>
        </w:r>
      </w:hyperlink>
      <w:r>
        <w:rPr>
          <w:lang w:val="pt_PT" w:bidi="pt_PT"/>
        </w:rPr>
        <w:t xml:space="preserve">; </w:t>
      </w:r>
      <w:hyperlink r:id="rId21">
        <w:r>
          <w:rPr>
            <w:lang w:val="pt_PT" w:bidi="pt_PT"/>
          </w:rPr>
          <w:rPr>
            <w:color w:val="0000EE"/>
            <w:u w:val="single"/>
          </w:rPr>
          <w:t>Tt 2.13</w:t>
        </w:r>
      </w:hyperlink>
      <w:r>
        <w:rPr>
          <w:lang w:val="pt_PT" w:bidi="pt_PT"/>
        </w:rPr>
        <w:t xml:space="preserve">; </w:t>
      </w:r>
      <w:hyperlink r:id="rId22">
        <w:r>
          <w:rPr>
            <w:lang w:val="pt_PT" w:bidi="pt_PT"/>
          </w:rPr>
          <w:rPr>
            <w:color w:val="0000EE"/>
            <w:u w:val="single"/>
          </w:rPr>
          <w:t>Hb 1.8</w:t>
        </w:r>
      </w:hyperlink>
      <w:r>
        <w:rPr>
          <w:lang w:val="pt_PT" w:bidi="pt_PT"/>
        </w:rPr>
        <w:t xml:space="preserve">; </w:t>
      </w:r>
      <w:hyperlink r:id="rId23">
        <w:r>
          <w:rPr>
            <w:lang w:val="pt_PT" w:bidi="pt_PT"/>
          </w:rPr>
          <w:rPr>
            <w:color w:val="0000EE"/>
            <w:u w:val="single"/>
          </w:rPr>
          <w:t>1Jo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hyperlink r:id="rId2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hyperlink r:id="rId25">
        <w:r>
          <w:rPr>
            <w:lang w:val="pt_PT" w:bidi="pt_PT"/>
          </w:rPr>
          <w:rPr>
            <w:color w:val="0000EE"/>
            <w:u w:val="single"/>
          </w:rPr>
          <w:t>1.3–4</w:t>
        </w:r>
      </w:hyperlink>
      <w:r>
        <w:rPr>
          <w:lang w:val="pt_PT" w:bidi="pt_PT"/>
        </w:rPr>
        <w:t>) forma a base para uma exortação urgente para crescer no conhecimento de Cristo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hyperlink r:id="rId27">
        <w:r>
          <w:rPr>
            <w:lang w:val="pt_PT" w:bidi="pt_PT"/>
          </w:rPr>
          <w:rPr>
            <w:color w:val="0000EE"/>
            <w:u w:val="single"/>
          </w:rPr>
          <w:t>Lv 11.44</w:t>
        </w:r>
      </w:hyperlink>
      <w:r>
        <w:rPr>
          <w:lang w:val="pt_PT" w:bidi="pt_PT"/>
        </w:rPr>
        <w:t xml:space="preserve">; </w:t>
      </w:r>
      <w:hyperlink r:id="rId28">
        <w:r>
          <w:rPr>
            <w:lang w:val="pt_PT" w:bidi="pt_PT"/>
          </w:rPr>
          <w:rPr>
            <w:color w:val="0000EE"/>
            <w:u w:val="single"/>
          </w:rPr>
          <w:t>Mt 5.43–48</w:t>
        </w:r>
      </w:hyperlink>
      <w:r>
        <w:rPr>
          <w:lang w:val="pt_PT" w:bidi="pt_PT"/>
        </w:rPr>
        <w:t xml:space="preserve">; </w:t>
      </w:r>
      <w:hyperlink r:id="rId29">
        <w:r>
          <w:rPr>
            <w:lang w:val="pt_PT" w:bidi="pt_PT"/>
          </w:rPr>
          <w:rPr>
            <w:color w:val="0000EE"/>
            <w:u w:val="single"/>
          </w:rPr>
          <w:t>Ef 4.24</w:t>
        </w:r>
      </w:hyperlink>
      <w:r>
        <w:rPr>
          <w:lang w:val="pt_PT" w:bidi="pt_PT"/>
        </w:rPr>
        <w:t xml:space="preserve">; </w:t>
      </w:r>
      <w:hyperlink r:id="rId3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hyperlink r:id="rId3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hyperlink r:id="rId32">
        <w:r>
          <w:rPr>
            <w:lang w:val="pt_PT" w:bidi="pt_PT"/>
          </w:rPr>
          <w:rPr>
            <w:color w:val="0000EE"/>
            <w:u w:val="single"/>
          </w:rPr>
          <w:t>Dt 31–33</w:t>
        </w:r>
      </w:hyperlink>
      <w:r>
        <w:rPr>
          <w:lang w:val="pt_PT" w:bidi="pt_PT"/>
        </w:rPr>
        <w:t xml:space="preserve">; </w:t>
      </w:r>
      <w:hyperlink r:id="rId33">
        <w:r>
          <w:rPr>
            <w:lang w:val="pt_PT" w:bidi="pt_PT"/>
          </w:rPr>
          <w:rPr>
            <w:color w:val="0000EE"/>
            <w:u w:val="single"/>
          </w:rPr>
          <w:t>Js 24</w:t>
        </w:r>
      </w:hyperlink>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hyperlink r:id="rId34">
        <w:r>
          <w:rPr>
            <w:lang w:val="pt_PT" w:bidi="pt_PT"/>
          </w:rPr>
          <w:rPr>
            <w:color w:val="0000EE"/>
            <w:u w:val="single"/>
          </w:rPr>
          <w:t>Jo 21.18–19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hyperlink r:id="rId35">
        <w:r>
          <w:rPr>
            <w:lang w:val="pt_PT" w:bidi="pt_PT"/>
          </w:rPr>
          <w:rPr>
            <w:color w:val="0000EE"/>
            <w:u w:val="single"/>
          </w:rPr>
          <w:t>Mt 17.1–9</w:t>
        </w:r>
      </w:hyperlink>
      <w:r>
        <w:rPr>
          <w:lang w:val="pt_PT" w:bidi="pt_PT"/>
        </w:rPr>
        <w:t xml:space="preserve">; </w:t>
      </w:r>
      <w:hyperlink r:id="rId36">
        <w:r>
          <w:rPr>
            <w:lang w:val="pt_PT" w:bidi="pt_PT"/>
          </w:rPr>
          <w:rPr>
            <w:color w:val="0000EE"/>
            <w:u w:val="single"/>
          </w:rPr>
          <w:t>Mc 9.2–8</w:t>
        </w:r>
      </w:hyperlink>
      <w:r>
        <w:rPr>
          <w:lang w:val="pt_PT" w:bidi="pt_PT"/>
        </w:rPr>
        <w:t xml:space="preserve">; </w:t>
      </w:r>
      <w:hyperlink r:id="rId37">
        <w:r>
          <w:rPr>
            <w:lang w:val="pt_PT" w:bidi="pt_PT"/>
          </w:rPr>
          <w:rPr>
            <w:color w:val="0000EE"/>
            <w:u w:val="single"/>
          </w:rPr>
          <w:t>Lc 9.28–36</w:t>
        </w:r>
      </w:hyperlink>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hyperlink r:id="rId38">
        <w:r>
          <w:rPr>
            <w:lang w:val="pt_PT" w:bidi="pt_PT"/>
          </w:rPr>
          <w:rPr>
            <w:color w:val="0000EE"/>
            <w:u w:val="single"/>
          </w:rPr>
          <w:t>2</w:t>
        </w:r>
      </w:hyperlink>
      <w:r>
        <w:rPr>
          <w:lang w:val="pt_PT" w:bidi="pt_PT"/>
        </w:rPr>
        <w:t xml:space="preserve">) é enquadrada por este ensinamento sobre a certeza do retorno de Jesus (veja também </w:t>
      </w:r>
      <w:hyperlink r:id="rId39">
        <w:r>
          <w:rPr>
            <w:lang w:val="pt_PT" w:bidi="pt_PT"/>
          </w:rPr>
          <w:rPr>
            <w:color w:val="0000EE"/>
            <w:u w:val="single"/>
          </w:rPr>
          <w:t>3.1–13</w:t>
        </w:r>
      </w:hyperlink>
      <w:r>
        <w:rPr>
          <w:lang w:val="pt_PT" w:bidi="pt_PT"/>
        </w:rPr>
        <w:t>). Os falsos mestres provavelmente estavam negando a realidade do retorno e julgamento de Cristo. A experiência ocular de Pedro (</w:t>
      </w:r>
      <w:hyperlink r:id="rId40">
        <w:r>
          <w:rPr>
            <w:lang w:val="pt_PT" w:bidi="pt_PT"/>
          </w:rPr>
          <w:rPr>
            <w:color w:val="0000EE"/>
            <w:u w:val="single"/>
          </w:rPr>
          <w:t>1.16–18</w:t>
        </w:r>
      </w:hyperlink>
      <w:r>
        <w:rPr>
          <w:lang w:val="pt_PT" w:bidi="pt_PT"/>
        </w:rPr>
        <w:t>) e a confiabilidade intrínseca da profecia das escrituras (</w:t>
      </w:r>
      <w:hyperlink r:id="rId41">
        <w:r>
          <w:rPr>
            <w:lang w:val="pt_PT" w:bidi="pt_PT"/>
          </w:rPr>
          <w:rPr>
            <w:color w:val="0000EE"/>
            <w:u w:val="single"/>
          </w:rPr>
          <w:t>1.19–21</w:t>
        </w:r>
      </w:hyperlink>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hyperlink r:id="rId42">
        <w:r>
          <w:rPr>
            <w:lang w:val="pt_PT" w:bidi="pt_PT"/>
          </w:rPr>
          <w:rPr>
            <w:color w:val="0000EE"/>
            <w:u w:val="single"/>
          </w:rPr>
          <w:t>Is 13.4–12</w:t>
        </w:r>
      </w:hyperlink>
      <w:r>
        <w:rPr>
          <w:lang w:val="pt_PT" w:bidi="pt_PT"/>
        </w:rPr>
        <w:t xml:space="preserve">; </w:t>
      </w:r>
      <w:hyperlink r:id="rId43">
        <w:r>
          <w:rPr>
            <w:lang w:val="pt_PT" w:bidi="pt_PT"/>
          </w:rPr>
          <w:rPr>
            <w:color w:val="0000EE"/>
            <w:u w:val="single"/>
          </w:rPr>
          <w:t>Jl 2.1–32</w:t>
        </w:r>
      </w:hyperlink>
      <w:r>
        <w:rPr>
          <w:lang w:val="pt_PT" w:bidi="pt_PT"/>
        </w:rPr>
        <w:t xml:space="preserve">; </w:t>
      </w:r>
      <w:hyperlink r:id="rId44">
        <w:r>
          <w:rPr>
            <w:lang w:val="pt_PT" w:bidi="pt_PT"/>
          </w:rPr>
          <w:rPr>
            <w:color w:val="0000EE"/>
            <w:u w:val="single"/>
          </w:rPr>
          <w:t>Sf 2.1–3</w:t>
        </w:r>
      </w:hyperlink>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hyperlink r:id="rId45">
        <w:r>
          <w:rPr>
            <w:lang w:val="pt_PT" w:bidi="pt_PT"/>
          </w:rPr>
          <w:rPr>
            <w:color w:val="0000EE"/>
            <w:u w:val="single"/>
          </w:rPr>
          <w:t>2.1–3</w:t>
        </w:r>
      </w:hyperlink>
      <w:r>
        <w:rPr>
          <w:lang w:val="pt_PT" w:bidi="pt_PT"/>
        </w:rPr>
        <w:t xml:space="preserve"> não implica que falsos profetas ainda não tinham surgido, mas alude à previsão de Jesus de que surgiriam falsos mestres (</w:t>
      </w:r>
      <w:hyperlink r:id="rId46">
        <w:r>
          <w:rPr>
            <w:lang w:val="pt_PT" w:bidi="pt_PT"/>
          </w:rPr>
          <w:rPr>
            <w:color w:val="0000EE"/>
            <w:u w:val="single"/>
          </w:rPr>
          <w:t>Mt 24.11</w:t>
        </w:r>
      </w:hyperlink>
      <w:r>
        <w:rPr>
          <w:lang w:val="pt_PT" w:bidi="pt_PT"/>
        </w:rPr>
        <w:t xml:space="preserve">, </w:t>
      </w:r>
      <w:hyperlink r:id="rId47">
        <w:r>
          <w:rPr>
            <w:lang w:val="pt_PT" w:bidi="pt_PT"/>
          </w:rPr>
          <w:rPr>
            <w:color w:val="0000EE"/>
            <w:u w:val="single"/>
          </w:rPr>
          <w:t>24</w:t>
        </w:r>
      </w:hyperlink>
      <w:r>
        <w:rPr>
          <w:lang w:val="pt_PT" w:bidi="pt_PT"/>
        </w:rPr>
        <w:t xml:space="preserve">; </w:t>
      </w:r>
      <w:hyperlink r:id="rId48">
        <w:r>
          <w:rPr>
            <w:lang w:val="pt_PT" w:bidi="pt_PT"/>
          </w:rPr>
          <w:rPr>
            <w:color w:val="0000EE"/>
            <w:u w:val="single"/>
          </w:rPr>
          <w:t>Mc 13.22</w:t>
        </w:r>
      </w:hyperlink>
      <w:r>
        <w:rPr>
          <w:lang w:val="pt_PT" w:bidi="pt_PT"/>
        </w:rPr>
        <w:t xml:space="preserve">; cp. </w:t>
      </w:r>
      <w:hyperlink r:id="rId49">
        <w:r>
          <w:rPr>
            <w:lang w:val="pt_PT" w:bidi="pt_PT"/>
          </w:rPr>
          <w:rPr>
            <w:color w:val="0000EE"/>
            <w:u w:val="single"/>
          </w:rPr>
          <w:t>At 20.29–31</w:t>
        </w:r>
      </w:hyperlink>
      <w:r>
        <w:rPr>
          <w:lang w:val="pt_PT" w:bidi="pt_PT"/>
        </w:rPr>
        <w:t xml:space="preserve">; </w:t>
      </w:r>
      <w:hyperlink r:id="rId50">
        <w:r>
          <w:rPr>
            <w:lang w:val="pt_PT" w:bidi="pt_PT"/>
          </w:rPr>
          <w:rPr>
            <w:color w:val="0000EE"/>
            <w:u w:val="single"/>
          </w:rPr>
          <w:t>2Tm 3.1–6</w:t>
        </w:r>
      </w:hyperlink>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hyperlink r:id="rId51">
        <w:r>
          <w:rPr>
            <w:lang w:val="pt_PT" w:bidi="pt_PT"/>
          </w:rPr>
          <w:rPr>
            <w:color w:val="0000EE"/>
            <w:u w:val="single"/>
          </w:rPr>
          <w:t>Tt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hyperlink r:id="rId52">
        <w:r>
          <w:rPr>
            <w:lang w:val="pt_PT" w:bidi="pt_PT"/>
          </w:rPr>
          <w:rPr>
            <w:color w:val="0000EE"/>
            <w:u w:val="single"/>
          </w:rPr>
          <w:t>1.20–21</w:t>
        </w:r>
      </w:hyperlink>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hyperlink r:id="rId53">
        <w:r>
          <w:rPr>
            <w:lang w:val="pt_PT" w:bidi="pt_PT"/>
          </w:rPr>
          <w:rPr>
            <w:color w:val="0000EE"/>
            <w:u w:val="single"/>
          </w:rPr>
          <w:t>Gn 6.1–5</w:t>
        </w:r>
      </w:hyperlink>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hyperlink r:id="rId54">
        <w:r>
          <w:rPr>
            <w:lang w:val="pt_PT" w:bidi="pt_PT"/>
          </w:rPr>
          <w:rPr>
            <w:color w:val="0000EE"/>
            <w:u w:val="single"/>
          </w:rPr>
          <w:t>1Pe 3.19–20</w:t>
        </w:r>
      </w:hyperlink>
      <w:r>
        <w:rPr>
          <w:lang w:val="pt_PT" w:bidi="pt_PT"/>
        </w:rPr>
        <w:t xml:space="preserve">; </w:t>
      </w:r>
      <w:hyperlink r:id="rId55">
        <w:r>
          <w:rPr>
            <w:lang w:val="pt_PT" w:bidi="pt_PT"/>
          </w:rPr>
          <w:rPr>
            <w:color w:val="0000EE"/>
            <w:u w:val="single"/>
          </w:rPr>
          <w:t>Jd 1.6</w:t>
        </w:r>
      </w:hyperlink>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hyperlink r:id="rId5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hyperlink r:id="rId57">
        <w:r>
          <w:rPr>
            <w:lang w:val="pt_PT" w:bidi="pt_PT"/>
          </w:rPr>
          <w:rPr>
            <w:color w:val="0000EE"/>
            <w:u w:val="single"/>
          </w:rPr>
          <w:t>Gn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hyperlink r:id="rId58">
        <w:r>
          <w:rPr>
            <w:lang w:val="pt_PT" w:bidi="pt_PT"/>
          </w:rPr>
          <w:rPr>
            <w:color w:val="0000EE"/>
            <w:u w:val="single"/>
          </w:rPr>
          <w:t>Gn 19.24</w:t>
        </w:r>
      </w:hyperlink>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hyperlink r:id="rId59">
        <w:r>
          <w:rPr>
            <w:lang w:val="pt_PT" w:bidi="pt_PT"/>
          </w:rPr>
          <w:rPr>
            <w:color w:val="0000EE"/>
            <w:u w:val="single"/>
          </w:rPr>
          <w:t>2.5</w:t>
        </w:r>
      </w:hyperlink>
      <w:r>
        <w:rPr>
          <w:lang w:val="pt_PT" w:bidi="pt_PT"/>
        </w:rPr>
        <w:t>) e Ló (</w:t>
      </w:r>
      <w:hyperlink r:id="rId60">
        <w:r>
          <w:rPr>
            <w:lang w:val="pt_PT" w:bidi="pt_PT"/>
          </w:rPr>
          <w:rPr>
            <w:color w:val="0000EE"/>
            <w:u w:val="single"/>
          </w:rPr>
          <w:t>2.7</w:t>
        </w:r>
      </w:hyperlink>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hyperlink r:id="rId61">
        <w:r>
          <w:rPr>
            <w:lang w:val="pt_PT" w:bidi="pt_PT"/>
          </w:rPr>
          <w:rPr>
            <w:color w:val="0000EE"/>
            <w:u w:val="single"/>
          </w:rPr>
          <w:t>2.6</w:t>
        </w:r>
      </w:hyperlink>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hyperlink r:id="rId62">
        <w:r>
          <w:rPr>
            <w:lang w:val="pt_PT" w:bidi="pt_PT"/>
          </w:rPr>
          <w:rPr>
            <w:color w:val="0000EE"/>
            <w:u w:val="single"/>
          </w:rPr>
          <w:t>2.11</w:t>
        </w:r>
      </w:hyperlink>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hyperlink r:id="rId63">
        <w:r>
          <w:rPr>
            <w:lang w:val="pt_PT" w:bidi="pt_PT"/>
          </w:rPr>
          <w:rPr>
            <w:color w:val="0000EE"/>
            <w:u w:val="single"/>
          </w:rPr>
          <w:t>Jd 1.12</w:t>
        </w:r>
      </w:hyperlink>
      <w:r>
        <w:rPr>
          <w:lang w:val="pt_PT" w:bidi="pt_PT"/>
        </w:rPr>
        <w:t xml:space="preserve">. Os cristãos frequentemente compartilhavam refeições de comunhão em celebração ao Senhor (veja </w:t>
      </w:r>
      <w:hyperlink r:id="rId64">
        <w:r>
          <w:rPr>
            <w:lang w:val="pt_PT" w:bidi="pt_PT"/>
          </w:rPr>
          <w:rPr>
            <w:color w:val="0000EE"/>
            <w:u w:val="single"/>
          </w:rPr>
          <w:t>At 2.46</w:t>
        </w:r>
      </w:hyperlink>
      <w:r>
        <w:rPr>
          <w:lang w:val="pt_PT" w:bidi="pt_PT"/>
        </w:rPr>
        <w:t xml:space="preserve">; </w:t>
      </w:r>
      <w:hyperlink r:id="rId65">
        <w:r>
          <w:rPr>
            <w:lang w:val="pt_PT" w:bidi="pt_PT"/>
          </w:rPr>
          <w:rPr>
            <w:color w:val="0000EE"/>
            <w:u w:val="single"/>
          </w:rPr>
          <w:t>6.1</w:t>
        </w:r>
      </w:hyperlink>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hyperlink r:id="rId66">
        <w:r>
          <w:rPr>
            <w:lang w:val="pt_PT" w:bidi="pt_PT"/>
          </w:rPr>
          <w:rPr>
            <w:color w:val="0000EE"/>
            <w:u w:val="single"/>
          </w:rPr>
          <w:t>1Co 11.20–22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hyperlink r:id="rId67">
        <w:r>
          <w:rPr>
            <w:lang w:val="pt_PT" w:bidi="pt_PT"/>
          </w:rPr>
          <w:rPr>
            <w:color w:val="0000EE"/>
            <w:u w:val="single"/>
          </w:rPr>
          <w:t>Nm 22–24</w:t>
        </w:r>
      </w:hyperlink>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hyperlink r:id="rId68">
        <w:r>
          <w:rPr>
            <w:lang w:val="pt_PT" w:bidi="pt_PT"/>
          </w:rPr>
          <w:rPr>
            <w:color w:val="0000EE"/>
            <w:u w:val="single"/>
          </w:rPr>
          <w:t>Rm 6.16</w:t>
        </w:r>
      </w:hyperlink>
      <w:r>
        <w:rPr>
          <w:lang w:val="pt_PT" w:bidi="pt_PT"/>
        </w:rPr>
        <w:t xml:space="preserve">). Os falsos mestres, enquanto se deleitavam em sua liberdade da autoridade (veja </w:t>
      </w:r>
      <w:hyperlink r:id="rId69">
        <w:r>
          <w:rPr>
            <w:lang w:val="pt_PT" w:bidi="pt_PT"/>
          </w:rPr>
          <w:rPr>
            <w:color w:val="0000EE"/>
            <w:u w:val="single"/>
          </w:rPr>
          <w:t>2Pe 2.10</w:t>
        </w:r>
      </w:hyperlink>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hyperlink r:id="rId70">
        <w:r>
          <w:rPr>
            <w:lang w:val="pt_PT" w:bidi="pt_PT"/>
          </w:rPr>
          <w:rPr>
            <w:color w:val="0000EE"/>
            <w:u w:val="single"/>
          </w:rPr>
          <w:t>At 2.17</w:t>
        </w:r>
      </w:hyperlink>
      <w:r>
        <w:rPr>
          <w:lang w:val="pt_PT" w:bidi="pt_PT"/>
        </w:rPr>
        <w:t xml:space="preserve">; </w:t>
      </w:r>
      <w:hyperlink r:id="rId71">
        <w:r>
          <w:rPr>
            <w:lang w:val="pt_PT" w:bidi="pt_PT"/>
          </w:rPr>
          <w:rPr>
            <w:color w:val="0000EE"/>
            <w:u w:val="single"/>
          </w:rPr>
          <w:t>Hb 1.2</w:t>
        </w:r>
      </w:hyperlink>
      <w:r>
        <w:rPr>
          <w:lang w:val="pt_PT" w:bidi="pt_PT"/>
        </w:rPr>
        <w:t xml:space="preserve">). É o tempo em que as promessas de Deus são cumpridas. • zombadores virão: Veja </w:t>
      </w:r>
      <w:hyperlink r:id="rId72">
        <w:r>
          <w:rPr>
            <w:lang w:val="pt_PT" w:bidi="pt_PT"/>
          </w:rPr>
          <w:rPr>
            <w:color w:val="0000EE"/>
            <w:u w:val="single"/>
          </w:rPr>
          <w:t>Pv 1.22</w:t>
        </w:r>
      </w:hyperlink>
      <w:r>
        <w:rPr>
          <w:lang w:val="pt_PT" w:bidi="pt_PT"/>
        </w:rPr>
        <w:t xml:space="preserve">; </w:t>
      </w:r>
      <w:hyperlink r:id="rId73">
        <w:r>
          <w:rPr>
            <w:lang w:val="pt_PT" w:bidi="pt_PT"/>
          </w:rPr>
          <w:rPr>
            <w:color w:val="0000EE"/>
            <w:u w:val="single"/>
          </w:rPr>
          <w:t>9.7–8</w:t>
        </w:r>
      </w:hyperlink>
      <w:r>
        <w:rPr>
          <w:lang w:val="pt_PT" w:bidi="pt_PT"/>
        </w:rPr>
        <w:t xml:space="preserve">; </w:t>
      </w:r>
      <w:hyperlink r:id="rId74">
        <w:r>
          <w:rPr>
            <w:lang w:val="pt_PT" w:bidi="pt_PT"/>
          </w:rPr>
          <w:rPr>
            <w:color w:val="0000EE"/>
            <w:u w:val="single"/>
          </w:rPr>
          <w:t>13.1</w:t>
        </w:r>
      </w:hyperlink>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hyperlink r:id="rId75">
        <w:r>
          <w:rPr>
            <w:lang w:val="pt_PT" w:bidi="pt_PT"/>
          </w:rPr>
          <w:rPr>
            <w:color w:val="0000EE"/>
            <w:u w:val="single"/>
          </w:rPr>
          <w:t>Gn 1.2</w:t>
        </w:r>
      </w:hyperlink>
      <w:r>
        <w:rPr>
          <w:lang w:val="pt_PT" w:bidi="pt_PT"/>
        </w:rPr>
        <w:t xml:space="preserve">,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hyperlink r:id="rId77">
        <w:r>
          <w:rPr>
            <w:lang w:val="pt_PT" w:bidi="pt_PT"/>
          </w:rPr>
          <w:rPr>
            <w:color w:val="0000EE"/>
            <w:u w:val="single"/>
          </w:rPr>
          <w:t>Is 30.30</w:t>
        </w:r>
      </w:hyperlink>
      <w:r>
        <w:rPr>
          <w:lang w:val="pt_PT" w:bidi="pt_PT"/>
        </w:rPr>
        <w:t xml:space="preserve">; </w:t>
      </w:r>
      <w:hyperlink r:id="rId78">
        <w:r>
          <w:rPr>
            <w:lang w:val="pt_PT" w:bidi="pt_PT"/>
          </w:rPr>
          <w:rPr>
            <w:color w:val="0000EE"/>
            <w:u w:val="single"/>
          </w:rPr>
          <w:t>66.15–16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hyperlink r:id="rId79">
        <w:r>
          <w:rPr>
            <w:lang w:val="pt_PT" w:bidi="pt_PT"/>
          </w:rPr>
          <w:rPr>
            <w:color w:val="0000EE"/>
            <w:u w:val="single"/>
          </w:rPr>
          <w:t>Sl 90.4</w:t>
        </w:r>
      </w:hyperlink>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hyperlink r:id="rId80">
        <w:r>
          <w:rPr>
            <w:lang w:val="pt_PT" w:bidi="pt_PT"/>
          </w:rPr>
          <w:rPr>
            <w:color w:val="0000EE"/>
            <w:u w:val="single"/>
          </w:rPr>
          <w:t>At 3.19–20</w:t>
        </w:r>
      </w:hyperlink>
      <w:r>
        <w:rPr>
          <w:lang w:val="pt_PT" w:bidi="pt_PT"/>
        </w:rPr>
        <w:t xml:space="preserve">). • os elementos se derreterão: cp. </w:t>
      </w:r>
      <w:hyperlink r:id="rId81">
        <w:r>
          <w:rPr>
            <w:lang w:val="pt_PT" w:bidi="pt_PT"/>
          </w:rPr>
          <w:rPr>
            <w:color w:val="0000EE"/>
            <w:u w:val="single"/>
          </w:rPr>
          <w:t>Mq 1.3–4</w:t>
        </w:r>
      </w:hyperlink>
      <w:r>
        <w:rPr>
          <w:lang w:val="pt_PT" w:bidi="pt_PT"/>
        </w:rPr>
        <w:t xml:space="preserve">; veja também </w:t>
      </w:r>
      <w:hyperlink r:id="rId82">
        <w:r>
          <w:rPr>
            <w:lang w:val="pt_PT" w:bidi="pt_PT"/>
          </w:rPr>
          <w:rPr>
            <w:color w:val="0000EE"/>
            <w:u w:val="single"/>
          </w:rPr>
          <w:t>Is 63.19–64.1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hyperlink r:id="rId83">
        <w:r>
          <w:rPr>
            <w:lang w:val="pt_PT" w:bidi="pt_PT"/>
          </w:rPr>
          <w:rPr>
            <w:color w:val="0000EE"/>
            <w:u w:val="single"/>
          </w:rPr>
          <w:t>Is 65.17</w:t>
        </w:r>
      </w:hyperlink>
      <w:r>
        <w:rPr>
          <w:lang w:val="pt_PT" w:bidi="pt_PT"/>
        </w:rPr>
        <w:t xml:space="preserve">; </w:t>
      </w:r>
      <w:hyperlink r:id="rId84">
        <w:r>
          <w:rPr>
            <w:lang w:val="pt_PT" w:bidi="pt_PT"/>
          </w:rPr>
          <w:rPr>
            <w:color w:val="0000EE"/>
            <w:u w:val="single"/>
          </w:rPr>
          <w:t>66.22</w:t>
        </w:r>
      </w:hyperlink>
      <w:r>
        <w:rPr>
          <w:lang w:val="pt_PT" w:bidi="pt_PT"/>
        </w:rPr>
        <w:t xml:space="preserve">; </w:t>
      </w:r>
      <w:hyperlink r:id="rId85">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hyperlink r:id="rId86">
        <w:r>
          <w:rPr>
            <w:lang w:val="pt_PT" w:bidi="pt_PT"/>
          </w:rPr>
          <w:rPr>
            <w:color w:val="0000EE"/>
            <w:u w:val="single"/>
          </w:rPr>
          <w:t>Gál 2.11–14</w:t>
        </w:r>
      </w:hyperlink>
      <w:r>
        <w:rPr>
          <w:lang w:val="pt_PT" w:bidi="pt_PT"/>
        </w:rPr>
        <w:t>), às vezes se pensa que os dois eram hostis um ao outro, mas o Novo Testamento apresenta um quadro diferente. Pedro e Paulo essencialmente concordaram sobre as boas-novas para os gentios (</w:t>
      </w:r>
      <w:hyperlink r:id="rId87">
        <w:r>
          <w:rPr>
            <w:lang w:val="pt_PT" w:bidi="pt_PT"/>
          </w:rPr>
          <w:rPr>
            <w:color w:val="0000EE"/>
            <w:u w:val="single"/>
          </w:rPr>
          <w:t>At 11.2–18</w:t>
        </w:r>
      </w:hyperlink>
      <w:r>
        <w:rPr>
          <w:lang w:val="pt_PT" w:bidi="pt_PT"/>
        </w:rPr>
        <w:t xml:space="preserve">; </w:t>
      </w:r>
      <w:hyperlink r:id="rId88">
        <w:r>
          <w:rPr>
            <w:lang w:val="pt_PT" w:bidi="pt_PT"/>
          </w:rPr>
          <w:rPr>
            <w:color w:val="0000EE"/>
            <w:u w:val="single"/>
          </w:rPr>
          <w:t>15.7–11</w:t>
        </w:r>
      </w:hyperlink>
      <w:r>
        <w:rPr>
          <w:lang w:val="pt_PT" w:bidi="pt_PT"/>
        </w:rPr>
        <w:t xml:space="preserve">). Silas e Marcos foram associados tanto de Paulo quanto de Pedro (veja </w:t>
      </w:r>
      <w:hyperlink r:id="rId89">
        <w:r>
          <w:rPr>
            <w:lang w:val="pt_PT" w:bidi="pt_PT"/>
          </w:rPr>
          <w:rPr>
            <w:color w:val="0000EE"/>
            <w:u w:val="single"/>
          </w:rPr>
          <w:t>1Pe 5.12–13</w:t>
        </w:r>
      </w:hyperlink>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