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3">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4">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5">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6">
        <w:r>
          <w:rPr>
            <w:lang w:val="fr_FR" w:bidi="fr_FR"/>
          </w:rPr>
          <w:rPr>
            <w:color w:val="0000EE"/>
            <w:u w:val="single"/>
          </w:rPr>
          <w:t>1.29–31</w:t>
        </w:r>
      </w:hyperlink>
      <w:r>
        <w:rPr>
          <w:lang w:val="fr_FR" w:bidi="fr_FR"/>
        </w:rPr>
        <w:t xml:space="preserve"> ; cf. </w:t>
      </w:r>
      <w:hyperlink r:id="rId17">
        <w:r>
          <w:rPr>
            <w:lang w:val="fr_FR" w:bidi="fr_FR"/>
          </w:rPr>
          <w:rPr>
            <w:color w:val="0000EE"/>
            <w:u w:val="single"/>
          </w:rPr>
          <w:t>Gn 25.12–15</w:t>
        </w:r>
      </w:hyperlink>
      <w:r>
        <w:rPr>
          <w:lang w:val="fr_FR" w:bidi="fr_FR"/>
        </w:rPr>
        <w:t>) et les fils de Ketura (</w:t>
      </w:r>
      <w:hyperlink r:id="rId18">
        <w:r>
          <w:rPr>
            <w:lang w:val="fr_FR" w:bidi="fr_FR"/>
          </w:rPr>
          <w:rPr>
            <w:color w:val="0000EE"/>
            <w:u w:val="single"/>
          </w:rPr>
          <w:t>1Ch 1.32–33</w:t>
        </w:r>
      </w:hyperlink>
      <w:r>
        <w:rPr>
          <w:lang w:val="fr_FR" w:bidi="fr_FR"/>
        </w:rPr>
        <w:t xml:space="preserve"> ; cf. </w:t>
      </w:r>
      <w:hyperlink r:id="rId19">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0">
        <w:r>
          <w:rPr>
            <w:lang w:val="fr_FR" w:bidi="fr_FR"/>
          </w:rPr>
          <w:rPr>
            <w:color w:val="0000EE"/>
            <w:u w:val="single"/>
          </w:rPr>
          <w:t>1.35–54</w:t>
        </w:r>
      </w:hyperlink>
      <w:r>
        <w:rPr>
          <w:lang w:val="fr_FR" w:bidi="fr_FR"/>
        </w:rPr>
        <w:t>) et continue avec Israël. L’histoire d’Édom est présentée en trois parties : la descendance d’Ésaü (</w:t>
      </w:r>
      <w:hyperlink r:id="rId21">
        <w:r>
          <w:rPr>
            <w:lang w:val="fr_FR" w:bidi="fr_FR"/>
          </w:rPr>
          <w:rPr>
            <w:color w:val="0000EE"/>
            <w:u w:val="single"/>
          </w:rPr>
          <w:t>1.35–37</w:t>
        </w:r>
      </w:hyperlink>
      <w:r>
        <w:rPr>
          <w:lang w:val="fr_FR" w:bidi="fr_FR"/>
        </w:rPr>
        <w:t>), la descendance de Séir (</w:t>
      </w:r>
      <w:hyperlink r:id="rId22">
        <w:r>
          <w:rPr>
            <w:lang w:val="fr_FR" w:bidi="fr_FR"/>
          </w:rPr>
          <w:rPr>
            <w:color w:val="0000EE"/>
            <w:u w:val="single"/>
          </w:rPr>
          <w:t>1.38–42</w:t>
        </w:r>
      </w:hyperlink>
      <w:r>
        <w:rPr>
          <w:lang w:val="fr_FR" w:bidi="fr_FR"/>
        </w:rPr>
        <w:t>), et les rois qui ont régné dans le pays d’Édom (</w:t>
      </w:r>
      <w:hyperlink r:id="rId23">
        <w:r>
          <w:rPr>
            <w:lang w:val="fr_FR" w:bidi="fr_FR"/>
          </w:rPr>
          <w:rPr>
            <w:color w:val="0000EE"/>
            <w:u w:val="single"/>
          </w:rPr>
          <w:t>1.43–54</w:t>
        </w:r>
      </w:hyperlink>
      <w:r>
        <w:rPr>
          <w:lang w:val="fr_FR" w:bidi="fr_FR"/>
        </w:rPr>
        <w:t xml:space="preserve">). Cette disposition reprend celle du chapitre </w:t>
      </w:r>
      <w:hyperlink r:id="rId24">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5">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6">
        <w:r>
          <w:rPr>
            <w:lang w:val="fr_FR" w:bidi="fr_FR"/>
          </w:rPr>
          <w:rPr>
            <w:color w:val="0000EE"/>
            <w:u w:val="single"/>
          </w:rPr>
          <w:t>Gn 38.6–10</w:t>
        </w:r>
      </w:hyperlink>
      <w:r>
        <w:rPr>
          <w:lang w:val="fr_FR" w:bidi="fr_FR"/>
        </w:rPr>
        <w:t>). Les descendants de Shéla sont cités en annexe à la fin des généalogies de Juda (</w:t>
      </w:r>
      <w:hyperlink r:id="rId27">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28">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29">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0">
        <w:r>
          <w:rPr>
            <w:lang w:val="fr_FR" w:bidi="fr_FR"/>
          </w:rPr>
          <w:rPr>
            <w:color w:val="0000EE"/>
            <w:u w:val="single"/>
          </w:rPr>
          <w:t>Jos 7.1</w:t>
        </w:r>
      </w:hyperlink>
      <w:r>
        <w:rPr>
          <w:lang w:val="fr_FR" w:bidi="fr_FR"/>
        </w:rPr>
        <w:t xml:space="preserve">, </w:t>
      </w:r>
      <w:hyperlink r:id="rId31">
        <w:r>
          <w:rPr>
            <w:lang w:val="fr_FR" w:bidi="fr_FR"/>
          </w:rPr>
          <w:rPr>
            <w:color w:val="0000EE"/>
            <w:u w:val="single"/>
          </w:rPr>
          <w:t>17</w:t>
        </w:r>
      </w:hyperlink>
      <w:r>
        <w:rPr>
          <w:lang w:val="fr_FR" w:bidi="fr_FR"/>
        </w:rPr>
        <w:t xml:space="preserve"> ; </w:t>
      </w:r>
      <w:hyperlink r:id="rId32">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3">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4">
        <w:r>
          <w:rPr>
            <w:lang w:val="fr_FR" w:bidi="fr_FR"/>
          </w:rPr>
          <w:rPr>
            <w:color w:val="0000EE"/>
            <w:u w:val="single"/>
          </w:rPr>
          <w:t>2.9–17</w:t>
        </w:r>
      </w:hyperlink>
      <w:r>
        <w:rPr>
          <w:lang w:val="fr_FR" w:bidi="fr_FR"/>
        </w:rPr>
        <w:t xml:space="preserve"> ; cf. </w:t>
      </w:r>
      <w:hyperlink r:id="rId35">
        <w:r>
          <w:rPr>
            <w:lang w:val="fr_FR" w:bidi="fr_FR"/>
          </w:rPr>
          <w:rPr>
            <w:color w:val="0000EE"/>
            <w:u w:val="single"/>
          </w:rPr>
          <w:t>Rt 4.18–22</w:t>
        </w:r>
      </w:hyperlink>
      <w:r>
        <w:rPr>
          <w:lang w:val="fr_FR" w:bidi="fr_FR"/>
        </w:rPr>
        <w:t>), les autres descendants de Hetsron (</w:t>
      </w:r>
      <w:hyperlink r:id="rId36">
        <w:r>
          <w:rPr>
            <w:lang w:val="fr_FR" w:bidi="fr_FR"/>
          </w:rPr>
          <w:rPr>
            <w:color w:val="0000EE"/>
            <w:u w:val="single"/>
          </w:rPr>
          <w:t>1 Ch 2.18–41</w:t>
        </w:r>
      </w:hyperlink>
      <w:r>
        <w:rPr>
          <w:lang w:val="fr_FR" w:bidi="fr_FR"/>
        </w:rPr>
        <w:t>), puis les descendants du fils de Hetsron, Caleb (</w:t>
      </w:r>
      <w:hyperlink r:id="rId33">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7">
        <w:r>
          <w:rPr>
            <w:lang w:val="fr_FR" w:bidi="fr_FR"/>
          </w:rPr>
          <w:rPr>
            <w:color w:val="0000EE"/>
            <w:u w:val="single"/>
          </w:rPr>
          <w:t>1S 16.6–13</w:t>
        </w:r>
      </w:hyperlink>
      <w:r>
        <w:rPr>
          <w:lang w:val="fr_FR" w:bidi="fr_FR"/>
        </w:rPr>
        <w:t xml:space="preserve"> ; </w:t>
      </w:r>
      <w:hyperlink r:id="rId38">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39">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0">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1">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2">
        <w:r>
          <w:rPr>
            <w:lang w:val="fr_FR" w:bidi="fr_FR"/>
          </w:rPr>
          <w:rPr>
            <w:color w:val="0000EE"/>
            <w:u w:val="single"/>
          </w:rPr>
          <w:t>2S 3.2–5</w:t>
        </w:r>
      </w:hyperlink>
      <w:r>
        <w:rPr>
          <w:lang w:val="fr_FR" w:bidi="fr_FR"/>
        </w:rPr>
        <w:t xml:space="preserve"> ; </w:t>
      </w:r>
      <w:hyperlink r:id="rId43">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4">
        <w:r>
          <w:rPr>
            <w:lang w:val="fr_FR" w:bidi="fr_FR"/>
          </w:rPr>
          <w:rPr>
            <w:color w:val="0000EE"/>
            <w:u w:val="single"/>
          </w:rPr>
          <w:t>2.10–17</w:t>
        </w:r>
      </w:hyperlink>
      <w:r>
        <w:rPr>
          <w:lang w:val="fr_FR" w:bidi="fr_FR"/>
        </w:rPr>
        <w:t>), qui mentionnait David comme le septième fils d’Isaï (</w:t>
      </w:r>
      <w:hyperlink r:id="rId45">
        <w:r>
          <w:rPr>
            <w:lang w:val="fr_FR" w:bidi="fr_FR"/>
          </w:rPr>
          <w:rPr>
            <w:color w:val="0000EE"/>
            <w:u w:val="single"/>
          </w:rPr>
          <w:t>2.15</w:t>
        </w:r>
      </w:hyperlink>
      <w:r>
        <w:rPr>
          <w:lang w:val="fr_FR" w:bidi="fr_FR"/>
        </w:rPr>
        <w:t>). La généalogie de David est divisée en trois sections : les fils de David (</w:t>
      </w:r>
      <w:hyperlink r:id="rId46">
        <w:r>
          <w:rPr>
            <w:lang w:val="fr_FR" w:bidi="fr_FR"/>
          </w:rPr>
          <w:rPr>
            <w:color w:val="0000EE"/>
            <w:u w:val="single"/>
          </w:rPr>
          <w:t>3.1–9</w:t>
        </w:r>
      </w:hyperlink>
      <w:r>
        <w:rPr>
          <w:lang w:val="fr_FR" w:bidi="fr_FR"/>
        </w:rPr>
        <w:t>) ; les rois de Juda jusqu’à Jojakim et Sédécias (</w:t>
      </w:r>
      <w:hyperlink r:id="rId47">
        <w:r>
          <w:rPr>
            <w:lang w:val="fr_FR" w:bidi="fr_FR"/>
          </w:rPr>
          <w:rPr>
            <w:color w:val="0000EE"/>
            <w:u w:val="single"/>
          </w:rPr>
          <w:t>3.10–16</w:t>
        </w:r>
      </w:hyperlink>
      <w:r>
        <w:rPr>
          <w:lang w:val="fr_FR" w:bidi="fr_FR"/>
        </w:rPr>
        <w:t>), qui ont été exilés à Babylone ; et les descendants de Jojakim jusqu’à l’époque du Chroniqueur (</w:t>
      </w:r>
      <w:hyperlink r:id="rId48">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49">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0">
        <w:r>
          <w:rPr>
            <w:lang w:val="fr_FR" w:bidi="fr_FR"/>
          </w:rPr>
          <w:rPr>
            <w:color w:val="0000EE"/>
            <w:u w:val="single"/>
          </w:rPr>
          <w:t>4.1–4</w:t>
        </w:r>
      </w:hyperlink>
      <w:r>
        <w:rPr>
          <w:lang w:val="fr_FR" w:bidi="fr_FR"/>
        </w:rPr>
        <w:t xml:space="preserve"> ; voir </w:t>
      </w:r>
      <w:hyperlink r:id="rId51">
        <w:r>
          <w:rPr>
            <w:lang w:val="fr_FR" w:bidi="fr_FR"/>
          </w:rPr>
          <w:rPr>
            <w:color w:val="0000EE"/>
            <w:u w:val="single"/>
          </w:rPr>
          <w:t>2.19–20</w:t>
        </w:r>
      </w:hyperlink>
      <w:r>
        <w:rPr>
          <w:lang w:val="fr_FR" w:bidi="fr_FR"/>
        </w:rPr>
        <w:t xml:space="preserve">, </w:t>
      </w:r>
      <w:hyperlink r:id="rId52">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3">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4">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5">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et avait un frère nommé Kenaz (</w:t>
      </w:r>
      <w:hyperlink r:id="rId58">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59">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0">
        <w:r>
          <w:rPr>
            <w:lang w:val="fr_FR" w:bidi="fr_FR"/>
          </w:rPr>
          <w:rPr>
            <w:color w:val="0000EE"/>
            <w:u w:val="single"/>
          </w:rPr>
          <w:t>2.3</w:t>
        </w:r>
      </w:hyperlink>
      <w:r>
        <w:rPr>
          <w:lang w:val="fr_FR" w:bidi="fr_FR"/>
        </w:rPr>
        <w:t xml:space="preserve"> ; </w:t>
      </w:r>
      <w:hyperlink r:id="rId61">
        <w:r>
          <w:rPr>
            <w:lang w:val="fr_FR" w:bidi="fr_FR"/>
          </w:rPr>
          <w:rPr>
            <w:color w:val="0000EE"/>
            <w:u w:val="single"/>
          </w:rPr>
          <w:t>Gn 38.2</w:t>
        </w:r>
      </w:hyperlink>
      <w:r>
        <w:rPr>
          <w:lang w:val="fr_FR" w:bidi="fr_FR"/>
        </w:rPr>
        <w:t xml:space="preserve">, </w:t>
      </w:r>
      <w:hyperlink r:id="rId6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4">
        <w:r>
          <w:rPr>
            <w:lang w:val="fr_FR" w:bidi="fr_FR"/>
          </w:rPr>
          <w:rPr>
            <w:color w:val="0000EE"/>
            <w:u w:val="single"/>
          </w:rPr>
          <w:t>2.3–4.23</w:t>
        </w:r>
      </w:hyperlink>
      <w:r>
        <w:rPr>
          <w:lang w:val="fr_FR" w:bidi="fr_FR"/>
        </w:rPr>
        <w:t xml:space="preserve">), le Chroniqueur se tourne vers les archives pour les autres fils d’Israël (cf. </w:t>
      </w:r>
      <w:hyperlink r:id="rId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5">
        <w:r>
          <w:rPr>
            <w:lang w:val="fr_FR" w:bidi="fr_FR"/>
          </w:rPr>
          <w:rPr>
            <w:color w:val="0000EE"/>
            <w:u w:val="single"/>
          </w:rPr>
          <w:t>4.34–38</w:t>
        </w:r>
      </w:hyperlink>
      <w:r>
        <w:rPr>
          <w:lang w:val="fr_FR" w:bidi="fr_FR"/>
        </w:rPr>
        <w:t>) introduit la description de l’expansion géographique de Siméon (</w:t>
      </w:r>
      <w:hyperlink r:id="rId66">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7">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68">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69">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0">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1">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2">
        <w:r>
          <w:rPr>
            <w:lang w:val="fr_FR" w:bidi="fr_FR"/>
          </w:rPr>
          <w:rPr>
            <w:color w:val="0000EE"/>
            <w:u w:val="single"/>
          </w:rPr>
          <w:t>Gn 49.8–10</w:t>
        </w:r>
      </w:hyperlink>
      <w:r>
        <w:rPr>
          <w:lang w:val="fr_FR" w:bidi="fr_FR"/>
        </w:rPr>
        <w:t>). Cependant, Ruben est toujours mentionné en premier (</w:t>
      </w:r>
      <w:hyperlink r:id="rId73">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4">
        <w:r>
          <w:rPr>
            <w:lang w:val="fr_FR" w:bidi="fr_FR"/>
          </w:rPr>
          <w:rPr>
            <w:color w:val="0000EE"/>
            <w:u w:val="single"/>
          </w:rPr>
          <w:t>5.1–10</w:t>
        </w:r>
      </w:hyperlink>
      <w:r>
        <w:rPr>
          <w:lang w:val="fr_FR" w:bidi="fr_FR"/>
        </w:rPr>
        <w:t xml:space="preserve"> ; cf. </w:t>
      </w:r>
      <w:hyperlink r:id="rId75">
        <w:r>
          <w:rPr>
            <w:lang w:val="fr_FR" w:bidi="fr_FR"/>
          </w:rPr>
          <w:rPr>
            <w:color w:val="0000EE"/>
            <w:u w:val="single"/>
          </w:rPr>
          <w:t>Gn 46.9</w:t>
        </w:r>
      </w:hyperlink>
      <w:r>
        <w:rPr>
          <w:lang w:val="fr_FR" w:bidi="fr_FR"/>
        </w:rPr>
        <w:t>), Gad (</w:t>
      </w:r>
      <w:hyperlink r:id="rId76">
        <w:r>
          <w:rPr>
            <w:lang w:val="fr_FR" w:bidi="fr_FR"/>
          </w:rPr>
          <w:rPr>
            <w:color w:val="0000EE"/>
            <w:u w:val="single"/>
          </w:rPr>
          <w:t>1 Ch 5.11–17</w:t>
        </w:r>
      </w:hyperlink>
      <w:r>
        <w:rPr>
          <w:lang w:val="fr_FR" w:bidi="fr_FR"/>
        </w:rPr>
        <w:t>), et Manassé (</w:t>
      </w:r>
      <w:hyperlink r:id="rId77">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5">
        <w:r>
          <w:rPr>
            <w:lang w:val="fr_FR" w:bidi="fr_FR"/>
          </w:rPr>
          <w:rPr>
            <w:color w:val="0000EE"/>
            <w:u w:val="single"/>
          </w:rPr>
          <w:t>Gn 46.9</w:t>
        </w:r>
      </w:hyperlink>
      <w:r>
        <w:rPr>
          <w:lang w:val="fr_FR" w:bidi="fr_FR"/>
        </w:rPr>
        <w:t xml:space="preserve"> ; </w:t>
      </w:r>
      <w:hyperlink r:id="rId78">
        <w:r>
          <w:rPr>
            <w:lang w:val="fr_FR" w:bidi="fr_FR"/>
          </w:rPr>
          <w:rPr>
            <w:color w:val="0000EE"/>
            <w:u w:val="single"/>
          </w:rPr>
          <w:t>Ex 6.14</w:t>
        </w:r>
      </w:hyperlink>
      <w:r>
        <w:rPr>
          <w:lang w:val="fr_FR" w:bidi="fr_FR"/>
        </w:rPr>
        <w:t xml:space="preserve"> ; </w:t>
      </w:r>
      <w:hyperlink r:id="rId79">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0">
        <w:r>
          <w:rPr>
            <w:lang w:val="fr_FR" w:bidi="fr_FR"/>
          </w:rPr>
          <w:rPr>
            <w:color w:val="0000EE"/>
            <w:u w:val="single"/>
          </w:rPr>
          <w:t>5.25–26</w:t>
        </w:r>
      </w:hyperlink>
      <w:r>
        <w:rPr>
          <w:lang w:val="fr_FR" w:bidi="fr_FR"/>
        </w:rPr>
        <w:t xml:space="preserve"> ; </w:t>
      </w:r>
      <w:hyperlink r:id="rId8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2">
        <w:r>
          <w:rPr>
            <w:lang w:val="fr_FR" w:bidi="fr_FR"/>
          </w:rPr>
          <w:rPr>
            <w:color w:val="0000EE"/>
            <w:u w:val="single"/>
          </w:rPr>
          <w:t>5.18–22</w:t>
        </w:r>
      </w:hyperlink>
      <w:r>
        <w:rPr>
          <w:lang w:val="fr_FR" w:bidi="fr_FR"/>
        </w:rPr>
        <w:t xml:space="preserve"> ; </w:t>
      </w:r>
      <w:hyperlink r:id="rId83">
        <w:r>
          <w:rPr>
            <w:lang w:val="fr_FR" w:bidi="fr_FR"/>
          </w:rPr>
          <w:rPr>
            <w:color w:val="0000EE"/>
            <w:u w:val="single"/>
          </w:rPr>
          <w:t>Ps 83.6</w:t>
        </w:r>
      </w:hyperlink>
      <w:r>
        <w:rPr>
          <w:lang w:val="fr_FR" w:bidi="fr_FR"/>
        </w:rPr>
        <w:t xml:space="preserve">). Plus tard, les Hagaréniens ont intégré les rangs des hommes de David (voir </w:t>
      </w:r>
      <w:hyperlink r:id="rId84">
        <w:r>
          <w:rPr>
            <w:lang w:val="fr_FR" w:bidi="fr_FR"/>
          </w:rPr>
          <w:rPr>
            <w:color w:val="0000EE"/>
            <w:u w:val="single"/>
          </w:rPr>
          <w:t>1Ch 11.38</w:t>
        </w:r>
      </w:hyperlink>
      <w:r>
        <w:rPr>
          <w:lang w:val="fr_FR" w:bidi="fr_FR"/>
        </w:rPr>
        <w:t xml:space="preserve"> ; </w:t>
      </w:r>
      <w:hyperlink r:id="rId85">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6">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7">
        <w:r>
          <w:rPr>
            <w:lang w:val="fr_FR" w:bidi="fr_FR"/>
          </w:rPr>
          <w:rPr>
            <w:color w:val="0000EE"/>
            <w:u w:val="single"/>
          </w:rPr>
          <w:t>6.1–15</w:t>
        </w:r>
      </w:hyperlink>
      <w:r>
        <w:rPr>
          <w:lang w:val="fr_FR" w:bidi="fr_FR"/>
        </w:rPr>
        <w:t>), les trois clans de Lévites (</w:t>
      </w:r>
      <w:hyperlink r:id="rId88">
        <w:r>
          <w:rPr>
            <w:lang w:val="fr_FR" w:bidi="fr_FR"/>
          </w:rPr>
          <w:rPr>
            <w:color w:val="0000EE"/>
            <w:u w:val="single"/>
          </w:rPr>
          <w:t>6.16–30</w:t>
        </w:r>
      </w:hyperlink>
      <w:r>
        <w:rPr>
          <w:lang w:val="fr_FR" w:bidi="fr_FR"/>
        </w:rPr>
        <w:t>) et les chanteurs (</w:t>
      </w:r>
      <w:hyperlink r:id="rId89">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0">
        <w:r>
          <w:rPr>
            <w:lang w:val="fr_FR" w:bidi="fr_FR"/>
          </w:rPr>
          <w:rPr>
            <w:color w:val="0000EE"/>
            <w:u w:val="single"/>
          </w:rPr>
          <w:t>Esd 3.2</w:t>
        </w:r>
      </w:hyperlink>
      <w:r>
        <w:rPr>
          <w:lang w:val="fr_FR" w:bidi="fr_FR"/>
        </w:rPr>
        <w:t xml:space="preserve"> ; </w:t>
      </w:r>
      <w:hyperlink r:id="rId91">
        <w:r>
          <w:rPr>
            <w:lang w:val="fr_FR" w:bidi="fr_FR"/>
          </w:rPr>
          <w:rPr>
            <w:color w:val="0000EE"/>
            <w:u w:val="single"/>
          </w:rPr>
          <w:t>7.1–6</w:t>
        </w:r>
      </w:hyperlink>
      <w:r>
        <w:rPr>
          <w:lang w:val="fr_FR" w:bidi="fr_FR"/>
        </w:rPr>
        <w:t xml:space="preserve"> ; </w:t>
      </w:r>
      <w:hyperlink r:id="rId92">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3">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4">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5">
        <w:r>
          <w:rPr>
            <w:lang w:val="fr_FR" w:bidi="fr_FR"/>
          </w:rPr>
          <w:rPr>
            <w:color w:val="0000EE"/>
            <w:u w:val="single"/>
          </w:rPr>
          <w:t>6.16–19a</w:t>
        </w:r>
      </w:hyperlink>
      <w:r>
        <w:rPr>
          <w:lang w:val="fr_FR" w:bidi="fr_FR"/>
        </w:rPr>
        <w:t>) présente les chefs de toutes les familles lévitiques (</w:t>
      </w:r>
      <w:hyperlink r:id="rId96">
        <w:r>
          <w:rPr>
            <w:lang w:val="fr_FR" w:bidi="fr_FR"/>
          </w:rPr>
          <w:rPr>
            <w:color w:val="0000EE"/>
            <w:u w:val="single"/>
          </w:rPr>
          <w:t>6.19b-30</w:t>
        </w:r>
      </w:hyperlink>
      <w:r>
        <w:rPr>
          <w:lang w:val="fr_FR" w:bidi="fr_FR"/>
        </w:rPr>
        <w:t>). La liste contient les lignées de Guerschom (</w:t>
      </w:r>
      <w:hyperlink r:id="rId97">
        <w:r>
          <w:rPr>
            <w:lang w:val="fr_FR" w:bidi="fr_FR"/>
          </w:rPr>
          <w:rPr>
            <w:color w:val="0000EE"/>
            <w:u w:val="single"/>
          </w:rPr>
          <w:t>6.20–21</w:t>
        </w:r>
      </w:hyperlink>
      <w:r>
        <w:rPr>
          <w:lang w:val="fr_FR" w:bidi="fr_FR"/>
        </w:rPr>
        <w:t>), Kehath (</w:t>
      </w:r>
      <w:hyperlink r:id="rId98">
        <w:r>
          <w:rPr>
            <w:lang w:val="fr_FR" w:bidi="fr_FR"/>
          </w:rPr>
          <w:rPr>
            <w:color w:val="0000EE"/>
            <w:u w:val="single"/>
          </w:rPr>
          <w:t>6.22–24</w:t>
        </w:r>
      </w:hyperlink>
      <w:r>
        <w:rPr>
          <w:lang w:val="fr_FR" w:bidi="fr_FR"/>
        </w:rPr>
        <w:t>), et Merari (</w:t>
      </w:r>
      <w:hyperlink r:id="rId99">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0">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1">
        <w:r>
          <w:rPr>
            <w:lang w:val="fr_FR" w:bidi="fr_FR"/>
          </w:rPr>
          <w:rPr>
            <w:color w:val="0000EE"/>
            <w:u w:val="single"/>
          </w:rPr>
          <w:t>6.33</w:t>
        </w:r>
      </w:hyperlink>
      <w:r>
        <w:rPr>
          <w:lang w:val="fr_FR" w:bidi="fr_FR"/>
        </w:rPr>
        <w:t>), Guerschom (</w:t>
      </w:r>
      <w:hyperlink r:id="rId102">
        <w:r>
          <w:rPr>
            <w:lang w:val="fr_FR" w:bidi="fr_FR"/>
          </w:rPr>
          <w:rPr>
            <w:color w:val="0000EE"/>
            <w:u w:val="single"/>
          </w:rPr>
          <w:t>6.39</w:t>
        </w:r>
      </w:hyperlink>
      <w:r>
        <w:rPr>
          <w:lang w:val="fr_FR" w:bidi="fr_FR"/>
        </w:rPr>
        <w:t>), et Merari (</w:t>
      </w:r>
      <w:hyperlink r:id="rId103">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4">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5">
        <w:r>
          <w:rPr>
            <w:lang w:val="fr_FR" w:bidi="fr_FR"/>
          </w:rPr>
          <w:rPr>
            <w:color w:val="0000EE"/>
            <w:u w:val="single"/>
          </w:rPr>
          <w:t xml:space="preserve">Ps 50 </w:t>
        </w:r>
      </w:hyperlink>
      <w:r>
        <w:rPr>
          <w:lang w:val="fr_FR" w:bidi="fr_FR"/>
        </w:rPr>
        <w:t xml:space="preserve">; </w:t>
      </w:r>
      <w:hyperlink r:id="rId106">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7">
        <w:r>
          <w:rPr>
            <w:lang w:val="fr_FR" w:bidi="fr_FR"/>
          </w:rPr>
          <w:rPr>
            <w:color w:val="0000EE"/>
            <w:u w:val="single"/>
          </w:rPr>
          <w:t>6.54–81</w:t>
        </w:r>
      </w:hyperlink>
      <w:r>
        <w:rPr>
          <w:lang w:val="fr_FR" w:bidi="fr_FR"/>
        </w:rPr>
        <w:t>). La liste s’étend jusqu’à l’époque de David, lorsque Achimaats a servi (</w:t>
      </w:r>
      <w:hyperlink r:id="rId108">
        <w:r>
          <w:rPr>
            <w:lang w:val="fr_FR" w:bidi="fr_FR"/>
          </w:rPr>
          <w:rPr>
            <w:color w:val="0000EE"/>
            <w:u w:val="single"/>
          </w:rPr>
          <w:t>2S 15.36</w:t>
        </w:r>
      </w:hyperlink>
      <w:r>
        <w:rPr>
          <w:lang w:val="fr_FR" w:bidi="fr_FR"/>
        </w:rPr>
        <w:t xml:space="preserve"> ; </w:t>
      </w:r>
      <w:hyperlink r:id="rId109">
        <w:r>
          <w:rPr>
            <w:lang w:val="fr_FR" w:bidi="fr_FR"/>
          </w:rPr>
          <w:rPr>
            <w:color w:val="0000EE"/>
            <w:u w:val="single"/>
          </w:rPr>
          <w:t>17.17–29</w:t>
        </w:r>
      </w:hyperlink>
      <w:r>
        <w:rPr>
          <w:lang w:val="fr_FR" w:bidi="fr_FR"/>
        </w:rPr>
        <w:t xml:space="preserve"> ; </w:t>
      </w:r>
      <w:hyperlink r:id="rId110">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1">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2">
        <w:r>
          <w:rPr>
            <w:lang w:val="fr_FR" w:bidi="fr_FR"/>
          </w:rPr>
          <w:rPr>
            <w:color w:val="0000EE"/>
            <w:u w:val="single"/>
          </w:rPr>
          <w:t>8.8</w:t>
        </w:r>
      </w:hyperlink>
      <w:r>
        <w:rPr>
          <w:lang w:val="fr_FR" w:bidi="fr_FR"/>
        </w:rPr>
        <w:t xml:space="preserve">, </w:t>
      </w:r>
      <w:hyperlink r:id="rId113">
        <w:r>
          <w:rPr>
            <w:lang w:val="fr_FR" w:bidi="fr_FR"/>
          </w:rPr>
          <w:rPr>
            <w:color w:val="0000EE"/>
            <w:u w:val="single"/>
          </w:rPr>
          <w:t>11</w:t>
        </w:r>
      </w:hyperlink>
      <w:r>
        <w:rPr>
          <w:lang w:val="fr_FR" w:bidi="fr_FR"/>
        </w:rPr>
        <w:t xml:space="preserve"> ; </w:t>
      </w:r>
      <w:hyperlink r:id="rId114">
        <w:r>
          <w:rPr>
            <w:lang w:val="fr_FR" w:bidi="fr_FR"/>
          </w:rPr>
          <w:rPr>
            <w:color w:val="0000EE"/>
            <w:u w:val="single"/>
          </w:rPr>
          <w:t>Gn 46.21</w:t>
        </w:r>
      </w:hyperlink>
      <w:r>
        <w:rPr>
          <w:lang w:val="fr_FR" w:bidi="fr_FR"/>
        </w:rPr>
        <w:t xml:space="preserve"> ; </w:t>
      </w:r>
      <w:hyperlink r:id="rId115">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6">
        <w:r>
          <w:rPr>
            <w:lang w:val="fr_FR" w:bidi="fr_FR"/>
          </w:rPr>
          <w:rPr>
            <w:color w:val="0000EE"/>
            <w:u w:val="single"/>
          </w:rPr>
          <w:t>Gn 46.23</w:t>
        </w:r>
      </w:hyperlink>
      <w:r>
        <w:rPr>
          <w:lang w:val="fr_FR" w:bidi="fr_FR"/>
        </w:rPr>
        <w:t xml:space="preserve"> ; </w:t>
      </w:r>
      <w:hyperlink r:id="rId117">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18">
        <w:r>
          <w:rPr>
            <w:lang w:val="fr_FR" w:bidi="fr_FR"/>
          </w:rPr>
          <w:rPr>
            <w:color w:val="0000EE"/>
            <w:u w:val="single"/>
          </w:rPr>
          <w:t>Gn 46.24</w:t>
        </w:r>
      </w:hyperlink>
      <w:r>
        <w:rPr>
          <w:lang w:val="fr_FR" w:bidi="fr_FR"/>
        </w:rPr>
        <w:t xml:space="preserve"> ; </w:t>
      </w:r>
      <w:hyperlink r:id="rId119">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1">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0">
        <w:r>
          <w:rPr>
            <w:lang w:val="fr_FR" w:bidi="fr_FR"/>
          </w:rPr>
          <w:rPr>
            <w:color w:val="0000EE"/>
            <w:u w:val="single"/>
          </w:rPr>
          <w:t>7.15–16</w:t>
        </w:r>
      </w:hyperlink>
      <w:r>
        <w:rPr>
          <w:lang w:val="fr_FR" w:bidi="fr_FR"/>
        </w:rPr>
        <w:t>) ; (2) Huppim et Schuppim ont été mentionnés plus tôt avec Benjamin (</w:t>
      </w:r>
      <w:hyperlink r:id="rId121">
        <w:r>
          <w:rPr>
            <w:lang w:val="fr_FR" w:bidi="fr_FR"/>
          </w:rPr>
          <w:rPr>
            <w:color w:val="0000EE"/>
            <w:u w:val="single"/>
          </w:rPr>
          <w:t>7.12</w:t>
        </w:r>
      </w:hyperlink>
      <w:r>
        <w:rPr>
          <w:lang w:val="fr_FR" w:bidi="fr_FR"/>
        </w:rPr>
        <w:t>), pas avec Manassé ; (3) ceux considérés comme Galaadites (</w:t>
      </w:r>
      <w:hyperlink r:id="rId122">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3">
        <w:r>
          <w:rPr>
            <w:lang w:val="fr_FR" w:bidi="fr_FR"/>
          </w:rPr>
          <w:rPr>
            <w:color w:val="0000EE"/>
            <w:u w:val="single"/>
          </w:rPr>
          <w:t>Nb 26.30–33</w:t>
        </w:r>
      </w:hyperlink>
      <w:r>
        <w:rPr>
          <w:lang w:val="fr_FR" w:bidi="fr_FR"/>
        </w:rPr>
        <w:t>) ; (4) les fils de Schemida ne sont pas reliés à la généalogie (</w:t>
      </w:r>
      <w:hyperlink r:id="rId124">
        <w:r>
          <w:rPr>
            <w:lang w:val="fr_FR" w:bidi="fr_FR"/>
          </w:rPr>
          <w:rPr>
            <w:color w:val="0000EE"/>
            <w:u w:val="single"/>
          </w:rPr>
          <w:t>1Ch 7.19</w:t>
        </w:r>
      </w:hyperlink>
      <w:r>
        <w:rPr>
          <w:lang w:val="fr_FR" w:bidi="fr_FR"/>
        </w:rPr>
        <w:t>) ; Schemida était l’un des descendants de Galaad (</w:t>
      </w:r>
      <w:hyperlink r:id="rId125">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6">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7">
        <w:r>
          <w:rPr>
            <w:lang w:val="fr_FR" w:bidi="fr_FR"/>
          </w:rPr>
          <w:rPr>
            <w:color w:val="0000EE"/>
            <w:u w:val="single"/>
          </w:rPr>
          <w:t>8.3</w:t>
        </w:r>
      </w:hyperlink>
      <w:r>
        <w:rPr>
          <w:lang w:val="fr_FR" w:bidi="fr_FR"/>
        </w:rPr>
        <w:t xml:space="preserve">, </w:t>
      </w:r>
      <w:hyperlink r:id="rId128">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29">
        <w:r>
          <w:rPr>
            <w:lang w:val="fr_FR" w:bidi="fr_FR"/>
          </w:rPr>
          <w:rPr>
            <w:color w:val="0000EE"/>
            <w:u w:val="single"/>
          </w:rPr>
          <w:t>8.6–7</w:t>
        </w:r>
      </w:hyperlink>
      <w:r>
        <w:rPr>
          <w:lang w:val="fr_FR" w:bidi="fr_FR"/>
        </w:rPr>
        <w:t>) et de Schacharaïm (</w:t>
      </w:r>
      <w:hyperlink r:id="rId130">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1">
        <w:r>
          <w:rPr>
            <w:lang w:val="fr_FR" w:bidi="fr_FR"/>
          </w:rPr>
          <w:rPr>
            <w:color w:val="0000EE"/>
            <w:u w:val="single"/>
          </w:rPr>
          <w:t>1Ch 8.38–40</w:t>
        </w:r>
      </w:hyperlink>
      <w:r>
        <w:rPr>
          <w:lang w:val="fr_FR" w:bidi="fr_FR"/>
        </w:rPr>
        <w:t>). Micah (</w:t>
      </w:r>
      <w:hyperlink r:id="rId132">
        <w:r>
          <w:rPr>
            <w:lang w:val="fr_FR" w:bidi="fr_FR"/>
          </w:rPr>
          <w:rPr>
            <w:color w:val="0000EE"/>
            <w:u w:val="single"/>
          </w:rPr>
          <w:t>8.35</w:t>
        </w:r>
      </w:hyperlink>
      <w:r>
        <w:rPr>
          <w:lang w:val="fr_FR" w:bidi="fr_FR"/>
        </w:rPr>
        <w:t>) a vécu à l’époque de Salomon, et Ulam (</w:t>
      </w:r>
      <w:hyperlink r:id="rId133">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0">
        <w:r>
          <w:rPr>
            <w:lang w:val="fr_FR" w:bidi="fr_FR"/>
          </w:rPr>
          <w:rPr>
            <w:color w:val="0000EE"/>
            <w:u w:val="single"/>
          </w:rPr>
          <w:t xml:space="preserve">1Ch 5.25–26 </w:t>
        </w:r>
      </w:hyperlink>
      <w:r>
        <w:rPr>
          <w:lang w:val="fr_FR" w:bidi="fr_FR"/>
        </w:rPr>
        <w:t xml:space="preserve">; </w:t>
      </w:r>
      <w:hyperlink r:id="rId134">
        <w:r>
          <w:rPr>
            <w:lang w:val="fr_FR" w:bidi="fr_FR"/>
          </w:rPr>
          <w:rPr>
            <w:color w:val="0000EE"/>
            <w:u w:val="single"/>
          </w:rPr>
          <w:t xml:space="preserve">6.15 </w:t>
        </w:r>
      </w:hyperlink>
      <w:r>
        <w:rPr>
          <w:lang w:val="fr_FR" w:bidi="fr_FR"/>
        </w:rPr>
        <w:t xml:space="preserve">; voir </w:t>
      </w:r>
      <w:hyperlink r:id="rId135">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6">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7">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3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39">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0">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1">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2">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4">
        <w:r>
          <w:rPr>
            <w:lang w:val="fr_FR" w:bidi="fr_FR"/>
          </w:rPr>
          <w:rPr>
            <w:color w:val="0000EE"/>
            <w:u w:val="single"/>
          </w:rPr>
          <w:t>1S 31.6</w:t>
        </w:r>
      </w:hyperlink>
      <w:r>
        <w:rPr>
          <w:lang w:val="fr_FR" w:bidi="fr_FR"/>
        </w:rPr>
        <w:t>), mettant en avant l’action de Dieu qui soustrait Saül et le remplace par David (</w:t>
      </w:r>
      <w:hyperlink r:id="rId145">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6">
        <w:r>
          <w:rPr>
            <w:lang w:val="fr_FR" w:bidi="fr_FR"/>
          </w:rPr>
          <w:rPr>
            <w:color w:val="0000EE"/>
            <w:u w:val="single"/>
          </w:rPr>
          <w:t>3.4</w:t>
        </w:r>
      </w:hyperlink>
      <w:r>
        <w:rPr>
          <w:lang w:val="fr_FR" w:bidi="fr_FR"/>
        </w:rPr>
        <w:t xml:space="preserve"> ; </w:t>
      </w:r>
      <w:hyperlink r:id="rId147">
        <w:r>
          <w:rPr>
            <w:lang w:val="fr_FR" w:bidi="fr_FR"/>
          </w:rPr>
          <w:rPr>
            <w:color w:val="0000EE"/>
            <w:u w:val="single"/>
          </w:rPr>
          <w:t>2S 5.5</w:t>
        </w:r>
      </w:hyperlink>
      <w:r>
        <w:rPr>
          <w:lang w:val="fr_FR" w:bidi="fr_FR"/>
        </w:rPr>
        <w:t xml:space="preserve">). Le Chroniqueur omet le récit de cette période (voir </w:t>
      </w:r>
      <w:hyperlink r:id="rId148">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49">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0">
        <w:r>
          <w:rPr>
            <w:lang w:val="fr_FR" w:bidi="fr_FR"/>
          </w:rPr>
          <w:rPr>
            <w:color w:val="0000EE"/>
            <w:u w:val="single"/>
          </w:rPr>
          <w:t>11.3</w:t>
        </w:r>
      </w:hyperlink>
      <w:r>
        <w:rPr>
          <w:lang w:val="fr_FR" w:bidi="fr_FR"/>
        </w:rPr>
        <w:t xml:space="preserve"> ; </w:t>
      </w:r>
      <w:hyperlink r:id="rId151">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2">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3">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4">
        <w:r>
          <w:rPr>
            <w:lang w:val="fr_FR" w:bidi="fr_FR"/>
          </w:rPr>
          <w:rPr>
            <w:color w:val="0000EE"/>
            <w:u w:val="single"/>
          </w:rPr>
          <w:t>12.2</w:t>
        </w:r>
      </w:hyperlink>
      <w:r>
        <w:rPr>
          <w:lang w:val="fr_FR" w:bidi="fr_FR"/>
        </w:rPr>
        <w:t>). Bien sûr, David était prudent avec ces déserteurs (</w:t>
      </w:r>
      <w:hyperlink r:id="rId155">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6">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7">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58">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59">
        <w:r>
          <w:rPr>
            <w:lang w:val="fr_FR" w:bidi="fr_FR"/>
          </w:rPr>
          <w:rPr>
            <w:color w:val="0000EE"/>
            <w:u w:val="single"/>
          </w:rPr>
          <w:t>13.1–14</w:t>
        </w:r>
      </w:hyperlink>
      <w:r>
        <w:rPr>
          <w:lang w:val="fr_FR" w:bidi="fr_FR"/>
        </w:rPr>
        <w:t xml:space="preserve"> ; cf. </w:t>
      </w:r>
      <w:hyperlink r:id="rId160">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59">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2">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3">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4">
        <w:r>
          <w:rPr>
            <w:lang w:val="fr_FR" w:bidi="fr_FR"/>
          </w:rPr>
          <w:rPr>
            <w:color w:val="0000EE"/>
            <w:u w:val="single"/>
          </w:rPr>
          <w:t>1Ch 10.13</w:t>
        </w:r>
      </w:hyperlink>
      <w:r>
        <w:rPr>
          <w:lang w:val="fr_FR" w:bidi="fr_FR"/>
        </w:rPr>
        <w:t xml:space="preserve"> ; voir </w:t>
      </w:r>
      <w:hyperlink r:id="rId165">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6">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59">
        <w:r>
          <w:rPr>
            <w:lang w:val="fr_FR" w:bidi="fr_FR"/>
          </w:rPr>
          <w:rPr>
            <w:color w:val="0000EE"/>
            <w:u w:val="single"/>
          </w:rPr>
          <w:t>13.1–14</w:t>
        </w:r>
      </w:hyperlink>
      <w:r>
        <w:rPr>
          <w:lang w:val="fr_FR" w:bidi="fr_FR"/>
        </w:rPr>
        <w:t xml:space="preserve">) a échoué en raison d'une procédure incorrecte (voir </w:t>
      </w:r>
      <w:hyperlink r:id="rId161">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7">
        <w:r>
          <w:rPr>
            <w:lang w:val="fr_FR" w:bidi="fr_FR"/>
          </w:rPr>
          <w:rPr>
            <w:color w:val="0000EE"/>
            <w:u w:val="single"/>
          </w:rPr>
          <w:t xml:space="preserve">Dt 10.8 </w:t>
        </w:r>
      </w:hyperlink>
      <w:r>
        <w:rPr>
          <w:lang w:val="fr_FR" w:bidi="fr_FR"/>
        </w:rPr>
        <w:t xml:space="preserve">; </w:t>
      </w:r>
      <w:hyperlink r:id="rId168">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69">
        <w:r>
          <w:rPr>
            <w:lang w:val="fr_FR" w:bidi="fr_FR"/>
          </w:rPr>
          <w:rPr>
            <w:color w:val="0000EE"/>
            <w:u w:val="single"/>
          </w:rPr>
          <w:t xml:space="preserve">1Ch 16.39 </w:t>
        </w:r>
      </w:hyperlink>
      <w:r>
        <w:rPr>
          <w:lang w:val="fr_FR" w:bidi="fr_FR"/>
        </w:rPr>
        <w:t xml:space="preserve">; </w:t>
      </w:r>
      <w:hyperlink r:id="rId170">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1">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2">
        <w:r>
          <w:rPr>
            <w:lang w:val="fr_FR" w:bidi="fr_FR"/>
          </w:rPr>
          <w:rPr>
            <w:color w:val="0000EE"/>
            <w:u w:val="single"/>
          </w:rPr>
          <w:t>15.19–22</w:t>
        </w:r>
      </w:hyperlink>
      <w:r>
        <w:rPr>
          <w:lang w:val="fr_FR" w:bidi="fr_FR"/>
        </w:rPr>
        <w:t xml:space="preserve"> ; </w:t>
      </w:r>
      <w:hyperlink r:id="rId173">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4">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15.21</w:t>
      </w:r>
      <w:r>
        <w:rPr>
          <w:lang w:val="fr_FR" w:bidi="fr_FR"/>
        </w:rPr>
      </w:r>
    </w:p>
    <w:p>
      <w:pPr/>
      <w:r>
        <w:rPr>
          <w:lang w:val="fr_FR" w:bidi="fr_FR"/>
        </w:rPr>
      </w:r>
      <w:r>
        <w:rPr>
          <w:lang w:val="fr_FR" w:bidi="fr_FR"/>
        </w:rPr>
        <w:t xml:space="preserve">harpes (ou lyres, cithares) : Le texte hébreu ajoute « sur schéminith ». L'interprétation du terme </w:t>
      </w:r>
      <w:r>
        <w:rPr>
          <w:i/>
          <w:lang w:val="fr_FR" w:bidi="fr_FR"/>
        </w:rPr>
        <w:t>schéminith</w:t>
      </w:r>
      <w:r>
        <w:rPr>
          <w:lang w:val="fr_FR" w:bidi="fr_FR"/>
        </w:rPr>
        <w:t xml:space="preserve"> est incertaine, et il est traduit différemment d'une version française à l'autre. Certaines versions préfèrent ne pas le traduire (voir par exemple Bible annotée, Nouvelle Bible Segond, Bible juive complète). Certaines versions traduisent « à huit cordes » : par exemple LSG, Ostervald, Segond 21, Semeur. D'autres comprennent cette expression comme désignant une « octave » : par exemple « lyres à l'octove » (Traduction œcuménique), « cithares à l'octave » (Traduction officielle liturgique). Cela suggère peut-être une gamme vocale plus basse, voir par exemple : « octave de basse » (Perret-Gentil et Rilliet), « notes graves » (Français courant, Nouvelle français courant, Parole de vie).</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5">
        <w:r>
          <w:rPr>
            <w:lang w:val="fr_FR" w:bidi="fr_FR"/>
          </w:rPr>
          <w:rPr>
            <w:color w:val="0000EE"/>
            <w:u w:val="single"/>
          </w:rPr>
          <w:t>2S 6.16–23</w:t>
        </w:r>
      </w:hyperlink>
      <w:r>
        <w:rPr>
          <w:lang w:val="fr_FR" w:bidi="fr_FR"/>
        </w:rPr>
        <w:t>) envers David contraste fortement avec la bénédiction de Dieu sur la célébration (</w:t>
      </w:r>
      <w:hyperlink r:id="rId176">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7">
        <w:r>
          <w:rPr>
            <w:lang w:val="fr_FR" w:bidi="fr_FR"/>
          </w:rPr>
          <w:rPr>
            <w:color w:val="0000EE"/>
            <w:u w:val="single"/>
          </w:rPr>
          <w:t>1S 10.10–12</w:t>
        </w:r>
      </w:hyperlink>
      <w:r>
        <w:rPr>
          <w:lang w:val="fr_FR" w:bidi="fr_FR"/>
        </w:rPr>
        <w:t xml:space="preserve"> ; </w:t>
      </w:r>
      <w:hyperlink r:id="rId178">
        <w:r>
          <w:rPr>
            <w:lang w:val="fr_FR" w:bidi="fr_FR"/>
          </w:rPr>
          <w:rPr>
            <w:color w:val="0000EE"/>
            <w:u w:val="single"/>
          </w:rPr>
          <w:t>13.7–14</w:t>
        </w:r>
      </w:hyperlink>
      <w:r>
        <w:rPr>
          <w:lang w:val="fr_FR" w:bidi="fr_FR"/>
        </w:rPr>
        <w:t xml:space="preserve"> ; </w:t>
      </w:r>
      <w:hyperlink r:id="rId179">
        <w:r>
          <w:rPr>
            <w:lang w:val="fr_FR" w:bidi="fr_FR"/>
          </w:rPr>
          <w:rPr>
            <w:color w:val="0000EE"/>
            <w:u w:val="single"/>
          </w:rPr>
          <w:t>15.10–23</w:t>
        </w:r>
      </w:hyperlink>
      <w:r>
        <w:rPr>
          <w:lang w:val="fr_FR" w:bidi="fr_FR"/>
        </w:rPr>
        <w:t xml:space="preserve"> ; </w:t>
      </w:r>
      <w:hyperlink r:id="rId165">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0">
        <w:r>
          <w:rPr>
            <w:lang w:val="fr_FR" w:bidi="fr_FR"/>
          </w:rPr>
          <w:rPr>
            <w:color w:val="0000EE"/>
            <w:u w:val="single"/>
          </w:rPr>
          <w:t>16.1–3</w:t>
        </w:r>
      </w:hyperlink>
      <w:r>
        <w:rPr>
          <w:lang w:val="fr_FR" w:bidi="fr_FR"/>
        </w:rPr>
        <w:t>) et la conclusion de l’événement (</w:t>
      </w:r>
      <w:hyperlink r:id="rId181">
        <w:r>
          <w:rPr>
            <w:lang w:val="fr_FR" w:bidi="fr_FR"/>
          </w:rPr>
          <w:rPr>
            <w:color w:val="0000EE"/>
            <w:u w:val="single"/>
          </w:rPr>
          <w:t>16.43</w:t>
        </w:r>
      </w:hyperlink>
      <w:r>
        <w:rPr>
          <w:lang w:val="fr_FR" w:bidi="fr_FR"/>
        </w:rPr>
        <w:t xml:space="preserve">) sont rapportés exactement comme dans le deuxième livre de Samuel (voir </w:t>
      </w:r>
      <w:hyperlink r:id="rId182">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3">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4">
        <w:r>
          <w:rPr>
            <w:lang w:val="fr_FR" w:bidi="fr_FR"/>
          </w:rPr>
          <w:rPr>
            <w:color w:val="0000EE"/>
            <w:u w:val="single"/>
          </w:rPr>
          <w:t>16.8–22</w:t>
        </w:r>
      </w:hyperlink>
      <w:r>
        <w:rPr>
          <w:lang w:val="fr_FR" w:bidi="fr_FR"/>
        </w:rPr>
        <w:t xml:space="preserve"> s’inspirent des versets </w:t>
      </w:r>
      <w:hyperlink r:id="rId185">
        <w:r>
          <w:rPr>
            <w:lang w:val="fr_FR" w:bidi="fr_FR"/>
          </w:rPr>
          <w:rPr>
            <w:color w:val="0000EE"/>
            <w:u w:val="single"/>
          </w:rPr>
          <w:t>Ps 105.1–15</w:t>
        </w:r>
      </w:hyperlink>
      <w:r>
        <w:rPr>
          <w:lang w:val="fr_FR" w:bidi="fr_FR"/>
        </w:rPr>
        <w:t xml:space="preserve"> ; les versets </w:t>
      </w:r>
      <w:hyperlink r:id="rId186">
        <w:r>
          <w:rPr>
            <w:lang w:val="fr_FR" w:bidi="fr_FR"/>
          </w:rPr>
          <w:rPr>
            <w:color w:val="0000EE"/>
            <w:u w:val="single"/>
          </w:rPr>
          <w:t>1Ch 16.23–33</w:t>
        </w:r>
      </w:hyperlink>
      <w:r>
        <w:rPr>
          <w:lang w:val="fr_FR" w:bidi="fr_FR"/>
        </w:rPr>
        <w:t xml:space="preserve"> du chapitre </w:t>
      </w:r>
      <w:hyperlink r:id="rId187">
        <w:r>
          <w:rPr>
            <w:lang w:val="fr_FR" w:bidi="fr_FR"/>
          </w:rPr>
          <w:rPr>
            <w:color w:val="0000EE"/>
            <w:u w:val="single"/>
          </w:rPr>
          <w:t>Ps 96</w:t>
        </w:r>
      </w:hyperlink>
      <w:r>
        <w:rPr>
          <w:lang w:val="fr_FR" w:bidi="fr_FR"/>
        </w:rPr>
        <w:t xml:space="preserve"> ; et les versets </w:t>
      </w:r>
      <w:hyperlink r:id="rId188">
        <w:r>
          <w:rPr>
            <w:lang w:val="fr_FR" w:bidi="fr_FR"/>
          </w:rPr>
          <w:rPr>
            <w:color w:val="0000EE"/>
            <w:u w:val="single"/>
          </w:rPr>
          <w:t>1Ch 16.34–38</w:t>
        </w:r>
      </w:hyperlink>
      <w:r>
        <w:rPr>
          <w:lang w:val="fr_FR" w:bidi="fr_FR"/>
        </w:rPr>
        <w:t xml:space="preserve"> des versets </w:t>
      </w:r>
      <w:hyperlink r:id="rId189">
        <w:r>
          <w:rPr>
            <w:lang w:val="fr_FR" w:bidi="fr_FR"/>
          </w:rPr>
          <w:rPr>
            <w:color w:val="0000EE"/>
            <w:u w:val="single"/>
          </w:rPr>
          <w:t>Ps 106.1</w:t>
        </w:r>
      </w:hyperlink>
      <w:r>
        <w:rPr>
          <w:lang w:val="fr_FR" w:bidi="fr_FR"/>
        </w:rPr>
        <w:t xml:space="preserve">, </w:t>
      </w:r>
      <w:hyperlink r:id="rId190">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1">
        <w:r>
          <w:rPr>
            <w:lang w:val="fr_FR" w:bidi="fr_FR"/>
          </w:rPr>
          <w:rPr>
            <w:color w:val="0000EE"/>
            <w:u w:val="single"/>
          </w:rPr>
          <w:t>1Ch 16.27</w:t>
        </w:r>
      </w:hyperlink>
      <w:r>
        <w:rPr>
          <w:lang w:val="fr_FR" w:bidi="fr_FR"/>
        </w:rPr>
        <w:t>) au lieu de « son sanctuaire » (</w:t>
      </w:r>
      <w:hyperlink r:id="rId192">
        <w:r>
          <w:rPr>
            <w:lang w:val="fr_FR" w:bidi="fr_FR"/>
          </w:rPr>
          <w:rPr>
            <w:color w:val="0000EE"/>
            <w:u w:val="single"/>
          </w:rPr>
          <w:t>Ps 96.6</w:t>
        </w:r>
      </w:hyperlink>
      <w:r>
        <w:rPr>
          <w:lang w:val="fr_FR" w:bidi="fr_FR"/>
        </w:rPr>
        <w:t>) et exige que l’adorateur vienne en sa présence (</w:t>
      </w:r>
      <w:hyperlink r:id="rId193">
        <w:r>
          <w:rPr>
            <w:lang w:val="fr_FR" w:bidi="fr_FR"/>
          </w:rPr>
          <w:rPr>
            <w:color w:val="0000EE"/>
            <w:u w:val="single"/>
          </w:rPr>
          <w:t>1Ch 16.29</w:t>
        </w:r>
      </w:hyperlink>
      <w:r>
        <w:rPr>
          <w:lang w:val="fr_FR" w:bidi="fr_FR"/>
        </w:rPr>
        <w:t>) au lieu de « dans ses parvis » (</w:t>
      </w:r>
      <w:hyperlink r:id="rId194">
        <w:r>
          <w:rPr>
            <w:lang w:val="fr_FR" w:bidi="fr_FR"/>
          </w:rPr>
          <w:rPr>
            <w:color w:val="0000EE"/>
            <w:u w:val="single"/>
          </w:rPr>
          <w:t>Ps 96.8</w:t>
        </w:r>
      </w:hyperlink>
      <w:r>
        <w:rPr>
          <w:lang w:val="fr_FR" w:bidi="fr_FR"/>
        </w:rPr>
        <w:t>). Le nom « Abraham » (</w:t>
      </w:r>
      <w:hyperlink r:id="rId195">
        <w:r>
          <w:rPr>
            <w:lang w:val="fr_FR" w:bidi="fr_FR"/>
          </w:rPr>
          <w:rPr>
            <w:color w:val="0000EE"/>
            <w:u w:val="single"/>
          </w:rPr>
          <w:t>Ps 105.9</w:t>
        </w:r>
      </w:hyperlink>
      <w:r>
        <w:rPr>
          <w:lang w:val="fr_FR" w:bidi="fr_FR"/>
        </w:rPr>
        <w:t>) est également changé en Israël (</w:t>
      </w:r>
      <w:hyperlink r:id="rId196">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7">
        <w:r>
          <w:rPr>
            <w:lang w:val="fr_FR" w:bidi="fr_FR"/>
          </w:rPr>
          <w:rPr>
            <w:color w:val="0000EE"/>
            <w:u w:val="single"/>
          </w:rPr>
          <w:t>Ps 96.10</w:t>
        </w:r>
      </w:hyperlink>
      <w:r>
        <w:rPr>
          <w:lang w:val="fr_FR" w:bidi="fr_FR"/>
        </w:rPr>
        <w:t xml:space="preserve">, </w:t>
      </w:r>
      <w:hyperlink r:id="rId198">
        <w:r>
          <w:rPr>
            <w:lang w:val="fr_FR" w:bidi="fr_FR"/>
          </w:rPr>
          <w:rPr>
            <w:color w:val="0000EE"/>
            <w:u w:val="single"/>
          </w:rPr>
          <w:t xml:space="preserve">13 </w:t>
        </w:r>
      </w:hyperlink>
      <w:r>
        <w:rPr>
          <w:lang w:val="fr_FR" w:bidi="fr_FR"/>
        </w:rPr>
        <w:t xml:space="preserve">; cf. </w:t>
      </w:r>
      <w:hyperlink r:id="rId199">
        <w:r>
          <w:rPr>
            <w:lang w:val="fr_FR" w:bidi="fr_FR"/>
          </w:rPr>
          <w:rPr>
            <w:color w:val="0000EE"/>
            <w:u w:val="single"/>
          </w:rPr>
          <w:t>1Ch 16.30</w:t>
        </w:r>
      </w:hyperlink>
      <w:r>
        <w:rPr>
          <w:lang w:val="fr_FR" w:bidi="fr_FR"/>
        </w:rPr>
        <w:t xml:space="preserve">, </w:t>
      </w:r>
      <w:hyperlink r:id="rId200">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0">
        <w:r>
          <w:rPr>
            <w:lang w:val="fr_FR" w:bidi="fr_FR"/>
          </w:rPr>
          <w:rPr>
            <w:color w:val="0000EE"/>
            <w:u w:val="single"/>
          </w:rPr>
          <w:t>21.29</w:t>
        </w:r>
      </w:hyperlink>
      <w:r>
        <w:rPr>
          <w:lang w:val="fr_FR" w:bidi="fr_FR"/>
        </w:rPr>
        <w:t xml:space="preserve"> ; </w:t>
      </w:r>
      <w:hyperlink r:id="rId201">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2">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3">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4">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5">
        <w:r>
          <w:rPr>
            <w:lang w:val="fr_FR" w:bidi="fr_FR"/>
          </w:rPr>
          <w:rPr>
            <w:color w:val="0000EE"/>
            <w:u w:val="single"/>
          </w:rPr>
          <w:t>22.9</w:t>
        </w:r>
      </w:hyperlink>
      <w:r>
        <w:rPr>
          <w:lang w:val="fr_FR" w:bidi="fr_FR"/>
        </w:rPr>
        <w:t xml:space="preserve"> ; </w:t>
      </w:r>
      <w:hyperlink r:id="rId206">
        <w:r>
          <w:rPr>
            <w:lang w:val="fr_FR" w:bidi="fr_FR"/>
          </w:rPr>
          <w:rPr>
            <w:color w:val="0000EE"/>
            <w:u w:val="single"/>
          </w:rPr>
          <w:t>28.5–6</w:t>
        </w:r>
      </w:hyperlink>
      <w:r>
        <w:rPr>
          <w:lang w:val="fr_FR" w:bidi="fr_FR"/>
        </w:rPr>
        <w:t xml:space="preserve"> ; cf. </w:t>
      </w:r>
      <w:hyperlink r:id="rId207">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08">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09">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0">
        <w:r>
          <w:rPr>
            <w:lang w:val="fr_FR" w:bidi="fr_FR"/>
          </w:rPr>
          <w:rPr>
            <w:color w:val="0000EE"/>
            <w:u w:val="single"/>
          </w:rPr>
          <w:t>18.1</w:t>
        </w:r>
      </w:hyperlink>
      <w:r>
        <w:rPr>
          <w:lang w:val="fr_FR" w:bidi="fr_FR"/>
        </w:rPr>
        <w:t>), Moab (</w:t>
      </w:r>
      <w:hyperlink r:id="rId211">
        <w:r>
          <w:rPr>
            <w:lang w:val="fr_FR" w:bidi="fr_FR"/>
          </w:rPr>
          <w:rPr>
            <w:color w:val="0000EE"/>
            <w:u w:val="single"/>
          </w:rPr>
          <w:t>18.2</w:t>
        </w:r>
      </w:hyperlink>
      <w:r>
        <w:rPr>
          <w:lang w:val="fr_FR" w:bidi="fr_FR"/>
        </w:rPr>
        <w:t>), Tsoba (</w:t>
      </w:r>
      <w:hyperlink r:id="rId212">
        <w:r>
          <w:rPr>
            <w:lang w:val="fr_FR" w:bidi="fr_FR"/>
          </w:rPr>
          <w:rPr>
            <w:color w:val="0000EE"/>
            <w:u w:val="single"/>
          </w:rPr>
          <w:t>18.3–4</w:t>
        </w:r>
      </w:hyperlink>
      <w:r>
        <w:rPr>
          <w:lang w:val="fr_FR" w:bidi="fr_FR"/>
        </w:rPr>
        <w:t>), Damas (</w:t>
      </w:r>
      <w:hyperlink r:id="rId213">
        <w:r>
          <w:rPr>
            <w:lang w:val="fr_FR" w:bidi="fr_FR"/>
          </w:rPr>
          <w:rPr>
            <w:color w:val="0000EE"/>
            <w:u w:val="single"/>
          </w:rPr>
          <w:t>18.5–6</w:t>
        </w:r>
      </w:hyperlink>
      <w:r>
        <w:rPr>
          <w:lang w:val="fr_FR" w:bidi="fr_FR"/>
        </w:rPr>
        <w:t>) et Édom (</w:t>
      </w:r>
      <w:hyperlink r:id="rId214">
        <w:r>
          <w:rPr>
            <w:lang w:val="fr_FR" w:bidi="fr_FR"/>
          </w:rPr>
          <w:rPr>
            <w:color w:val="0000EE"/>
            <w:u w:val="single"/>
          </w:rPr>
          <w:t>18.12–13</w:t>
        </w:r>
      </w:hyperlink>
      <w:r>
        <w:rPr>
          <w:lang w:val="fr_FR" w:bidi="fr_FR"/>
        </w:rPr>
        <w:t>). Elles incluent des documents sur les relations internationales de David, les butins et les tributs (</w:t>
      </w:r>
      <w:hyperlink r:id="rId215">
        <w:r>
          <w:rPr>
            <w:lang w:val="fr_FR" w:bidi="fr_FR"/>
          </w:rPr>
          <w:rPr>
            <w:color w:val="0000EE"/>
            <w:u w:val="single"/>
          </w:rPr>
          <w:t>18.7–11</w:t>
        </w:r>
      </w:hyperlink>
      <w:r>
        <w:rPr>
          <w:lang w:val="fr_FR" w:bidi="fr_FR"/>
        </w:rPr>
        <w:t>). Un thème récurrent est que le Seigneur rendait David victorieux partout où il allait (</w:t>
      </w:r>
      <w:hyperlink r:id="rId216">
        <w:r>
          <w:rPr>
            <w:lang w:val="fr_FR" w:bidi="fr_FR"/>
          </w:rPr>
          <w:rPr>
            <w:color w:val="0000EE"/>
            <w:u w:val="single"/>
          </w:rPr>
          <w:t>18.6</w:t>
        </w:r>
      </w:hyperlink>
      <w:r>
        <w:rPr>
          <w:lang w:val="fr_FR" w:bidi="fr_FR"/>
        </w:rPr>
        <w:t xml:space="preserve">, </w:t>
      </w:r>
      <w:hyperlink r:id="rId21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18">
        <w:r>
          <w:rPr>
            <w:lang w:val="fr_FR" w:bidi="fr_FR"/>
          </w:rPr>
          <w:rPr>
            <w:color w:val="0000EE"/>
            <w:u w:val="single"/>
          </w:rPr>
          <w:t xml:space="preserve">18.1–17 </w:t>
        </w:r>
      </w:hyperlink>
      <w:r>
        <w:rPr>
          <w:lang w:val="fr_FR" w:bidi="fr_FR"/>
        </w:rPr>
        <w:t xml:space="preserve">; voir </w:t>
      </w:r>
      <w:hyperlink r:id="rId219">
        <w:r>
          <w:rPr>
            <w:lang w:val="fr_FR" w:bidi="fr_FR"/>
          </w:rPr>
          <w:rPr>
            <w:color w:val="0000EE"/>
            <w:u w:val="single"/>
          </w:rPr>
          <w:t>2S 8.1–16</w:t>
        </w:r>
      </w:hyperlink>
      <w:r>
        <w:rPr>
          <w:lang w:val="fr_FR" w:bidi="fr_FR"/>
        </w:rPr>
        <w:t>) ; (2) la bataille contre les Ammonites (</w:t>
      </w:r>
      <w:hyperlink r:id="rId220">
        <w:r>
          <w:rPr>
            <w:lang w:val="fr_FR" w:bidi="fr_FR"/>
          </w:rPr>
          <w:rPr>
            <w:color w:val="0000EE"/>
            <w:u w:val="single"/>
          </w:rPr>
          <w:t xml:space="preserve">1Ch 19.1–20.3 </w:t>
        </w:r>
      </w:hyperlink>
      <w:r>
        <w:rPr>
          <w:lang w:val="fr_FR" w:bidi="fr_FR"/>
        </w:rPr>
        <w:t xml:space="preserve">; voir </w:t>
      </w:r>
      <w:hyperlink r:id="rId221">
        <w:r>
          <w:rPr>
            <w:lang w:val="fr_FR" w:bidi="fr_FR"/>
          </w:rPr>
          <w:rPr>
            <w:color w:val="0000EE"/>
            <w:u w:val="single"/>
          </w:rPr>
          <w:t xml:space="preserve">2S 10.1–11.1 </w:t>
        </w:r>
      </w:hyperlink>
      <w:r>
        <w:rPr>
          <w:lang w:val="fr_FR" w:bidi="fr_FR"/>
        </w:rPr>
        <w:t xml:space="preserve">; </w:t>
      </w:r>
      <w:hyperlink r:id="rId222">
        <w:r>
          <w:rPr>
            <w:lang w:val="fr_FR" w:bidi="fr_FR"/>
          </w:rPr>
          <w:rPr>
            <w:color w:val="0000EE"/>
            <w:u w:val="single"/>
          </w:rPr>
          <w:t>12.30–31</w:t>
        </w:r>
      </w:hyperlink>
      <w:r>
        <w:rPr>
          <w:lang w:val="fr_FR" w:bidi="fr_FR"/>
        </w:rPr>
        <w:t>) ; et (3) les exploits des vaillants hommes de David (</w:t>
      </w:r>
      <w:hyperlink r:id="rId223">
        <w:r>
          <w:rPr>
            <w:lang w:val="fr_FR" w:bidi="fr_FR"/>
          </w:rPr>
          <w:rPr>
            <w:color w:val="0000EE"/>
            <w:u w:val="single"/>
          </w:rPr>
          <w:t xml:space="preserve">1Ch 20.4–8 </w:t>
        </w:r>
      </w:hyperlink>
      <w:r>
        <w:rPr>
          <w:lang w:val="fr_FR" w:bidi="fr_FR"/>
        </w:rPr>
        <w:t xml:space="preserve">; voir </w:t>
      </w:r>
      <w:hyperlink r:id="rId224">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0">
        <w:r>
          <w:rPr>
            <w:lang w:val="fr_FR" w:bidi="fr_FR"/>
          </w:rPr>
          <w:rPr>
            <w:color w:val="0000EE"/>
            <w:u w:val="single"/>
          </w:rPr>
          <w:t xml:space="preserve">1Ch 18.1 </w:t>
        </w:r>
      </w:hyperlink>
      <w:r>
        <w:rPr>
          <w:lang w:val="fr_FR" w:bidi="fr_FR"/>
        </w:rPr>
        <w:t xml:space="preserve">; </w:t>
      </w:r>
      <w:hyperlink r:id="rId225">
        <w:r>
          <w:rPr>
            <w:lang w:val="fr_FR" w:bidi="fr_FR"/>
          </w:rPr>
          <w:rPr>
            <w:color w:val="0000EE"/>
            <w:u w:val="single"/>
          </w:rPr>
          <w:t xml:space="preserve">19.1 </w:t>
        </w:r>
      </w:hyperlink>
      <w:r>
        <w:rPr>
          <w:lang w:val="fr_FR" w:bidi="fr_FR"/>
        </w:rPr>
        <w:t xml:space="preserve">; </w:t>
      </w:r>
      <w:hyperlink r:id="rId22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7">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4">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28">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29">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0">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1">
        <w:r>
          <w:rPr>
            <w:lang w:val="fr_FR" w:bidi="fr_FR"/>
          </w:rPr>
          <w:rPr>
            <w:color w:val="0000EE"/>
            <w:u w:val="single"/>
          </w:rPr>
          <w:t xml:space="preserve">2Ch 18.3–34 </w:t>
        </w:r>
      </w:hyperlink>
      <w:r>
        <w:rPr>
          <w:lang w:val="fr_FR" w:bidi="fr_FR"/>
        </w:rPr>
        <w:t xml:space="preserve">; </w:t>
      </w:r>
      <w:hyperlink r:id="rId232">
        <w:r>
          <w:rPr>
            <w:lang w:val="fr_FR" w:bidi="fr_FR"/>
          </w:rPr>
          <w:rPr>
            <w:color w:val="0000EE"/>
            <w:u w:val="single"/>
          </w:rPr>
          <w:t xml:space="preserve">Jb 1.6–2.7 </w:t>
        </w:r>
      </w:hyperlink>
      <w:r>
        <w:rPr>
          <w:lang w:val="fr_FR" w:bidi="fr_FR"/>
        </w:rPr>
        <w:t xml:space="preserve">; </w:t>
      </w:r>
      <w:hyperlink r:id="rId233">
        <w:r>
          <w:rPr>
            <w:lang w:val="fr_FR" w:bidi="fr_FR"/>
          </w:rPr>
          <w:rPr>
            <w:color w:val="0000EE"/>
            <w:u w:val="single"/>
          </w:rPr>
          <w:t xml:space="preserve">Za 3.1–2 </w:t>
        </w:r>
      </w:hyperlink>
      <w:r>
        <w:rPr>
          <w:lang w:val="fr_FR" w:bidi="fr_FR"/>
        </w:rPr>
        <w:t xml:space="preserve">; </w:t>
      </w:r>
      <w:hyperlink r:id="rId234">
        <w:r>
          <w:rPr>
            <w:lang w:val="fr_FR" w:bidi="fr_FR"/>
          </w:rPr>
          <w:rPr>
            <w:color w:val="0000EE"/>
            <w:u w:val="single"/>
          </w:rPr>
          <w:t xml:space="preserve">Mt 4.1–11 </w:t>
        </w:r>
      </w:hyperlink>
      <w:r>
        <w:rPr>
          <w:lang w:val="fr_FR" w:bidi="fr_FR"/>
        </w:rPr>
        <w:t xml:space="preserve">; </w:t>
      </w:r>
      <w:hyperlink r:id="rId235">
        <w:r>
          <w:rPr>
            <w:lang w:val="fr_FR" w:bidi="fr_FR"/>
          </w:rPr>
          <w:rPr>
            <w:color w:val="0000EE"/>
            <w:u w:val="single"/>
          </w:rPr>
          <w:t xml:space="preserve">Jn 13.27 </w:t>
        </w:r>
      </w:hyperlink>
      <w:r>
        <w:rPr>
          <w:lang w:val="fr_FR" w:bidi="fr_FR"/>
        </w:rPr>
        <w:t xml:space="preserve">; </w:t>
      </w:r>
      <w:hyperlink r:id="rId236">
        <w:r>
          <w:rPr>
            <w:lang w:val="fr_FR" w:bidi="fr_FR"/>
          </w:rPr>
          <w:rPr>
            <w:color w:val="0000EE"/>
            <w:u w:val="single"/>
          </w:rPr>
          <w:t xml:space="preserve">1Co 5.5 </w:t>
        </w:r>
      </w:hyperlink>
      <w:r>
        <w:rPr>
          <w:lang w:val="fr_FR" w:bidi="fr_FR"/>
        </w:rPr>
        <w:t xml:space="preserve">; </w:t>
      </w:r>
      <w:hyperlink r:id="rId237">
        <w:r>
          <w:rPr>
            <w:lang w:val="fr_FR" w:bidi="fr_FR"/>
          </w:rPr>
          <w:rPr>
            <w:color w:val="0000EE"/>
            <w:u w:val="single"/>
          </w:rPr>
          <w:t xml:space="preserve">2Co 12.7 </w:t>
        </w:r>
      </w:hyperlink>
      <w:r>
        <w:rPr>
          <w:lang w:val="fr_FR" w:bidi="fr_FR"/>
        </w:rPr>
        <w:t xml:space="preserve">; </w:t>
      </w:r>
      <w:hyperlink r:id="rId238">
        <w:r>
          <w:rPr>
            <w:lang w:val="fr_FR" w:bidi="fr_FR"/>
          </w:rPr>
          <w:rPr>
            <w:color w:val="0000EE"/>
            <w:u w:val="single"/>
          </w:rPr>
          <w:t xml:space="preserve">1Tm 1.20 </w:t>
        </w:r>
      </w:hyperlink>
      <w:r>
        <w:rPr>
          <w:lang w:val="fr_FR" w:bidi="fr_FR"/>
        </w:rPr>
        <w:t xml:space="preserve">; </w:t>
      </w:r>
      <w:hyperlink r:id="rId239">
        <w:r>
          <w:rPr>
            <w:lang w:val="fr_FR" w:bidi="fr_FR"/>
          </w:rPr>
          <w:rPr>
            <w:color w:val="0000EE"/>
            <w:u w:val="single"/>
          </w:rPr>
          <w:t>Ap 20.3</w:t>
        </w:r>
      </w:hyperlink>
      <w:r>
        <w:rPr>
          <w:lang w:val="fr_FR" w:bidi="fr_FR"/>
        </w:rPr>
        <w:t xml:space="preserve">, </w:t>
      </w:r>
      <w:hyperlink r:id="rId24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1">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2">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2">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3">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69">
        <w:r>
          <w:rPr>
            <w:lang w:val="fr_FR" w:bidi="fr_FR"/>
          </w:rPr>
          <w:rPr>
            <w:color w:val="0000EE"/>
            <w:u w:val="single"/>
          </w:rPr>
          <w:t xml:space="preserve">16.39 </w:t>
        </w:r>
      </w:hyperlink>
      <w:r>
        <w:rPr>
          <w:lang w:val="fr_FR" w:bidi="fr_FR"/>
        </w:rPr>
        <w:t xml:space="preserve">; </w:t>
      </w:r>
      <w:hyperlink r:id="rId170">
        <w:r>
          <w:rPr>
            <w:lang w:val="fr_FR" w:bidi="fr_FR"/>
          </w:rPr>
          <w:rPr>
            <w:color w:val="0000EE"/>
            <w:u w:val="single"/>
          </w:rPr>
          <w:t xml:space="preserve">21.29 </w:t>
        </w:r>
      </w:hyperlink>
      <w:r>
        <w:rPr>
          <w:lang w:val="fr_FR" w:bidi="fr_FR"/>
        </w:rPr>
        <w:t xml:space="preserve">; </w:t>
      </w:r>
      <w:hyperlink r:id="rId201">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4">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5">
        <w:r>
          <w:rPr>
            <w:lang w:val="fr_FR" w:bidi="fr_FR"/>
          </w:rPr>
          <w:rPr>
            <w:color w:val="0000EE"/>
            <w:u w:val="single"/>
          </w:rPr>
          <w:t>17.11–12</w:t>
        </w:r>
      </w:hyperlink>
      <w:r>
        <w:rPr>
          <w:lang w:val="fr_FR" w:bidi="fr_FR"/>
        </w:rPr>
        <w:t>). Maintenant que le site avait été choisi (</w:t>
      </w:r>
      <w:hyperlink r:id="rId246">
        <w:r>
          <w:rPr>
            <w:lang w:val="fr_FR" w:bidi="fr_FR"/>
          </w:rPr>
          <w:rPr>
            <w:color w:val="0000EE"/>
            <w:u w:val="single"/>
          </w:rPr>
          <w:t>21.18–22.1</w:t>
        </w:r>
      </w:hyperlink>
      <w:r>
        <w:rPr>
          <w:lang w:val="fr_FR" w:bidi="fr_FR"/>
        </w:rPr>
        <w:t>), David préparait la construction du Temple de Dieu. Il rassembla les matériaux (</w:t>
      </w:r>
      <w:hyperlink r:id="rId247">
        <w:r>
          <w:rPr>
            <w:lang w:val="fr_FR" w:bidi="fr_FR"/>
          </w:rPr>
          <w:rPr>
            <w:color w:val="0000EE"/>
            <w:u w:val="single"/>
          </w:rPr>
          <w:t>22.2–5</w:t>
        </w:r>
      </w:hyperlink>
      <w:r>
        <w:rPr>
          <w:lang w:val="fr_FR" w:bidi="fr_FR"/>
        </w:rPr>
        <w:t>), et il chargeait à la fois Salomon (</w:t>
      </w:r>
      <w:hyperlink r:id="rId248">
        <w:r>
          <w:rPr>
            <w:lang w:val="fr_FR" w:bidi="fr_FR"/>
          </w:rPr>
          <w:rPr>
            <w:color w:val="0000EE"/>
            <w:u w:val="single"/>
          </w:rPr>
          <w:t>22.6–16</w:t>
        </w:r>
      </w:hyperlink>
      <w:r>
        <w:rPr>
          <w:lang w:val="fr_FR" w:bidi="fr_FR"/>
        </w:rPr>
        <w:t>) et les chefs d’Israël (</w:t>
      </w:r>
      <w:hyperlink r:id="rId249">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0">
        <w:r>
          <w:rPr>
            <w:lang w:val="fr_FR" w:bidi="fr_FR"/>
          </w:rPr>
          <w:rPr>
            <w:color w:val="0000EE"/>
            <w:u w:val="single"/>
          </w:rPr>
          <w:t xml:space="preserve">29.1 </w:t>
        </w:r>
      </w:hyperlink>
      <w:r>
        <w:rPr>
          <w:lang w:val="fr_FR" w:bidi="fr_FR"/>
        </w:rPr>
        <w:t xml:space="preserve">; comparer </w:t>
      </w:r>
      <w:hyperlink r:id="rId251">
        <w:r>
          <w:rPr>
            <w:lang w:val="fr_FR" w:bidi="fr_FR"/>
          </w:rPr>
          <w:rPr>
            <w:color w:val="0000EE"/>
            <w:u w:val="single"/>
          </w:rPr>
          <w:t xml:space="preserve">1R 3.7 </w:t>
        </w:r>
      </w:hyperlink>
      <w:r>
        <w:rPr>
          <w:lang w:val="fr_FR" w:bidi="fr_FR"/>
        </w:rPr>
        <w:t xml:space="preserve">; </w:t>
      </w:r>
      <w:hyperlink r:id="rId252">
        <w:r>
          <w:rPr>
            <w:lang w:val="fr_FR" w:bidi="fr_FR"/>
          </w:rPr>
          <w:rPr>
            <w:color w:val="0000EE"/>
            <w:u w:val="single"/>
          </w:rPr>
          <w:t>2Ch 13.7</w:t>
        </w:r>
      </w:hyperlink>
      <w:r>
        <w:rPr>
          <w:lang w:val="fr_FR" w:bidi="fr_FR"/>
        </w:rPr>
        <w:t>), David avait la sagesse et l’habileté de préparer la construction du Temple, ainsi que de le concevoir (</w:t>
      </w:r>
      <w:hyperlink r:id="rId253">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4">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5">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6">
        <w:r>
          <w:rPr>
            <w:lang w:val="fr_FR" w:bidi="fr_FR"/>
          </w:rPr>
          <w:rPr>
            <w:color w:val="0000EE"/>
            <w:u w:val="single"/>
          </w:rPr>
          <w:t>1Ch 28.3</w:t>
        </w:r>
      </w:hyperlink>
      <w:r>
        <w:rPr>
          <w:lang w:val="fr_FR" w:bidi="fr_FR"/>
        </w:rPr>
        <w:t xml:space="preserve"> ; cf. </w:t>
      </w:r>
      <w:hyperlink r:id="rId257">
        <w:r>
          <w:rPr>
            <w:lang w:val="fr_FR" w:bidi="fr_FR"/>
          </w:rPr>
          <w:rPr>
            <w:color w:val="0000EE"/>
            <w:u w:val="single"/>
          </w:rPr>
          <w:t>Gn 4.10–12</w:t>
        </w:r>
      </w:hyperlink>
      <w:r>
        <w:rPr>
          <w:lang w:val="fr_FR" w:bidi="fr_FR"/>
        </w:rPr>
        <w:t xml:space="preserve"> ; </w:t>
      </w:r>
      <w:hyperlink r:id="rId258">
        <w:r>
          <w:rPr>
            <w:lang w:val="fr_FR" w:bidi="fr_FR"/>
          </w:rPr>
          <w:rPr>
            <w:color w:val="0000EE"/>
            <w:u w:val="single"/>
          </w:rPr>
          <w:t>Lv 17.3–4</w:t>
        </w:r>
      </w:hyperlink>
      <w:r>
        <w:rPr>
          <w:lang w:val="fr_FR" w:bidi="fr_FR"/>
        </w:rPr>
        <w:t xml:space="preserve"> ; </w:t>
      </w:r>
      <w:hyperlink r:id="rId259">
        <w:r>
          <w:rPr>
            <w:lang w:val="fr_FR" w:bidi="fr_FR"/>
          </w:rPr>
          <w:rPr>
            <w:color w:val="0000EE"/>
            <w:u w:val="single"/>
          </w:rPr>
          <w:t>Dt 21.1–9</w:t>
        </w:r>
      </w:hyperlink>
      <w:r>
        <w:rPr>
          <w:lang w:val="fr_FR" w:bidi="fr_FR"/>
        </w:rPr>
        <w:t xml:space="preserve"> ; </w:t>
      </w:r>
      <w:hyperlink r:id="rId260">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4">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1">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2">
        <w:r>
          <w:rPr>
            <w:lang w:val="fr_FR" w:bidi="fr_FR"/>
          </w:rPr>
          <w:rPr>
            <w:color w:val="0000EE"/>
            <w:u w:val="single"/>
          </w:rPr>
          <w:t>1Ch 28–29</w:t>
        </w:r>
      </w:hyperlink>
      <w:r>
        <w:rPr>
          <w:lang w:val="fr_FR" w:bidi="fr_FR"/>
        </w:rPr>
        <w:t xml:space="preserve"> ; les chapitres intermédiaires (</w:t>
      </w:r>
      <w:hyperlink r:id="rId263">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6">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7">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68">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69">
        <w:r>
          <w:rPr>
            <w:lang w:val="fr_FR" w:bidi="fr_FR"/>
          </w:rPr>
          <w:rPr>
            <w:color w:val="0000EE"/>
            <w:u w:val="single"/>
          </w:rPr>
          <w:t>Ex 28.1–5</w:t>
        </w:r>
      </w:hyperlink>
      <w:r>
        <w:rPr>
          <w:lang w:val="fr_FR" w:bidi="fr_FR"/>
        </w:rPr>
        <w:t xml:space="preserve"> ; </w:t>
      </w:r>
      <w:hyperlink r:id="rId270">
        <w:r>
          <w:rPr>
            <w:lang w:val="fr_FR" w:bidi="fr_FR"/>
          </w:rPr>
          <w:rPr>
            <w:color w:val="0000EE"/>
            <w:u w:val="single"/>
          </w:rPr>
          <w:t>Lv 1–7</w:t>
        </w:r>
      </w:hyperlink>
      <w:r>
        <w:rPr>
          <w:lang w:val="fr_FR" w:bidi="fr_FR"/>
        </w:rPr>
        <w:t xml:space="preserve"> ; </w:t>
      </w:r>
      <w:hyperlink r:id="rId2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2">
        <w:r>
          <w:rPr>
            <w:lang w:val="fr_FR" w:bidi="fr_FR"/>
          </w:rPr>
          <w:rPr>
            <w:color w:val="0000EE"/>
            <w:u w:val="single"/>
          </w:rPr>
          <w:t>6.8</w:t>
        </w:r>
      </w:hyperlink>
      <w:r>
        <w:rPr>
          <w:lang w:val="fr_FR" w:bidi="fr_FR"/>
        </w:rPr>
        <w:t xml:space="preserve"> ; </w:t>
      </w:r>
      <w:hyperlink r:id="rId273">
        <w:r>
          <w:rPr>
            <w:lang w:val="fr_FR" w:bidi="fr_FR"/>
          </w:rPr>
          <w:rPr>
            <w:color w:val="0000EE"/>
            <w:u w:val="single"/>
          </w:rPr>
          <w:t>18.16</w:t>
        </w:r>
      </w:hyperlink>
      <w:r>
        <w:rPr>
          <w:lang w:val="fr_FR" w:bidi="fr_FR"/>
        </w:rPr>
        <w:t xml:space="preserve"> ; </w:t>
      </w:r>
      <w:hyperlink r:id="rId274">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5">
        <w:r>
          <w:rPr>
            <w:lang w:val="fr_FR" w:bidi="fr_FR"/>
          </w:rPr>
          <w:rPr>
            <w:color w:val="0000EE"/>
            <w:u w:val="single"/>
          </w:rPr>
          <w:t>24.10</w:t>
        </w:r>
      </w:hyperlink>
      <w:r>
        <w:rPr>
          <w:lang w:val="fr_FR" w:bidi="fr_FR"/>
        </w:rPr>
        <w:t xml:space="preserve">) est spécifiquement mentionné au verset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6">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7">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78">
        <w:r>
          <w:rPr>
            <w:lang w:val="fr_FR" w:bidi="fr_FR"/>
          </w:rPr>
          <w:rPr>
            <w:color w:val="0000EE"/>
            <w:u w:val="single"/>
          </w:rPr>
          <w:t>6.39–40</w:t>
        </w:r>
      </w:hyperlink>
      <w:r>
        <w:rPr>
          <w:lang w:val="fr_FR" w:bidi="fr_FR"/>
        </w:rPr>
        <w:t xml:space="preserve"> ; </w:t>
      </w:r>
      <w:hyperlink r:id="rId279">
        <w:r>
          <w:rPr>
            <w:lang w:val="fr_FR" w:bidi="fr_FR"/>
          </w:rPr>
          <w:rPr>
            <w:color w:val="0000EE"/>
            <w:u w:val="single"/>
          </w:rPr>
          <w:t>15.17–19</w:t>
        </w:r>
      </w:hyperlink>
      <w:r>
        <w:rPr>
          <w:lang w:val="fr_FR" w:bidi="fr_FR"/>
        </w:rPr>
        <w:t xml:space="preserve"> ; </w:t>
      </w:r>
      <w:hyperlink r:id="rId280">
        <w:r>
          <w:rPr>
            <w:lang w:val="fr_FR" w:bidi="fr_FR"/>
          </w:rPr>
          <w:rPr>
            <w:color w:val="0000EE"/>
            <w:u w:val="single"/>
          </w:rPr>
          <w:t>16.5</w:t>
        </w:r>
      </w:hyperlink>
      <w:r>
        <w:rPr>
          <w:lang w:val="fr_FR" w:bidi="fr_FR"/>
        </w:rPr>
        <w:t xml:space="preserve"> ; </w:t>
      </w:r>
      <w:hyperlink r:id="rId281">
        <w:r>
          <w:rPr>
            <w:lang w:val="fr_FR" w:bidi="fr_FR"/>
          </w:rPr>
          <w:rPr>
            <w:color w:val="0000EE"/>
            <w:u w:val="single"/>
          </w:rPr>
          <w:t>2 Ch 29.30</w:t>
        </w:r>
      </w:hyperlink>
      <w:r>
        <w:rPr>
          <w:lang w:val="fr_FR" w:bidi="fr_FR"/>
        </w:rPr>
        <w:t xml:space="preserve"> ; </w:t>
      </w:r>
      <w:hyperlink r:id="rId282">
        <w:r>
          <w:rPr>
            <w:lang w:val="fr_FR" w:bidi="fr_FR"/>
          </w:rPr>
          <w:rPr>
            <w:color w:val="0000EE"/>
            <w:u w:val="single"/>
          </w:rPr>
          <w:t>Esd 2.40–41</w:t>
        </w:r>
      </w:hyperlink>
      <w:r>
        <w:rPr>
          <w:lang w:val="fr_FR" w:bidi="fr_FR"/>
        </w:rPr>
        <w:t xml:space="preserve"> ; </w:t>
      </w:r>
      <w:hyperlink r:id="rId105">
        <w:r>
          <w:rPr>
            <w:lang w:val="fr_FR" w:bidi="fr_FR"/>
          </w:rPr>
          <w:rPr>
            <w:color w:val="0000EE"/>
            <w:u w:val="single"/>
          </w:rPr>
          <w:t xml:space="preserve">Ps 50 </w:t>
        </w:r>
      </w:hyperlink>
      <w:r>
        <w:rPr>
          <w:lang w:val="fr_FR" w:bidi="fr_FR"/>
        </w:rPr>
        <w:t xml:space="preserve">; </w:t>
      </w:r>
      <w:hyperlink r:id="rId283">
        <w:r>
          <w:rPr>
            <w:lang w:val="fr_FR" w:bidi="fr_FR"/>
          </w:rPr>
          <w:rPr>
            <w:color w:val="0000EE"/>
            <w:u w:val="single"/>
          </w:rPr>
          <w:t>73</w:t>
        </w:r>
      </w:hyperlink>
      <w:r>
        <w:rPr>
          <w:lang w:val="fr_FR" w:bidi="fr_FR"/>
        </w:rPr>
        <w:t xml:space="preserve">–-83. • Héman : Voir </w:t>
      </w:r>
      <w:hyperlink r:id="rId284">
        <w:r>
          <w:rPr>
            <w:lang w:val="fr_FR" w:bidi="fr_FR"/>
          </w:rPr>
          <w:rPr>
            <w:color w:val="0000EE"/>
            <w:u w:val="single"/>
          </w:rPr>
          <w:t>1Ch 6.33–38</w:t>
        </w:r>
      </w:hyperlink>
      <w:r>
        <w:rPr>
          <w:lang w:val="fr_FR" w:bidi="fr_FR"/>
        </w:rPr>
        <w:t xml:space="preserve"> ; </w:t>
      </w:r>
      <w:hyperlink r:id="rId285">
        <w:r>
          <w:rPr>
            <w:lang w:val="fr_FR" w:bidi="fr_FR"/>
          </w:rPr>
          <w:rPr>
            <w:color w:val="0000EE"/>
            <w:u w:val="single"/>
          </w:rPr>
          <w:t>Ps 88</w:t>
        </w:r>
      </w:hyperlink>
      <w:r>
        <w:rPr>
          <w:lang w:val="fr_FR" w:bidi="fr_FR"/>
        </w:rPr>
        <w:t xml:space="preserve">. • Jeduthun : Voir </w:t>
      </w:r>
      <w:hyperlink r:id="rId286">
        <w:r>
          <w:rPr>
            <w:lang w:val="fr_FR" w:bidi="fr_FR"/>
          </w:rPr>
          <w:rPr>
            <w:color w:val="0000EE"/>
            <w:u w:val="single"/>
          </w:rPr>
          <w:t>1Ch 16.41–42</w:t>
        </w:r>
      </w:hyperlink>
      <w:r>
        <w:rPr>
          <w:lang w:val="fr_FR" w:bidi="fr_FR"/>
        </w:rPr>
        <w:t xml:space="preserve"> ; </w:t>
      </w:r>
      <w:hyperlink r:id="rId287">
        <w:r>
          <w:rPr>
            <w:lang w:val="fr_FR" w:bidi="fr_FR"/>
          </w:rPr>
          <w:rPr>
            <w:color w:val="0000EE"/>
            <w:u w:val="single"/>
          </w:rPr>
          <w:t>2Ch 5.12</w:t>
        </w:r>
      </w:hyperlink>
      <w:r>
        <w:rPr>
          <w:lang w:val="fr_FR" w:bidi="fr_FR"/>
        </w:rPr>
        <w:t xml:space="preserve"> ; </w:t>
      </w:r>
      <w:hyperlink r:id="rId288">
        <w:r>
          <w:rPr>
            <w:lang w:val="fr_FR" w:bidi="fr_FR"/>
          </w:rPr>
          <w:rPr>
            <w:color w:val="0000EE"/>
            <w:u w:val="single"/>
          </w:rPr>
          <w:t>35.15</w:t>
        </w:r>
      </w:hyperlink>
      <w:r>
        <w:rPr>
          <w:lang w:val="fr_FR" w:bidi="fr_FR"/>
        </w:rPr>
        <w:t xml:space="preserve"> ; </w:t>
      </w:r>
      <w:hyperlink r:id="rId289">
        <w:r>
          <w:rPr>
            <w:lang w:val="fr_FR" w:bidi="fr_FR"/>
          </w:rPr>
          <w:rPr>
            <w:color w:val="0000EE"/>
            <w:u w:val="single"/>
          </w:rPr>
          <w:t>Ps 39</w:t>
        </w:r>
      </w:hyperlink>
      <w:r>
        <w:rPr>
          <w:lang w:val="fr_FR" w:bidi="fr_FR"/>
        </w:rPr>
        <w:t xml:space="preserve">, </w:t>
      </w:r>
      <w:hyperlink r:id="rId290">
        <w:r>
          <w:rPr>
            <w:lang w:val="fr_FR" w:bidi="fr_FR"/>
          </w:rPr>
          <w:rPr>
            <w:color w:val="0000EE"/>
            <w:u w:val="single"/>
          </w:rPr>
          <w:t>62</w:t>
        </w:r>
      </w:hyperlink>
      <w:r>
        <w:rPr>
          <w:lang w:val="fr_FR" w:bidi="fr_FR"/>
        </w:rPr>
        <w:t xml:space="preserve">, </w:t>
      </w:r>
      <w:hyperlink r:id="rId29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2">
        <w:r>
          <w:rPr>
            <w:lang w:val="fr_FR" w:bidi="fr_FR"/>
          </w:rPr>
          <w:rPr>
            <w:color w:val="0000EE"/>
            <w:u w:val="single"/>
          </w:rPr>
          <w:t>24.5</w:t>
        </w:r>
      </w:hyperlink>
      <w:r>
        <w:rPr>
          <w:lang w:val="fr_FR" w:bidi="fr_FR"/>
        </w:rPr>
        <w:t xml:space="preserve">, </w:t>
      </w:r>
      <w:hyperlink r:id="rId29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4">
        <w:r>
          <w:rPr>
            <w:lang w:val="fr_FR" w:bidi="fr_FR"/>
          </w:rPr>
          <w:rPr>
            <w:color w:val="0000EE"/>
            <w:u w:val="single"/>
          </w:rPr>
          <w:t>Esd 2.42</w:t>
        </w:r>
      </w:hyperlink>
      <w:r>
        <w:rPr>
          <w:lang w:val="fr_FR" w:bidi="fr_FR"/>
        </w:rPr>
        <w:t xml:space="preserve"> ; « Meschullam » au verset </w:t>
      </w:r>
      <w:hyperlink r:id="rId295">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6">
        <w:r>
          <w:rPr>
            <w:lang w:val="fr_FR" w:bidi="fr_FR"/>
          </w:rPr>
          <w:rPr>
            <w:color w:val="0000EE"/>
            <w:u w:val="single"/>
          </w:rPr>
          <w:t>13.13–14</w:t>
        </w:r>
      </w:hyperlink>
      <w:r>
        <w:rPr>
          <w:lang w:val="fr_FR" w:bidi="fr_FR"/>
        </w:rPr>
        <w:t>), en lui donnant de nombreux descendants (</w:t>
      </w:r>
      <w:hyperlink r:id="rId29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298">
        <w:r>
          <w:rPr>
            <w:lang w:val="fr_FR" w:bidi="fr_FR"/>
          </w:rPr>
          <w:rPr>
            <w:color w:val="0000EE"/>
            <w:u w:val="single"/>
          </w:rPr>
          <w:t>2Ch 24.11</w:t>
        </w:r>
      </w:hyperlink>
      <w:r>
        <w:rPr>
          <w:lang w:val="fr_FR" w:bidi="fr_FR"/>
        </w:rPr>
        <w:t xml:space="preserve"> ; </w:t>
      </w:r>
      <w:hyperlink r:id="rId299">
        <w:r>
          <w:rPr>
            <w:lang w:val="fr_FR" w:bidi="fr_FR"/>
          </w:rPr>
          <w:rPr>
            <w:color w:val="0000EE"/>
            <w:u w:val="single"/>
          </w:rPr>
          <w:t>31.12</w:t>
        </w:r>
      </w:hyperlink>
      <w:r>
        <w:rPr>
          <w:lang w:val="fr_FR" w:bidi="fr_FR"/>
        </w:rPr>
        <w:t>). Certains butins de guerre étaient toujours consacrés à Dieu (</w:t>
      </w:r>
      <w:hyperlink r:id="rId300">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1">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2">
        <w:r>
          <w:rPr>
            <w:lang w:val="fr_FR" w:bidi="fr_FR"/>
          </w:rPr>
          <w:rPr>
            <w:color w:val="0000EE"/>
            <w:u w:val="single"/>
          </w:rPr>
          <w:t>1S 30.27–31</w:t>
        </w:r>
      </w:hyperlink>
      <w:r>
        <w:rPr>
          <w:lang w:val="fr_FR" w:bidi="fr_FR"/>
        </w:rPr>
        <w:t xml:space="preserve"> ; </w:t>
      </w:r>
      <w:hyperlink r:id="rId303">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4">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5">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6">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7">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08">
        <w:r>
          <w:rPr>
            <w:lang w:val="fr_FR" w:bidi="fr_FR"/>
          </w:rPr>
          <w:rPr>
            <w:color w:val="0000EE"/>
            <w:u w:val="single"/>
          </w:rPr>
          <w:t>Dt 12.9</w:t>
        </w:r>
      </w:hyperlink>
      <w:r>
        <w:rPr>
          <w:lang w:val="fr_FR" w:bidi="fr_FR"/>
        </w:rPr>
        <w:t>). Dans le désert, l’Arche se reposait à la fin de la bataille (</w:t>
      </w:r>
      <w:hyperlink r:id="rId309">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0">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1">
        <w:r>
          <w:rPr>
            <w:lang w:val="fr_FR" w:bidi="fr_FR"/>
          </w:rPr>
          <w:rPr>
            <w:color w:val="0000EE"/>
            <w:u w:val="single"/>
          </w:rPr>
          <w:t>28.2–8</w:t>
        </w:r>
      </w:hyperlink>
      <w:r>
        <w:rPr>
          <w:lang w:val="fr_FR" w:bidi="fr_FR"/>
        </w:rPr>
        <w:t>) et un message à Salomon (</w:t>
      </w:r>
      <w:hyperlink r:id="rId312">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3">
        <w:r>
          <w:rPr>
            <w:lang w:val="fr_FR" w:bidi="fr_FR"/>
          </w:rPr>
          <w:rPr>
            <w:color w:val="0000EE"/>
            <w:u w:val="single"/>
          </w:rPr>
          <w:t>Gn 49.8–12</w:t>
        </w:r>
      </w:hyperlink>
      <w:r>
        <w:rPr>
          <w:lang w:val="fr_FR" w:bidi="fr_FR"/>
        </w:rPr>
        <w:t>), a culminé avec David (</w:t>
      </w:r>
      <w:hyperlink r:id="rId314">
        <w:r>
          <w:rPr>
            <w:lang w:val="fr_FR" w:bidi="fr_FR"/>
          </w:rPr>
          <w:rPr>
            <w:color w:val="0000EE"/>
            <w:u w:val="single"/>
          </w:rPr>
          <w:t>1S 16.1–13</w:t>
        </w:r>
      </w:hyperlink>
      <w:r>
        <w:rPr>
          <w:lang w:val="fr_FR" w:bidi="fr_FR"/>
        </w:rPr>
        <w:t>), et s’est poursuivi avec Salomon (</w:t>
      </w:r>
      <w:hyperlink r:id="rId206">
        <w:r>
          <w:rPr>
            <w:lang w:val="fr_FR" w:bidi="fr_FR"/>
          </w:rPr>
          <w:rPr>
            <w:color w:val="0000EE"/>
            <w:u w:val="single"/>
          </w:rPr>
          <w:t>1Ch 28.5–6</w:t>
        </w:r>
      </w:hyperlink>
      <w:r>
        <w:rPr>
          <w:lang w:val="fr_FR" w:bidi="fr_FR"/>
        </w:rPr>
        <w:t xml:space="preserve">, </w:t>
      </w:r>
      <w:hyperlink r:id="rId315">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6">
        <w:r>
          <w:rPr>
            <w:lang w:val="fr_FR" w:bidi="fr_FR"/>
          </w:rPr>
          <w:rPr>
            <w:color w:val="0000EE"/>
            <w:u w:val="single"/>
          </w:rPr>
          <w:t>28.19</w:t>
        </w:r>
      </w:hyperlink>
      <w:r>
        <w:rPr>
          <w:lang w:val="fr_FR" w:bidi="fr_FR"/>
        </w:rPr>
        <w:t>). À d’autres occasions, Dieu a également donné des plans pour le Tabernacle dans le désert (</w:t>
      </w:r>
      <w:hyperlink r:id="rId317">
        <w:r>
          <w:rPr>
            <w:lang w:val="fr_FR" w:bidi="fr_FR"/>
          </w:rPr>
          <w:rPr>
            <w:color w:val="0000EE"/>
            <w:u w:val="single"/>
          </w:rPr>
          <w:t>Ex 25.9</w:t>
        </w:r>
      </w:hyperlink>
      <w:r>
        <w:rPr>
          <w:lang w:val="fr_FR" w:bidi="fr_FR"/>
        </w:rPr>
        <w:t>) et pour le futur Temple d’Ézéchiel (</w:t>
      </w:r>
      <w:hyperlink r:id="rId318">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19">
        <w:r>
          <w:rPr>
            <w:lang w:val="fr_FR" w:bidi="fr_FR"/>
          </w:rPr>
          <w:rPr>
            <w:color w:val="0000EE"/>
            <w:u w:val="single"/>
          </w:rPr>
          <w:t>Ex 25.18–22</w:t>
        </w:r>
      </w:hyperlink>
      <w:r>
        <w:rPr>
          <w:lang w:val="fr_FR" w:bidi="fr_FR"/>
        </w:rPr>
        <w:t xml:space="preserve"> ; </w:t>
      </w:r>
      <w:hyperlink r:id="rId320">
        <w:r>
          <w:rPr>
            <w:lang w:val="fr_FR" w:bidi="fr_FR"/>
          </w:rPr>
          <w:rPr>
            <w:color w:val="0000EE"/>
            <w:u w:val="single"/>
          </w:rPr>
          <w:t>2S 6.2</w:t>
        </w:r>
      </w:hyperlink>
      <w:r>
        <w:rPr>
          <w:lang w:val="fr_FR" w:bidi="fr_FR"/>
        </w:rPr>
        <w:t xml:space="preserve"> ; </w:t>
      </w:r>
      <w:hyperlink r:id="rId321">
        <w:r>
          <w:rPr>
            <w:lang w:val="fr_FR" w:bidi="fr_FR"/>
          </w:rPr>
          <w:rPr>
            <w:color w:val="0000EE"/>
            <w:u w:val="single"/>
          </w:rPr>
          <w:t xml:space="preserve">Ps 99.1 </w:t>
        </w:r>
      </w:hyperlink>
      <w:r>
        <w:rPr>
          <w:lang w:val="fr_FR" w:bidi="fr_FR"/>
        </w:rPr>
        <w:t xml:space="preserve">; cf. </w:t>
      </w:r>
      <w:hyperlink r:id="rId322">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3">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4">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5">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6">
        <w:r>
          <w:rPr>
            <w:lang w:val="fr_FR" w:bidi="fr_FR"/>
          </w:rPr>
          <w:rPr>
            <w:color w:val="0000EE"/>
            <w:u w:val="single"/>
          </w:rPr>
          <w:t>29.10b-13</w:t>
        </w:r>
      </w:hyperlink>
      <w:r>
        <w:rPr>
          <w:lang w:val="fr_FR" w:bidi="fr_FR"/>
        </w:rPr>
        <w:t>), la présentation et la dédicace des offrandes (</w:t>
      </w:r>
      <w:hyperlink r:id="rId327">
        <w:r>
          <w:rPr>
            <w:lang w:val="fr_FR" w:bidi="fr_FR"/>
          </w:rPr>
          <w:rPr>
            <w:color w:val="0000EE"/>
            <w:u w:val="single"/>
          </w:rPr>
          <w:t>29.14–17</w:t>
        </w:r>
      </w:hyperlink>
      <w:r>
        <w:rPr>
          <w:lang w:val="fr_FR" w:bidi="fr_FR"/>
        </w:rPr>
        <w:t>), et la pétition (</w:t>
      </w:r>
      <w:hyperlink r:id="rId328">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29">
        <w:r>
          <w:rPr>
            <w:lang w:val="fr_FR" w:bidi="fr_FR"/>
          </w:rPr>
          <w:rPr>
            <w:color w:val="0000EE"/>
            <w:u w:val="single"/>
          </w:rPr>
          <w:t>Ez 40.46</w:t>
        </w:r>
      </w:hyperlink>
      <w:r>
        <w:rPr>
          <w:lang w:val="fr_FR" w:bidi="fr_FR"/>
        </w:rPr>
        <w:t xml:space="preserve"> ; </w:t>
      </w:r>
      <w:hyperlink r:id="rId330">
        <w:r>
          <w:rPr>
            <w:lang w:val="fr_FR" w:bidi="fr_FR"/>
          </w:rPr>
          <w:rPr>
            <w:color w:val="0000EE"/>
            <w:u w:val="single"/>
          </w:rPr>
          <w:t>43.19</w:t>
        </w:r>
      </w:hyperlink>
      <w:r>
        <w:rPr>
          <w:lang w:val="fr_FR" w:bidi="fr_FR"/>
        </w:rPr>
        <w:t xml:space="preserve"> ; </w:t>
      </w:r>
      <w:hyperlink r:id="rId331">
        <w:r>
          <w:rPr>
            <w:lang w:val="fr_FR" w:bidi="fr_FR"/>
          </w:rPr>
          <w:rPr>
            <w:color w:val="0000EE"/>
            <w:u w:val="single"/>
          </w:rPr>
          <w:t>44.15</w:t>
        </w:r>
      </w:hyperlink>
      <w:r>
        <w:rPr>
          <w:lang w:val="fr_FR" w:bidi="fr_FR"/>
        </w:rPr>
        <w:t xml:space="preserve"> ; </w:t>
      </w:r>
      <w:hyperlink r:id="rId33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3">
        <w:r>
          <w:rPr>
            <w:lang w:val="fr_FR" w:bidi="fr_FR"/>
          </w:rPr>
          <w:rPr>
            <w:color w:val="0000EE"/>
            <w:u w:val="single"/>
          </w:rPr>
          <w:t>1R 22.41–50</w:t>
        </w:r>
      </w:hyperlink>
      <w:r>
        <w:rPr>
          <w:lang w:val="fr_FR" w:bidi="fr_FR"/>
        </w:rPr>
        <w:t>). Comme Abraham (</w:t>
      </w:r>
      <w:hyperlink r:id="rId334">
        <w:r>
          <w:rPr>
            <w:lang w:val="fr_FR" w:bidi="fr_FR"/>
          </w:rPr>
          <w:rPr>
            <w:color w:val="0000EE"/>
            <w:u w:val="single"/>
          </w:rPr>
          <w:t>Gn 25.8</w:t>
        </w:r>
      </w:hyperlink>
      <w:r>
        <w:rPr>
          <w:lang w:val="fr_FR" w:bidi="fr_FR"/>
        </w:rPr>
        <w:t>) et Isaac (</w:t>
      </w:r>
      <w:hyperlink r:id="rId335">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0">
        <w:r>
          <w:rPr>
            <w:lang w:val="fr_FR" w:bidi="fr_FR"/>
          </w:rPr>
          <w:rPr>
            <w:color w:val="0000EE"/>
            <w:u w:val="single"/>
          </w:rPr>
          <w:t>11.3</w:t>
        </w:r>
      </w:hyperlink>
      <w:r>
        <w:rPr>
          <w:lang w:val="fr_FR" w:bidi="fr_FR"/>
        </w:rPr>
        <w:t>), Nathan (</w:t>
      </w:r>
      <w:hyperlink r:id="rId336">
        <w:r>
          <w:rPr>
            <w:lang w:val="fr_FR" w:bidi="fr_FR"/>
          </w:rPr>
          <w:rPr>
            <w:color w:val="0000EE"/>
            <w:u w:val="single"/>
          </w:rPr>
          <w:t>17.1–27</w:t>
        </w:r>
      </w:hyperlink>
      <w:r>
        <w:rPr>
          <w:lang w:val="fr_FR" w:bidi="fr_FR"/>
        </w:rPr>
        <w:t>) et Gad (</w:t>
      </w:r>
      <w:hyperlink r:id="rId337">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38">
        <w:r>
          <w:rPr>
            <w:lang w:val="fr_FR" w:bidi="fr_FR"/>
          </w:rPr>
          <w:rPr>
            <w:color w:val="0000EE"/>
            <w:u w:val="single"/>
          </w:rPr>
          <w:t>1R 11.41–43</w:t>
        </w:r>
      </w:hyperlink>
      <w:r>
        <w:rPr>
          <w:lang w:val="fr_FR" w:bidi="fr_FR"/>
        </w:rPr>
        <w:t xml:space="preserve"> ; </w:t>
      </w:r>
      <w:hyperlink r:id="rId339">
        <w:r>
          <w:rPr>
            <w:lang w:val="fr_FR" w:bidi="fr_FR"/>
          </w:rPr>
          <w:rPr>
            <w:color w:val="0000EE"/>
            <w:u w:val="single"/>
          </w:rPr>
          <w:t>14.19–20</w:t>
        </w:r>
      </w:hyperlink>
      <w:r>
        <w:rPr>
          <w:lang w:val="fr_FR" w:bidi="fr_FR"/>
        </w:rPr>
        <w:t xml:space="preserve">, </w:t>
      </w:r>
      <w:hyperlink r:id="rId340">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