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JDG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Hakim-hakim 1:1</w:t>
      </w:r>
      <w:r>
        <w:rPr>
          <w:lang w:val="id_ID" w:bidi="id_ID"/>
        </w:rPr>
      </w:r>
    </w:p>
    <w:p>
      <w:pPr/>
      <w:r>
        <w:rPr>
          <w:lang w:val="id_ID" w:bidi="id_ID"/>
        </w:rPr>
      </w:r>
      <w:r>
        <w:rPr>
          <w:lang w:val="id_ID" w:bidi="id_ID"/>
        </w:rPr>
        <w:t xml:space="preserve">Permohonan untuk bimbingan ilahi (lihat </w:t>
      </w:r>
      <w:hyperlink r:id="rId13">
        <w:r>
          <w:rPr>
            <w:lang w:val="id_ID" w:bidi="id_ID"/>
          </w:rPr>
          <w:rPr>
            <w:color w:val="0000EE"/>
            <w:u w:val="single"/>
          </w:rPr>
          <w:t>Kel. 28:30</w:t>
        </w:r>
      </w:hyperlink>
      <w:r>
        <w:rPr>
          <w:lang w:val="id_ID" w:bidi="id_ID"/>
        </w:rPr>
        <w:t xml:space="preserve">; </w:t>
      </w:r>
      <w:hyperlink r:id="rId14">
        <w:r>
          <w:rPr>
            <w:lang w:val="id_ID" w:bidi="id_ID"/>
          </w:rPr>
          <w:rPr>
            <w:color w:val="0000EE"/>
            <w:u w:val="single"/>
          </w:rPr>
          <w:t>Bil. 27:21</w:t>
        </w:r>
      </w:hyperlink>
      <w:r>
        <w:rPr>
          <w:lang w:val="id_ID" w:bidi="id_ID"/>
        </w:rPr>
        <w:t xml:space="preserve">; </w:t>
      </w:r>
      <w:hyperlink r:id="rId15">
        <w:r>
          <w:rPr>
            <w:lang w:val="id_ID" w:bidi="id_ID"/>
          </w:rPr>
          <w:rPr>
            <w:color w:val="0000EE"/>
            <w:u w:val="single"/>
          </w:rPr>
          <w:t>1Sam. 14:41</w:t>
        </w:r>
      </w:hyperlink>
      <w:r>
        <w:rPr>
          <w:lang w:val="id_ID" w:bidi="id_ID"/>
        </w:rPr>
        <w:t xml:space="preserve">; </w:t>
      </w:r>
      <w:hyperlink r:id="rId16">
        <w:r>
          <w:rPr>
            <w:lang w:val="id_ID" w:bidi="id_ID"/>
          </w:rPr>
          <w:rPr>
            <w:color w:val="0000EE"/>
            <w:u w:val="single"/>
          </w:rPr>
          <w:t>28:6</w:t>
        </w:r>
      </w:hyperlink>
      <w:r>
        <w:rPr>
          <w:lang w:val="id_ID" w:bidi="id_ID"/>
        </w:rPr>
        <w:t xml:space="preserve">; bdk. </w:t>
      </w:r>
      <w:hyperlink r:id="rId17">
        <w:r>
          <w:rPr>
            <w:lang w:val="id_ID" w:bidi="id_ID"/>
          </w:rPr>
          <w:rPr>
            <w:color w:val="0000EE"/>
            <w:u w:val="single"/>
          </w:rPr>
          <w:t>Yos. 7:14</w:t>
        </w:r>
      </w:hyperlink>
      <w:r>
        <w:rPr>
          <w:lang w:val="id_ID" w:bidi="id_ID"/>
        </w:rPr>
        <w:t>) mengingatkan bahwa Perjanjian Tuhan dengan Israel mencakup penguasaan negeri tersebut.</w:t>
      </w:r>
      <w:r>
        <w:rPr>
          <w:lang w:val="id_ID" w:bidi="id_ID"/>
        </w:rPr>
      </w:r>
      <w:r>
        <w:rPr>
          <w:lang w:val="id_ID" w:bidi="id_ID"/>
        </w:rPr>
      </w:r>
    </w:p>
    <w:p>
      <w:pPr/>
      <w:r>
        <w:rPr>
          <w:lang w:val="id_ID" w:bidi="id_ID"/>
        </w:rPr>
      </w:r>
    </w:p>
    <w:p>
      <w:pPr>
        <w:pStyle w:val="Heading2"/>
      </w:pPr>
      <w:r>
        <w:rPr>
          <w:lang w:val="id_ID" w:bidi="id_ID"/>
        </w:rPr>
        <w:t>Hakim-hakim 1:1–2.5</w:t>
      </w:r>
      <w:r>
        <w:rPr>
          <w:lang w:val="id_ID" w:bidi="id_ID"/>
        </w:rPr>
      </w:r>
    </w:p>
    <w:p>
      <w:pPr/>
      <w:r>
        <w:rPr>
          <w:lang w:val="id_ID" w:bidi="id_ID"/>
        </w:rPr>
      </w:r>
      <w:r>
        <w:rPr>
          <w:lang w:val="id_ID" w:bidi="id_ID"/>
        </w:rPr>
        <w:t>Prolog pertama menggambarkan ketidaksetiaan suku-suku dalam kegagalan mereka untuk melaksanakan pesan perpisahan dari Yosua (</w:t>
      </w:r>
      <w:hyperlink r:id="rId18">
        <w:r>
          <w:rPr>
            <w:lang w:val="id_ID" w:bidi="id_ID"/>
          </w:rPr>
          <w:rPr>
            <w:color w:val="0000EE"/>
            <w:u w:val="single"/>
          </w:rPr>
          <w:t>Yos.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1:1–3.6</w:t>
      </w:r>
      <w:r>
        <w:rPr>
          <w:lang w:val="id_ID" w:bidi="id_ID"/>
        </w:rPr>
      </w:r>
    </w:p>
    <w:p>
      <w:pPr/>
      <w:r>
        <w:rPr>
          <w:lang w:val="id_ID" w:bidi="id_ID"/>
        </w:rPr>
      </w:r>
      <w:r>
        <w:rPr>
          <w:lang w:val="id_ID" w:bidi="id_ID"/>
        </w:rPr>
        <w:t>Dua prolog (</w:t>
      </w:r>
      <w:hyperlink r:id="rId19">
        <w:r>
          <w:rPr>
            <w:lang w:val="id_ID" w:bidi="id_ID"/>
          </w:rPr>
          <w:rPr>
            <w:color w:val="0000EE"/>
            <w:u w:val="single"/>
          </w:rPr>
          <w:t>Hak. 1:1–2:5</w:t>
        </w:r>
      </w:hyperlink>
      <w:r>
        <w:rPr>
          <w:lang w:val="id_ID" w:bidi="id_ID"/>
        </w:rPr>
        <w:t xml:space="preserve"> dan </w:t>
      </w:r>
      <w:hyperlink r:id="rId20">
        <w:r>
          <w:rPr>
            <w:lang w:val="id_ID" w:bidi="id_ID"/>
          </w:rPr>
          <w:rPr>
            <w:color w:val="0000EE"/>
            <w:u w:val="single"/>
          </w:rPr>
          <w:t>2:6–3:6</w:t>
        </w:r>
      </w:hyperlink>
      <w:r>
        <w:rPr>
          <w:lang w:val="id_ID" w:bidi="id_ID"/>
        </w:rPr>
        <w:t>) yang mengawali isi dari kitab ini. Keduanya dimulai dengan kematian Yosua (</w:t>
      </w:r>
      <w:hyperlink r:id="rId21">
        <w:r>
          <w:rPr>
            <w:lang w:val="id_ID" w:bidi="id_ID"/>
          </w:rPr>
          <w:rPr>
            <w:color w:val="0000EE"/>
            <w:u w:val="single"/>
          </w:rPr>
          <w:t>Hak. 1:1</w:t>
        </w:r>
      </w:hyperlink>
      <w:r>
        <w:rPr>
          <w:lang w:val="id_ID" w:bidi="id_ID"/>
        </w:rPr>
        <w:t xml:space="preserve">; bdk. </w:t>
      </w:r>
      <w:hyperlink r:id="rId22">
        <w:r>
          <w:rPr>
            <w:lang w:val="id_ID" w:bidi="id_ID"/>
          </w:rPr>
          <w:rPr>
            <w:color w:val="0000EE"/>
            <w:u w:val="single"/>
          </w:rPr>
          <w:t>Hak. 2:8</w:t>
        </w:r>
      </w:hyperlink>
      <w:r>
        <w:rPr>
          <w:lang w:val="id_ID" w:bidi="id_ID"/>
        </w:rPr>
        <w:t>), sehingga menghubungkan kitab Hakim-hakim dengan narasi sebelumnya (</w:t>
      </w:r>
      <w:hyperlink r:id="rId23">
        <w:r>
          <w:rPr>
            <w:lang w:val="id_ID" w:bidi="id_ID"/>
          </w:rPr>
          <w:rPr>
            <w:color w:val="0000EE"/>
            <w:u w:val="single"/>
          </w:rPr>
          <w:t>Yos. 24:29–33</w:t>
        </w:r>
      </w:hyperlink>
      <w:r>
        <w:rPr>
          <w:lang w:val="id_ID" w:bidi="id_ID"/>
        </w:rPr>
        <w:t xml:space="preserve">; bdk. </w:t>
      </w:r>
      <w:hyperlink r:id="rId24">
        <w:r>
          <w:rPr>
            <w:lang w:val="id_ID" w:bidi="id_ID"/>
          </w:rPr>
          <w:rPr>
            <w:color w:val="0000EE"/>
            <w:u w:val="single"/>
          </w:rPr>
          <w:t>Yos. 1:1</w:t>
        </w:r>
      </w:hyperlink>
      <w:r>
        <w:rPr>
          <w:lang w:val="id_ID" w:bidi="id_ID"/>
        </w:rPr>
        <w:t xml:space="preserve">; </w:t>
      </w:r>
      <w:hyperlink r:id="rId25">
        <w:r>
          <w:rPr>
            <w:lang w:val="id_ID" w:bidi="id_ID"/>
          </w:rPr>
          <w:rPr>
            <w:color w:val="0000EE"/>
            <w:u w:val="single"/>
          </w:rPr>
          <w:t>2Sam.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w:t>
      </w:r>
      <w:r>
        <w:rPr>
          <w:lang w:val="id_ID" w:bidi="id_ID"/>
        </w:rPr>
      </w:r>
    </w:p>
    <w:p>
      <w:pPr/>
      <w:r>
        <w:rPr>
          <w:lang w:val="id_ID" w:bidi="id_ID"/>
        </w:rPr>
      </w:r>
      <w:r>
        <w:rPr>
          <w:lang w:val="id_ID" w:bidi="id_ID"/>
        </w:rPr>
        <w:t>Ayat ini, yang diparalelkan dalam bagian penutup (</w:t>
      </w:r>
      <w:hyperlink r:id="rId26">
        <w:r>
          <w:rPr>
            <w:lang w:val="id_ID" w:bidi="id_ID"/>
          </w:rPr>
          <w:rPr>
            <w:color w:val="0000EE"/>
            <w:u w:val="single"/>
          </w:rPr>
          <w:t>Hak. 20:18</w:t>
        </w:r>
      </w:hyperlink>
      <w:r>
        <w:rPr>
          <w:lang w:val="id_ID" w:bidi="id_ID"/>
        </w:rPr>
        <w:t xml:space="preserve">), menunjukkan keunggulan suku Yehuda. Suku ini tidak terlibat dalam siklus kemerosotan para hakim (bdk. </w:t>
      </w:r>
      <w:hyperlink r:id="rId27">
        <w:r>
          <w:rPr>
            <w:lang w:val="id_ID" w:bidi="id_ID"/>
          </w:rPr>
          <w:rPr>
            <w:color w:val="0000EE"/>
            <w:u w:val="single"/>
          </w:rPr>
          <w:t>Hak. 15:9–13</w:t>
        </w:r>
      </w:hyperlink>
      <w:r>
        <w:rPr>
          <w:lang w:val="id_ID" w:bidi="id_ID"/>
        </w:rPr>
        <w:t>) setelah Otniel, hakim teladan yang dikaitkan dengan Yehuda melalui Kaleb (</w:t>
      </w:r>
      <w:hyperlink r:id="rId28">
        <w:r>
          <w:rPr>
            <w:lang w:val="id_ID" w:bidi="id_ID"/>
          </w:rPr>
          <w:rPr>
            <w:color w:val="0000EE"/>
            <w:u w:val="single"/>
          </w:rPr>
          <w:t>Yos. 14:6</w:t>
        </w:r>
      </w:hyperlink>
      <w:r>
        <w:rPr>
          <w:lang w:val="id_ID" w:bidi="id_ID"/>
        </w:rPr>
        <w:t xml:space="preserve">; </w:t>
      </w:r>
      <w:hyperlink r:id="rId29">
        <w:r>
          <w:rPr>
            <w:lang w:val="id_ID" w:bidi="id_ID"/>
          </w:rPr>
          <w:rPr>
            <w:color w:val="0000EE"/>
            <w:u w:val="single"/>
          </w:rPr>
          <w:t>15:13</w:t>
        </w:r>
      </w:hyperlink>
      <w:r>
        <w:rPr>
          <w:lang w:val="id_ID" w:bidi="id_ID"/>
        </w:rPr>
        <w:t xml:space="preserve">, </w:t>
      </w:r>
      <w:hyperlink r:id="rId30">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w:t>
      </w:r>
      <w:r>
        <w:rPr>
          <w:lang w:val="id_ID" w:bidi="id_ID"/>
        </w:rPr>
      </w:r>
    </w:p>
    <w:p>
      <w:pPr/>
      <w:r>
        <w:rPr>
          <w:lang w:val="id_ID" w:bidi="id_ID"/>
        </w:rPr>
      </w:r>
      <w:r>
        <w:rPr>
          <w:lang w:val="id_ID" w:bidi="id_ID"/>
        </w:rPr>
        <w:t>Suku Simeon hampir lenyap di tanah yang diberikan kepada mereka di tengah-tengah Yehuda (</w:t>
      </w:r>
      <w:hyperlink r:id="rId31">
        <w:r>
          <w:rPr>
            <w:lang w:val="id_ID" w:bidi="id_ID"/>
          </w:rPr>
          <w:rPr>
            <w:color w:val="0000EE"/>
            <w:u w:val="single"/>
          </w:rPr>
          <w:t>Yos. 19:1</w:t>
        </w:r>
      </w:hyperlink>
      <w:r>
        <w:rPr>
          <w:lang w:val="id_ID" w:bidi="id_ID"/>
        </w:rPr>
        <w:t xml:space="preserve">). • Berperang melawan orang Kanaan … maju bersama-sama dengan engkau: Lihat </w:t>
      </w:r>
      <w:hyperlink r:id="rId32">
        <w:r>
          <w:rPr>
            <w:lang w:val="id_ID" w:bidi="id_ID"/>
          </w:rPr>
          <w:rPr>
            <w:color w:val="0000EE"/>
            <w:u w:val="single"/>
          </w:rPr>
          <w:t>Yos. 16:10</w:t>
        </w:r>
      </w:hyperlink>
      <w:r>
        <w:rPr>
          <w:lang w:val="id_ID" w:bidi="id_ID"/>
        </w:rPr>
        <w:t xml:space="preserve">; </w:t>
      </w:r>
      <w:hyperlink r:id="rId33">
        <w:r>
          <w:rPr>
            <w:lang w:val="id_ID" w:bidi="id_ID"/>
          </w:rPr>
          <w:rPr>
            <w:color w:val="0000EE"/>
            <w:u w:val="single"/>
          </w:rPr>
          <w:t>17:13</w:t>
        </w:r>
      </w:hyperlink>
      <w:r>
        <w:rPr>
          <w:lang w:val="id_ID" w:bidi="id_ID"/>
        </w:rPr>
        <w:t xml:space="preserve">; </w:t>
      </w:r>
      <w:hyperlink r:id="rId34">
        <w:r>
          <w:rPr>
            <w:lang w:val="id_ID" w:bidi="id_ID"/>
          </w:rPr>
          <w:rPr>
            <w:color w:val="0000EE"/>
            <w:u w:val="single"/>
          </w:rPr>
          <w:t>23:4–13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1:10</w:t>
      </w:r>
      <w:r>
        <w:rPr>
          <w:lang w:val="id_ID" w:bidi="id_ID"/>
        </w:rPr>
      </w:r>
    </w:p>
    <w:p>
      <w:pPr/>
      <w:r>
        <w:rPr>
          <w:lang w:val="id_ID" w:bidi="id_ID"/>
        </w:rPr>
      </w:r>
      <w:r>
        <w:rPr>
          <w:lang w:val="id_ID" w:bidi="id_ID"/>
        </w:rPr>
        <w:t>Hebron adalah kota yang paling dekat dengan tempat tinggal Abraham di dekat pohon-pohon tarbantin di Mamre (</w:t>
      </w:r>
      <w:hyperlink r:id="rId35">
        <w:r>
          <w:rPr>
            <w:lang w:val="id_ID" w:bidi="id_ID"/>
          </w:rPr>
          <w:rPr>
            <w:color w:val="0000EE"/>
            <w:u w:val="single"/>
          </w:rPr>
          <w:t>Kej. 13:18</w:t>
        </w:r>
      </w:hyperlink>
      <w:r>
        <w:rPr>
          <w:lang w:val="id_ID" w:bidi="id_ID"/>
        </w:rPr>
        <w:t>); para leluhur kemudian tinggal dan dimakamkan di sana (</w:t>
      </w:r>
      <w:hyperlink r:id="rId36">
        <w:r>
          <w:rPr>
            <w:lang w:val="id_ID" w:bidi="id_ID"/>
          </w:rPr>
          <w:rPr>
            <w:color w:val="0000EE"/>
            <w:u w:val="single"/>
          </w:rPr>
          <w:t>Kej. 23:19</w:t>
        </w:r>
      </w:hyperlink>
      <w:r>
        <w:rPr>
          <w:lang w:val="id_ID" w:bidi="id_ID"/>
        </w:rPr>
        <w:t xml:space="preserve">; </w:t>
      </w:r>
      <w:hyperlink r:id="rId37">
        <w:r>
          <w:rPr>
            <w:lang w:val="id_ID" w:bidi="id_ID"/>
          </w:rPr>
          <w:rPr>
            <w:color w:val="0000EE"/>
            <w:u w:val="single"/>
          </w:rPr>
          <w:t>35:27</w:t>
        </w:r>
      </w:hyperlink>
      <w:r>
        <w:rPr>
          <w:lang w:val="id_ID" w:bidi="id_ID"/>
        </w:rPr>
        <w:t xml:space="preserve">; </w:t>
      </w:r>
      <w:hyperlink r:id="rId38">
        <w:r>
          <w:rPr>
            <w:lang w:val="id_ID" w:bidi="id_ID"/>
          </w:rPr>
          <w:rPr>
            <w:color w:val="0000EE"/>
            <w:u w:val="single"/>
          </w:rPr>
          <w:t>49:29–32</w:t>
        </w:r>
      </w:hyperlink>
      <w:r>
        <w:rPr>
          <w:lang w:val="id_ID" w:bidi="id_ID"/>
        </w:rPr>
        <w:t>). Dahulu kota ini disebut Kiryat-Arba ("Kota Arba"), dinamai berdasarkan Arba yang legendaris, yang merupakan "pahlawan besar keturunan Enak" dan "nenek moyang Enak" (</w:t>
      </w:r>
      <w:hyperlink r:id="rId39">
        <w:r>
          <w:rPr>
            <w:lang w:val="id_ID" w:bidi="id_ID"/>
          </w:rPr>
          <w:rPr>
            <w:color w:val="0000EE"/>
            <w:u w:val="single"/>
          </w:rPr>
          <w:t>Yos. 14:15</w:t>
        </w:r>
      </w:hyperlink>
      <w:r>
        <w:rPr>
          <w:lang w:val="id_ID" w:bidi="id_ID"/>
        </w:rPr>
        <w:t xml:space="preserve">; </w:t>
      </w:r>
      <w:hyperlink r:id="rId29">
        <w:r>
          <w:rPr>
            <w:lang w:val="id_ID" w:bidi="id_ID"/>
          </w:rPr>
          <w:rPr>
            <w:color w:val="0000EE"/>
            <w:u w:val="single"/>
          </w:rPr>
          <w:t>15:13</w:t>
        </w:r>
      </w:hyperlink>
      <w:r>
        <w:rPr>
          <w:lang w:val="id_ID" w:bidi="id_ID"/>
        </w:rPr>
        <w:t>). Orang Enak, kemudian, dikenal dengan orang-orang raksasa yang menakutkan (</w:t>
      </w:r>
      <w:hyperlink r:id="rId40">
        <w:r>
          <w:rPr>
            <w:lang w:val="id_ID" w:bidi="id_ID"/>
          </w:rPr>
          <w:rPr>
            <w:color w:val="0000EE"/>
            <w:u w:val="single"/>
          </w:rPr>
          <w:t>Bil. 13:33</w:t>
        </w:r>
      </w:hyperlink>
      <w:r>
        <w:rPr>
          <w:lang w:val="id_ID" w:bidi="id_ID"/>
        </w:rPr>
        <w:t xml:space="preserve">; lihat </w:t>
      </w:r>
      <w:hyperlink r:id="rId41">
        <w:r>
          <w:rPr>
            <w:lang w:val="id_ID" w:bidi="id_ID"/>
          </w:rPr>
          <w:rPr>
            <w:color w:val="0000EE"/>
            <w:u w:val="single"/>
          </w:rPr>
          <w:t>Kej. 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1:11</w:t>
      </w:r>
      <w:r>
        <w:rPr>
          <w:lang w:val="id_ID" w:bidi="id_ID"/>
        </w:rPr>
      </w:r>
    </w:p>
    <w:p>
      <w:pPr/>
      <w:r>
        <w:rPr>
          <w:lang w:val="id_ID" w:bidi="id_ID"/>
        </w:rPr>
      </w:r>
      <w:r>
        <w:rPr>
          <w:lang w:val="id_ID" w:bidi="id_ID"/>
        </w:rPr>
        <w:t>Debir atau Kiryat-Sefer (“Kota Kitab”): Kota besar orang Enak di daerah pegunungan (</w:t>
      </w:r>
      <w:hyperlink r:id="rId42">
        <w:r>
          <w:rPr>
            <w:lang w:val="id_ID" w:bidi="id_ID"/>
          </w:rPr>
          <w:rPr>
            <w:color w:val="0000EE"/>
            <w:u w:val="single"/>
          </w:rPr>
          <w:t>Yos. 11:21</w:t>
        </w:r>
      </w:hyperlink>
      <w:r>
        <w:rPr>
          <w:lang w:val="id_ID" w:bidi="id_ID"/>
        </w:rPr>
        <w:t>) ini tidak teridentifikasi dengan pasti, tetapi secara tradisi diyakini berada di sebelah barat daya atau timur Hebron.</w:t>
      </w:r>
      <w:r>
        <w:rPr>
          <w:lang w:val="id_ID" w:bidi="id_ID"/>
        </w:rPr>
      </w:r>
      <w:r>
        <w:rPr>
          <w:lang w:val="id_ID" w:bidi="id_ID"/>
        </w:rPr>
      </w:r>
    </w:p>
    <w:p>
      <w:pPr/>
      <w:r>
        <w:rPr>
          <w:lang w:val="id_ID" w:bidi="id_ID"/>
        </w:rPr>
      </w:r>
    </w:p>
    <w:p>
      <w:pPr>
        <w:pStyle w:val="Heading2"/>
      </w:pPr>
      <w:r>
        <w:rPr>
          <w:lang w:val="id_ID" w:bidi="id_ID"/>
        </w:rPr>
        <w:t>Hakim-hakim 1:14</w:t>
      </w:r>
      <w:r>
        <w:rPr>
          <w:lang w:val="id_ID" w:bidi="id_ID"/>
        </w:rPr>
      </w:r>
    </w:p>
    <w:p>
      <w:pPr/>
      <w:r>
        <w:rPr>
          <w:lang w:val="id_ID" w:bidi="id_ID"/>
        </w:rPr>
      </w:r>
      <w:r>
        <w:rPr>
          <w:lang w:val="id_ID" w:bidi="id_ID"/>
        </w:rPr>
        <w:t xml:space="preserve">dibujuknya suaminya: Lihat </w:t>
      </w:r>
      <w:r>
        <w:rPr>
          <w:lang w:val="id_ID" w:bidi="id_ID"/>
        </w:rPr>
        <w:t>catatan studi pada Yos. 15:18–19</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1:16</w:t>
      </w:r>
      <w:r>
        <w:rPr>
          <w:lang w:val="id_ID" w:bidi="id_ID"/>
        </w:rPr>
      </w:r>
    </w:p>
    <w:p>
      <w:pPr/>
      <w:r>
        <w:rPr>
          <w:lang w:val="id_ID" w:bidi="id_ID"/>
        </w:rPr>
      </w:r>
      <w:r>
        <w:rPr>
          <w:lang w:val="id_ID" w:bidi="id_ID"/>
        </w:rPr>
        <w:t>Suku Keni adalah suku dari padang gurun selatan yang berhubungan dengan mertua Musa, yang juga disebut orang Midian (</w:t>
      </w:r>
      <w:hyperlink r:id="rId43">
        <w:r>
          <w:rPr>
            <w:lang w:val="id_ID" w:bidi="id_ID"/>
          </w:rPr>
          <w:rPr>
            <w:color w:val="0000EE"/>
            <w:u w:val="single"/>
          </w:rPr>
          <w:t>Kel. 18:1</w:t>
        </w:r>
      </w:hyperlink>
      <w:r>
        <w:rPr>
          <w:lang w:val="id_ID" w:bidi="id_ID"/>
        </w:rPr>
        <w:t xml:space="preserve">; </w:t>
      </w:r>
      <w:hyperlink r:id="rId44">
        <w:r>
          <w:rPr>
            <w:lang w:val="id_ID" w:bidi="id_ID"/>
          </w:rPr>
          <w:rPr>
            <w:color w:val="0000EE"/>
            <w:u w:val="single"/>
          </w:rPr>
          <w:t>Bil. 10:29</w:t>
        </w:r>
      </w:hyperlink>
      <w:r>
        <w:rPr>
          <w:lang w:val="id_ID" w:bidi="id_ID"/>
        </w:rPr>
        <w:t>). Musa menawarkan kepada mereka bagian dalam berkat perjanjian (</w:t>
      </w:r>
      <w:hyperlink r:id="rId45">
        <w:r>
          <w:rPr>
            <w:lang w:val="id_ID" w:bidi="id_ID"/>
          </w:rPr>
          <w:rPr>
            <w:color w:val="0000EE"/>
            <w:u w:val="single"/>
          </w:rPr>
          <w:t>Bil. 10:29–32</w:t>
        </w:r>
      </w:hyperlink>
      <w:r>
        <w:rPr>
          <w:lang w:val="id_ID" w:bidi="id_ID"/>
        </w:rPr>
        <w:t>). Setidaknya satu kaum dari orang Keni menerima tawaran tersebut dan bergabung ke dalam suku Yehuda, meskipun anggota suku tersebut kemudian beralih kesetiaan kepada Raja Yabin dari Hazor (</w:t>
      </w:r>
      <w:hyperlink r:id="rId46">
        <w:r>
          <w:rPr>
            <w:lang w:val="id_ID" w:bidi="id_ID"/>
          </w:rPr>
          <w:rPr>
            <w:color w:val="0000EE"/>
            <w:u w:val="single"/>
          </w:rPr>
          <w:t>Hak. 4:11</w:t>
        </w:r>
      </w:hyperlink>
      <w:r>
        <w:rPr>
          <w:lang w:val="id_ID" w:bidi="id_ID"/>
        </w:rPr>
        <w:t xml:space="preserve">, </w:t>
      </w:r>
      <w:hyperlink r:id="rId47">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1:17</w:t>
      </w:r>
      <w:r>
        <w:rPr>
          <w:lang w:val="id_ID" w:bidi="id_ID"/>
        </w:rPr>
      </w:r>
    </w:p>
    <w:p>
      <w:pPr/>
      <w:r>
        <w:rPr>
          <w:lang w:val="id_ID" w:bidi="id_ID"/>
        </w:rPr>
      </w:r>
      <w:r>
        <w:rPr>
          <w:lang w:val="id_ID" w:bidi="id_ID"/>
        </w:rPr>
        <w:t xml:space="preserve">menumpas: Lihat </w:t>
      </w:r>
      <w:hyperlink r:id="rId48">
        <w:r>
          <w:rPr>
            <w:lang w:val="id_ID" w:bidi="id_ID"/>
          </w:rPr>
          <w:rPr>
            <w:color w:val="0000EE"/>
            <w:u w:val="single"/>
          </w:rPr>
          <w:t>Im. 27:28–29</w:t>
        </w:r>
      </w:hyperlink>
      <w:r>
        <w:rPr>
          <w:lang w:val="id_ID" w:bidi="id_ID"/>
        </w:rPr>
        <w:t xml:space="preserve">. • Horma: Lihat </w:t>
      </w:r>
      <w:r>
        <w:rPr>
          <w:lang w:val="id_ID" w:bidi="id_ID"/>
        </w:rPr>
        <w:t>catatan studi pada Bil. 21:2–3</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